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6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5482590</wp:posOffset>
            </wp:positionH>
            <wp:positionV relativeFrom="paragraph">
              <wp:posOffset>-650240</wp:posOffset>
            </wp:positionV>
            <wp:extent cx="59690" cy="663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4146550</wp:posOffset>
            </wp:positionH>
            <wp:positionV relativeFrom="paragraph">
              <wp:posOffset>-650240</wp:posOffset>
            </wp:positionV>
            <wp:extent cx="59690" cy="6635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925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25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KYEES JOHN E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1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5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7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08/05/2013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08/05/2013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5"/>
                <w:vertAlign w:val="subscript"/>
              </w:rPr>
              <w:t>81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5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6.14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6.14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08/05/2023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issued in lieu of certain director's compensation for quarterly annual retainer.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issued in lieu of certain director's compensation for quarterly annual retainer.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115 shares are currently exercisable and 115 shares will become exercisable on August 5, 2014 and 115 shares will become exercisable on August 5, 2015.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08/07/2013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-27305</wp:posOffset>
            </wp:positionV>
            <wp:extent cx="13970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-16510</wp:posOffset>
            </wp:positionV>
            <wp:extent cx="11328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-84455</wp:posOffset>
            </wp:positionV>
            <wp:extent cx="5035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2019-12-16T04:47:06Z</dcterms:created>
  <dcterms:modified xsi:type="dcterms:W3CDTF">2019-12-16T04:47:06Z</dcterms:modified>
</cp:coreProperties>
</file>