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is filed:</w:t>
      </w:r>
    </w:p>
    <w:p>
      <w:pPr>
        <w:spacing w:after="0" w:line="200" w:lineRule="exact"/>
        <w:rPr>
          <w:sz w:val="24"/>
          <w:szCs w:val="24"/>
          <w:color w:val="auto"/>
        </w:rPr>
      </w:pPr>
    </w:p>
    <w:p>
      <w:pPr>
        <w:spacing w:after="0" w:line="374" w:lineRule="exact"/>
        <w:rPr>
          <w:sz w:val="24"/>
          <w:szCs w:val="24"/>
          <w:color w:val="auto"/>
        </w:rPr>
      </w:pPr>
    </w:p>
    <w:p>
      <w:pPr>
        <w:jc w:val="both"/>
        <w:ind w:right="8239" w:firstLine="8"/>
        <w:spacing w:after="0" w:line="344"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36"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25065K104</w:t>
      </w:r>
    </w:p>
    <w:p>
      <w:pPr>
        <w:spacing w:after="0" w:line="31" w:lineRule="exact"/>
        <w:rPr>
          <w:sz w:val="24"/>
          <w:szCs w:val="24"/>
          <w:color w:val="auto"/>
        </w:rPr>
      </w:pPr>
    </w:p>
    <w:p>
      <w:pPr>
        <w:ind w:right="317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right="3699" w:firstLine="8"/>
        <w:spacing w:after="0" w:line="309"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(a)___ b)___</w:t>
      </w:r>
    </w:p>
    <w:p>
      <w:pPr>
        <w:spacing w:after="0" w:line="5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ind w:right="275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ind w:right="69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rPr>
          <w:sz w:val="20"/>
          <w:szCs w:val="20"/>
          <w:color w:val="auto"/>
        </w:rPr>
      </w:pPr>
      <w:r>
        <w:rPr>
          <w:rFonts w:ascii="Courier New" w:cs="Courier New" w:eastAsia="Courier New" w:hAnsi="Courier New"/>
          <w:sz w:val="18"/>
          <w:szCs w:val="18"/>
          <w:color w:val="auto"/>
        </w:rPr>
        <w:t>9,399,297**</w:t>
      </w:r>
    </w:p>
    <w:p>
      <w:pPr>
        <w:spacing w:after="0" w:line="169"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4"/>
          <w:szCs w:val="24"/>
          <w:color w:val="auto"/>
        </w:rPr>
      </w:pPr>
    </w:p>
    <w:p>
      <w:pPr>
        <w:ind w:right="7279" w:firstLine="8"/>
        <w:spacing w:after="0" w:line="3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9,399,297**</w:t>
      </w:r>
    </w:p>
    <w:p>
      <w:pPr>
        <w:spacing w:after="0" w:line="22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ind w:right="369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9,399,297**</w:t>
      </w:r>
    </w:p>
    <w:p>
      <w:pPr>
        <w:ind w:right="255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15.6%**</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ind w:right="2859"/>
        <w:spacing w:after="0" w:line="290" w:lineRule="auto"/>
        <w:rPr>
          <w:sz w:val="20"/>
          <w:szCs w:val="20"/>
          <w:color w:val="auto"/>
        </w:rPr>
      </w:pPr>
      <w:r>
        <w:rPr>
          <w:rFonts w:ascii="Courier New" w:cs="Courier New" w:eastAsia="Courier New" w:hAnsi="Courier New"/>
          <w:sz w:val="16"/>
          <w:szCs w:val="16"/>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1,799,797</w:t>
      </w:r>
    </w:p>
    <w:p>
      <w:pPr>
        <w:sectPr>
          <w:pgSz w:w="11900" w:h="16952" w:orient="portrait"/>
          <w:cols w:equalWidth="0" w:num="1">
            <w:col w:w="10139"/>
          </w:cols>
          <w:pgMar w:left="320" w:top="218" w:right="1440" w:bottom="0" w:gutter="0" w:footer="0" w:header="0"/>
        </w:sectPr>
      </w:pPr>
    </w:p>
    <w:bookmarkStart w:id="1" w:name="page2"/>
    <w:bookmarkEnd w:id="1"/>
    <w:p>
      <w:pPr>
        <w:ind w:right="2759"/>
        <w:spacing w:after="0" w:line="292" w:lineRule="auto"/>
        <w:rPr>
          <w:sz w:val="20"/>
          <w:szCs w:val="20"/>
          <w:color w:val="auto"/>
        </w:rPr>
      </w:pPr>
      <w:r>
        <w:rPr>
          <w:rFonts w:ascii="Courier New" w:cs="Courier New" w:eastAsia="Courier New" w:hAnsi="Courier New"/>
          <w:sz w:val="18"/>
          <w:szCs w:val="18"/>
          <w:color w:val="auto"/>
        </w:rPr>
        <w:t>shares of Common Stock of the Issuer (the Shares) held by CAYMAN, 5,729,930 Shares held by SSFQP and 1,869,570 Shares held by SSPE. See Items 2 and 4 of this Schedule for additional information.</w:t>
      </w:r>
    </w:p>
    <w:p>
      <w:pPr>
        <w:spacing w:after="0" w:line="268"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Destination XL Group,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Massachusetts 02021</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right="3499"/>
        <w:spacing w:after="0" w:line="285" w:lineRule="auto"/>
        <w:rPr>
          <w:sz w:val="20"/>
          <w:szCs w:val="20"/>
          <w:color w:val="auto"/>
        </w:rPr>
      </w:pPr>
      <w:r>
        <w:rPr>
          <w:rFonts w:ascii="Courier New" w:cs="Courier New" w:eastAsia="Courier New" w:hAnsi="Courier New"/>
          <w:sz w:val="16"/>
          <w:szCs w:val="16"/>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90" w:lineRule="exact"/>
        <w:rPr>
          <w:sz w:val="20"/>
          <w:szCs w:val="20"/>
          <w:color w:val="auto"/>
        </w:rPr>
      </w:pPr>
    </w:p>
    <w:p>
      <w:pPr>
        <w:ind w:right="3499"/>
        <w:spacing w:after="0" w:line="253" w:lineRule="auto"/>
        <w:rPr>
          <w:sz w:val="20"/>
          <w:szCs w:val="20"/>
          <w:color w:val="auto"/>
        </w:rPr>
      </w:pPr>
      <w:r>
        <w:rPr>
          <w:rFonts w:ascii="Courier New" w:cs="Courier New" w:eastAsia="Courier New" w:hAnsi="Courier New"/>
          <w:sz w:val="18"/>
          <w:szCs w:val="18"/>
          <w:color w:val="auto"/>
        </w:rPr>
        <w:t>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Greenhouse and Stettner are also controlling principals of AWM.</w:t>
      </w:r>
    </w:p>
    <w:p>
      <w:pPr>
        <w:spacing w:after="0" w:line="103" w:lineRule="exact"/>
        <w:rPr>
          <w:sz w:val="20"/>
          <w:szCs w:val="20"/>
          <w:color w:val="auto"/>
        </w:rPr>
      </w:pPr>
    </w:p>
    <w:p>
      <w:pPr>
        <w:ind w:right="3819"/>
        <w:spacing w:after="0" w:line="257"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ind w:right="3599"/>
        <w:spacing w:after="0" w:line="238" w:lineRule="auto"/>
        <w:rPr>
          <w:sz w:val="20"/>
          <w:szCs w:val="20"/>
          <w:color w:val="auto"/>
        </w:rPr>
      </w:pPr>
      <w:r>
        <w:rPr>
          <w:rFonts w:ascii="Courier New" w:cs="Courier New" w:eastAsia="Courier New" w:hAnsi="Courier New"/>
          <w:sz w:val="18"/>
          <w:szCs w:val="18"/>
          <w:color w:val="auto"/>
        </w:rPr>
        <w:t>The principal business address for AWM is c/o Special Situations Funds, 527 Madison Avenue, Suite 2600, New York, NY 10022.</w:t>
      </w: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AWM is a Delaware Corporation.</w:t>
      </w: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169"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9,399,297**</w:t>
      </w:r>
    </w:p>
    <w:p>
      <w:pPr>
        <w:spacing w:after="0" w:line="201" w:lineRule="exact"/>
        <w:rPr>
          <w:sz w:val="20"/>
          <w:szCs w:val="20"/>
          <w:color w:val="auto"/>
        </w:rPr>
      </w:pPr>
    </w:p>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15.6%**</w:t>
      </w:r>
    </w:p>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9,399,297**</w:t>
      </w:r>
    </w:p>
    <w:p>
      <w:pPr>
        <w:spacing w:after="0" w:line="223" w:lineRule="exact"/>
        <w:rPr>
          <w:rFonts w:ascii="Courier New" w:cs="Courier New" w:eastAsia="Courier New" w:hAnsi="Courier New"/>
          <w:sz w:val="16"/>
          <w:szCs w:val="16"/>
          <w:color w:val="auto"/>
        </w:rPr>
      </w:pPr>
    </w:p>
    <w:p>
      <w:pPr>
        <w:ind w:left="2540" w:hanging="1163"/>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2000" w:right="1919" w:hanging="728"/>
        <w:spacing w:after="0" w:line="346"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9,399,297**</w:t>
      </w:r>
    </w:p>
    <w:p>
      <w:pPr>
        <w:spacing w:after="0" w:line="19" w:lineRule="exact"/>
        <w:rPr>
          <w:rFonts w:ascii="Courier New" w:cs="Courier New" w:eastAsia="Courier New" w:hAnsi="Courier New"/>
          <w:sz w:val="18"/>
          <w:szCs w:val="18"/>
          <w:color w:val="auto"/>
        </w:rPr>
      </w:pPr>
    </w:p>
    <w:p>
      <w:pPr>
        <w:ind w:left="2000" w:right="2119" w:hanging="623"/>
        <w:spacing w:after="0" w:line="257"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w:t>
      </w:r>
    </w:p>
    <w:p>
      <w:pPr>
        <w:spacing w:after="0" w:line="169" w:lineRule="exact"/>
        <w:rPr>
          <w:sz w:val="20"/>
          <w:szCs w:val="20"/>
          <w:color w:val="auto"/>
        </w:rPr>
      </w:pPr>
    </w:p>
    <w:p>
      <w:pPr>
        <w:ind w:right="2759" w:firstLine="8"/>
        <w:spacing w:after="0" w:line="253"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AWM is the investment adviser to each of the Funds. As the investment adviser to the Funds, AWM holds sole voting and investment power over 1,835,668 shares of common stock of the Issuer (the Shares) held by CAYMAN, 5,844,131 Shares held by SSFQP and 1,906,831 Shares held by SSPE. Greenhouse and Stettner are members of: SSCAY, the general partner of CAYMAN; MGP, the general partner of SSFQP; and MG, the general partner of SSPE. Greenhouse and Stettner are also controlling principals of AWM.</w:t>
      </w:r>
    </w:p>
    <w:p>
      <w:pPr>
        <w:sectPr>
          <w:pgSz w:w="11900" w:h="16838" w:orient="portrait"/>
          <w:cols w:equalWidth="0" w:num="1">
            <w:col w:w="10139"/>
          </w:cols>
          <w:pgMar w:left="320" w:top="110"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759" w:firstLine="843"/>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___</w:t>
      </w:r>
    </w:p>
    <w:p>
      <w:pPr>
        <w:spacing w:after="0" w:line="8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559" w:firstLine="84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85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Adam Stettner___</w:t>
      </w:r>
    </w:p>
    <w:p>
      <w:pPr>
        <w:spacing w:after="0" w:line="29"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tab/>
        <w:t>Adam Stettner</w:t>
      </w: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859"/>
        <w:spacing w:after="0" w:line="310"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2024-02-14T14:08:05Z</dcterms:created>
  <dcterms:modified xsi:type="dcterms:W3CDTF">2024-02-14T14:08:05Z</dcterms:modified>
</cp:coreProperties>
</file>