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55"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2011</w:t>
      </w:r>
    </w:p>
    <w:p>
      <w:pPr>
        <w:spacing w:after="0" w:line="171" w:lineRule="exact"/>
        <w:rPr>
          <w:sz w:val="24"/>
          <w:szCs w:val="24"/>
          <w:color w:val="auto"/>
        </w:rPr>
      </w:pPr>
    </w:p>
    <w:p>
      <w:pPr>
        <w:ind w:left="5640"/>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190" w:lineRule="exact"/>
        <w:rPr>
          <w:sz w:val="24"/>
          <w:szCs w:val="24"/>
          <w:color w:val="auto"/>
        </w:rPr>
      </w:pPr>
    </w:p>
    <w:p>
      <w:pPr>
        <w:ind w:left="460"/>
        <w:spacing w:after="0"/>
        <w:tabs>
          <w:tab w:leader="none" w:pos="3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CASUAL MALE RETAIL GROUP, INC.</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401(K) HOURLY SAVINGS PLAN</w:t>
      </w:r>
    </w:p>
    <w:p>
      <w:pPr>
        <w:jc w:val="center"/>
        <w:ind w:right="-619"/>
        <w:spacing w:after="0"/>
        <w:rPr>
          <w:sz w:val="20"/>
          <w:szCs w:val="20"/>
          <w:color w:val="auto"/>
        </w:rPr>
      </w:pPr>
      <w:r>
        <w:rPr>
          <w:rFonts w:ascii="Arial" w:cs="Arial" w:eastAsia="Arial" w:hAnsi="Arial"/>
          <w:sz w:val="14"/>
          <w:szCs w:val="14"/>
          <w:i w:val="1"/>
          <w:iCs w:val="1"/>
          <w:color w:val="auto"/>
        </w:rPr>
        <w:t>(Full title of the plan)</w:t>
      </w:r>
    </w:p>
    <w:p>
      <w:pPr>
        <w:spacing w:after="0" w:line="121"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CASUAL MALE RETAIL GROUP, INC.</w:t>
      </w:r>
    </w:p>
    <w:p>
      <w:pPr>
        <w:spacing w:after="0" w:line="23"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555 Turnpike Street</w:t>
      </w:r>
    </w:p>
    <w:p>
      <w:pPr>
        <w:spacing w:after="0" w:line="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Canton, Massachusetts 02021</w:t>
      </w:r>
    </w:p>
    <w:p>
      <w:pPr>
        <w:jc w:val="center"/>
        <w:ind w:right="-619"/>
        <w:spacing w:after="0"/>
        <w:rPr>
          <w:sz w:val="20"/>
          <w:szCs w:val="20"/>
          <w:color w:val="auto"/>
        </w:rPr>
      </w:pPr>
      <w:r>
        <w:rPr>
          <w:rFonts w:ascii="Arial" w:cs="Arial" w:eastAsia="Arial" w:hAnsi="Arial"/>
          <w:sz w:val="14"/>
          <w:szCs w:val="14"/>
          <w:i w:val="1"/>
          <w:iCs w:val="1"/>
          <w:color w:val="auto"/>
        </w:rPr>
        <w:t>(Name of issuer of the securities held pursuant to the plan and the address</w:t>
      </w:r>
    </w:p>
    <w:p>
      <w:pPr>
        <w:jc w:val="center"/>
        <w:ind w:right="-619"/>
        <w:spacing w:after="0"/>
        <w:rPr>
          <w:sz w:val="20"/>
          <w:szCs w:val="20"/>
          <w:color w:val="auto"/>
        </w:rPr>
      </w:pPr>
      <w:r>
        <w:rPr>
          <w:rFonts w:ascii="Arial" w:cs="Arial" w:eastAsia="Arial" w:hAnsi="Arial"/>
          <w:sz w:val="14"/>
          <w:szCs w:val="14"/>
          <w:i w:val="1"/>
          <w:iCs w:val="1"/>
          <w:color w:val="auto"/>
        </w:rPr>
        <w:t>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230" w:right="8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Casual Male Retail Group, Inc. 401(k) Hourly Savings Plan</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Financial Statements and Supplemental Schedule</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Year Ended December 31, 2011</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8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898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 as of December 31, 2011 and 2010</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8980" w:type="dxa"/>
            <w:vAlign w:val="bottom"/>
            <w:gridSpan w:val="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 of Changes in Net Assets Available for Benefits For the Year Ended December 31, 2011</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6940" w:type="dxa"/>
            <w:vAlign w:val="bottom"/>
            <w:tcBorders>
              <w:top w:val="single" w:sz="8" w:color="0000EE"/>
            </w:tcBorders>
            <w:gridSpan w:val="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204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304"/>
        </w:trPr>
        <w:tc>
          <w:tcPr>
            <w:tcW w:w="2100" w:type="dxa"/>
            <w:vAlign w:val="bottom"/>
            <w:tcBorders>
              <w:top w:val="single" w:sz="8" w:color="0000EE"/>
            </w:tcBorders>
            <w:gridSpan w:val="2"/>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Supplemental Schedule</w:t>
              </w:r>
            </w:hyperlink>
          </w:p>
        </w:tc>
        <w:tc>
          <w:tcPr>
            <w:tcW w:w="6880" w:type="dxa"/>
            <w:vAlign w:val="bottom"/>
            <w:gridSpan w:val="5"/>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1660" w:type="dxa"/>
            <w:vAlign w:val="bottom"/>
            <w:shd w:val="clear" w:color="auto" w:fill="0000EE"/>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8980" w:type="dxa"/>
            <w:vAlign w:val="bottom"/>
            <w:gridSpan w:val="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Schedule H, Line 4i – Schedule of Assets (Held at End of Year)</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1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401(k) Hourly Savings Plan</w:t>
      </w:r>
    </w:p>
    <w:p>
      <w:pPr>
        <w:spacing w:after="0" w:line="165"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We have audited the accompanying statements of net assets available for benefits of the Casual Male Retail Group, Inc. 401(k) Hourly Savings Plan (the “Plan”) as of December 31, 2011 and 2010, and the related statement of changes in net assets available for benefits for the year ended December 31, 2011. These financial statements are the responsibility of the Plan’s management. Our responsibility is to express an opinion on these financial statements based on our audits.</w:t>
      </w:r>
    </w:p>
    <w:p>
      <w:pPr>
        <w:spacing w:after="0" w:line="88"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2011 and 2010, and the changes in net assets available for benefits for the year ended December 31, 2011, in conformity with U.S. generally accepted accounting principles.</w:t>
      </w:r>
    </w:p>
    <w:p>
      <w:pPr>
        <w:spacing w:after="0" w:line="14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audits were performed for the purpose of forming an opinion on the basic financial statements taken as a whole. The supplemental schedule, as listed in the accompanying index, is presented for the purpose of additional analysis and is not a required part of the basic financial statements, but is supplemental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audits of the basic financial statements and, in our opinion, is fairly stated in all material respects in relation to the basic financial statements taken as a whole.</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Mayer Hoffman McCann CPAs</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New York Practice of Mayer Hoffman McCann P.C.)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28,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2011 and 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22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92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Investments, at fair value (Notes 3, 4 and 5)</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$10,616,780</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3"/>
              </w:rPr>
              <w:t>$ 11,240,822</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0" w:type="dxa"/>
            <w:vAlign w:val="bottom"/>
          </w:tcPr>
          <w:p>
            <w:pPr>
              <w:ind w:left="440"/>
              <w:spacing w:after="0"/>
              <w:rPr>
                <w:sz w:val="20"/>
                <w:szCs w:val="20"/>
                <w:color w:val="auto"/>
              </w:rPr>
            </w:pPr>
            <w:r>
              <w:rPr>
                <w:rFonts w:ascii="Arial" w:cs="Arial" w:eastAsia="Arial" w:hAnsi="Arial"/>
                <w:sz w:val="18"/>
                <w:szCs w:val="18"/>
                <w:color w:val="auto"/>
              </w:rPr>
              <w:t>Employee contributions</w:t>
            </w:r>
          </w:p>
        </w:tc>
        <w:tc>
          <w:tcPr>
            <w:tcW w:w="900" w:type="dxa"/>
            <w:vAlign w:val="bottom"/>
          </w:tcPr>
          <w:p>
            <w:pPr>
              <w:jc w:val="right"/>
              <w:spacing w:after="0"/>
              <w:rPr>
                <w:sz w:val="20"/>
                <w:szCs w:val="20"/>
                <w:color w:val="auto"/>
              </w:rPr>
            </w:pPr>
            <w:r>
              <w:rPr>
                <w:rFonts w:ascii="Arial" w:cs="Arial" w:eastAsia="Arial" w:hAnsi="Arial"/>
                <w:sz w:val="18"/>
                <w:szCs w:val="18"/>
                <w:color w:val="auto"/>
              </w:rPr>
              <w:t>1,040</w:t>
            </w:r>
          </w:p>
        </w:tc>
        <w:tc>
          <w:tcPr>
            <w:tcW w:w="3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Employer contributions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263,409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9200" w:type="dxa"/>
            <w:vAlign w:val="bottom"/>
          </w:tcPr>
          <w:p>
            <w:pPr>
              <w:ind w:left="440"/>
              <w:spacing w:after="0"/>
              <w:rPr>
                <w:sz w:val="20"/>
                <w:szCs w:val="20"/>
                <w:color w:val="auto"/>
              </w:rPr>
            </w:pPr>
            <w:r>
              <w:rPr>
                <w:rFonts w:ascii="Arial" w:cs="Arial" w:eastAsia="Arial" w:hAnsi="Arial"/>
                <w:sz w:val="18"/>
                <w:szCs w:val="18"/>
                <w:color w:val="auto"/>
              </w:rPr>
              <w:t>Notes receivable from participants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360,949</w:t>
            </w:r>
          </w:p>
        </w:tc>
        <w:tc>
          <w:tcPr>
            <w:tcW w:w="3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317,934</w:t>
            </w:r>
          </w:p>
        </w:tc>
        <w:tc>
          <w:tcPr>
            <w:tcW w:w="10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625,398</w:t>
            </w:r>
          </w:p>
        </w:tc>
        <w:tc>
          <w:tcPr>
            <w:tcW w:w="3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317,934</w:t>
            </w:r>
          </w:p>
        </w:tc>
        <w:tc>
          <w:tcPr>
            <w:tcW w:w="100" w:type="dxa"/>
            <w:vAlign w:val="bottom"/>
            <w:shd w:val="clear" w:color="auto" w:fill="CCEEFF"/>
          </w:tcPr>
          <w:p>
            <w:pPr>
              <w:spacing w:after="0"/>
              <w:rPr>
                <w:sz w:val="18"/>
                <w:szCs w:val="18"/>
                <w:color w:val="auto"/>
              </w:rPr>
            </w:pPr>
          </w:p>
        </w:tc>
      </w:tr>
      <w:tr>
        <w:trPr>
          <w:trHeight w:val="222"/>
        </w:trPr>
        <w:tc>
          <w:tcPr>
            <w:tcW w:w="9200" w:type="dxa"/>
            <w:vAlign w:val="bottom"/>
          </w:tcPr>
          <w:p>
            <w:pPr>
              <w:spacing w:after="0"/>
              <w:rPr>
                <w:sz w:val="20"/>
                <w:szCs w:val="20"/>
                <w:color w:val="auto"/>
              </w:rPr>
            </w:pPr>
            <w:r>
              <w:rPr>
                <w:rFonts w:ascii="Arial" w:cs="Arial" w:eastAsia="Arial" w:hAnsi="Arial"/>
                <w:sz w:val="18"/>
                <w:szCs w:val="18"/>
                <w:color w:val="auto"/>
              </w:rPr>
              <w:t>Total assets reflecting investments at fair value</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11,242,178</w:t>
            </w:r>
          </w:p>
        </w:tc>
        <w:tc>
          <w:tcPr>
            <w:tcW w:w="3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11,558,756</w:t>
            </w:r>
          </w:p>
        </w:tc>
      </w:tr>
      <w:tr>
        <w:trPr>
          <w:trHeight w:val="217"/>
        </w:trPr>
        <w:tc>
          <w:tcPr>
            <w:tcW w:w="9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(136,411)</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(75,309)</w:t>
            </w:r>
          </w:p>
        </w:tc>
      </w:tr>
      <w:tr>
        <w:trPr>
          <w:trHeight w:val="222"/>
        </w:trPr>
        <w:tc>
          <w:tcPr>
            <w:tcW w:w="920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11,105,767</w:t>
            </w:r>
          </w:p>
        </w:tc>
        <w:tc>
          <w:tcPr>
            <w:tcW w:w="3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11,483,447</w:t>
            </w:r>
          </w:p>
        </w:tc>
        <w:tc>
          <w:tcPr>
            <w:tcW w:w="10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left="1740"/>
        <w:spacing w:after="0"/>
        <w:rPr>
          <w:sz w:val="20"/>
          <w:szCs w:val="20"/>
          <w:color w:val="auto"/>
        </w:rPr>
      </w:pPr>
      <w:r>
        <w:rPr>
          <w:rFonts w:ascii="Arial" w:cs="Arial" w:eastAsia="Arial" w:hAnsi="Arial"/>
          <w:sz w:val="16"/>
          <w:szCs w:val="16"/>
          <w:color w:val="auto"/>
        </w:rPr>
        <w:t>Casual Male Retail Group, Inc. 401(k) Hourly Savings Plan</w:t>
      </w:r>
    </w:p>
    <w:p>
      <w:pPr>
        <w:spacing w:after="0" w:line="38" w:lineRule="exact"/>
        <w:rPr>
          <w:sz w:val="20"/>
          <w:szCs w:val="20"/>
          <w:color w:val="auto"/>
        </w:rPr>
      </w:pPr>
    </w:p>
    <w:p>
      <w:pPr>
        <w:jc w:val="center"/>
        <w:ind w:left="1740"/>
        <w:spacing w:after="0"/>
        <w:rPr>
          <w:sz w:val="20"/>
          <w:szCs w:val="20"/>
          <w:color w:val="auto"/>
        </w:rPr>
      </w:pPr>
      <w:r>
        <w:rPr>
          <w:rFonts w:ascii="Arial" w:cs="Arial" w:eastAsia="Arial" w:hAnsi="Arial"/>
          <w:sz w:val="16"/>
          <w:szCs w:val="16"/>
          <w:color w:val="auto"/>
        </w:rPr>
        <w:t>Statement of Changes in Net Assets Available for Benefits</w:t>
      </w:r>
    </w:p>
    <w:p>
      <w:pPr>
        <w:spacing w:after="0" w:line="32" w:lineRule="exact"/>
        <w:rPr>
          <w:sz w:val="20"/>
          <w:szCs w:val="20"/>
          <w:color w:val="auto"/>
        </w:rPr>
      </w:pPr>
    </w:p>
    <w:p>
      <w:pPr>
        <w:jc w:val="center"/>
        <w:ind w:left="1740"/>
        <w:spacing w:after="0"/>
        <w:rPr>
          <w:sz w:val="20"/>
          <w:szCs w:val="20"/>
          <w:color w:val="auto"/>
        </w:rPr>
      </w:pPr>
      <w:r>
        <w:rPr>
          <w:rFonts w:ascii="Arial" w:cs="Arial" w:eastAsia="Arial" w:hAnsi="Arial"/>
          <w:sz w:val="18"/>
          <w:szCs w:val="18"/>
          <w:color w:val="auto"/>
        </w:rPr>
        <w:t>For the Year Ended December 31, 2011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Additions to net assets attributed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and dividend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on participant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Employee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Rollovers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Transfers into the Plan (Note 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Deductions from net assets attributed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Net depreciation in fair value of investments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Benefits paid directly to participants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Transfers out of the Plan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Administrative fees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Total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Net decrease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 at end of year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0" w:hanging="319"/>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232,204</w:t>
      </w:r>
    </w:p>
    <w:p>
      <w:pPr>
        <w:spacing w:after="0" w:line="248"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16,872</w:t>
      </w:r>
    </w:p>
    <w:p>
      <w:pPr>
        <w:spacing w:after="0" w:line="200" w:lineRule="exact"/>
        <w:rPr>
          <w:sz w:val="20"/>
          <w:szCs w:val="20"/>
          <w:color w:val="auto"/>
        </w:rPr>
      </w:pPr>
    </w:p>
    <w:p>
      <w:pPr>
        <w:spacing w:after="0" w:line="24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561,955</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263,446</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137,331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21590</wp:posOffset>
            </wp:positionV>
            <wp:extent cx="5657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3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962,732</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190,364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21590</wp:posOffset>
            </wp:positionV>
            <wp:extent cx="5657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1,402,172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5657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353,963</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1,391,554</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13,346</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20,989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5657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1,779,852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25400</wp:posOffset>
            </wp:positionV>
            <wp:extent cx="5657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(377,680)</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6"/>
          <w:szCs w:val="16"/>
          <w:u w:val="single" w:color="auto"/>
          <w:color w:val="auto"/>
        </w:rPr>
        <w:t>11,483,447</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$ 11,105,767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5657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ectPr>
          <w:pgSz w:w="11900" w:h="16838" w:orient="portrait"/>
          <w:cols w:equalWidth="0" w:num="2">
            <w:col w:w="9700" w:space="720"/>
            <w:col w:w="96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the Plan</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description of Casual Male Retail Group, Inc. 401(k) Hourly Savings Plan (the “Plan”) provides only general information. Participants should refer to the Plan document for a more complete description of the Plan’s provisions.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Plan is a defined contribution plan covering eligible employees of Casual Male Retail Group, Inc. (the “Company”). The Plan is subject to the provisions of the Employee Retirement Income Security Act of 1974 (ERISA).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Eligibility</w:t>
      </w:r>
    </w:p>
    <w:p>
      <w:pPr>
        <w:spacing w:after="0" w:line="9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All hourly employees of the Company who have completed one year of employment, worked 1,000 hours in one year, and are at least 21 years of age are eligible to participate in the Plan. After completing age and service requirements, the employee can enter the Plan on the first day of any subsequent month.</w:t>
      </w:r>
    </w:p>
    <w:p>
      <w:pPr>
        <w:spacing w:after="0" w:line="85"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As participants change positions at the Company, they may change from an hourly to salary status or vice versa. Assets transferred to the Casual Male Retail Group, Inc. 401(k) Salaried Savings Plan during the year ended December 31, 2011 were $13,346. Assets transferred from the Casual Male Retail Group Inc. 401(k) Salaried Savings Plan during the year ended December 31, 2011 were $190,364.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w:t>
      </w:r>
    </w:p>
    <w:p>
      <w:pPr>
        <w:spacing w:after="0" w:line="9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Each year, participants may contribute from 1% to 80% of pretax annual compensation as defined in the Plan, subject to certain limitations prescribed by the Internal Revenue Code (the “Code”). Participants may also contribute amounts representing distributions from other qualified defined benefit or defined contribution plans.</w:t>
      </w:r>
    </w:p>
    <w:p>
      <w:pPr>
        <w:spacing w:after="0" w:line="140"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Effective January 1, 2011, the Company reinstituted the Safe Harbor Matching provisions permitted under the Pension Protection Act of 2006 and for the year ended December 31, 2011, contributed a match of 100% of the participant’s elective deferral for the first 1% of eligible compensation plus 50% of the participant’s elective deferral for the next 5% of eligible compensation. Additional amounts may be contributed at the discretion of the Company.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the Plan (continued</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Automatic Enrollment</w:t>
      </w:r>
    </w:p>
    <w:p>
      <w:pPr>
        <w:spacing w:after="0" w:line="90"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Each employee who has satisfied the eligibility requirements shall be automatically enrolled and shall have an amount equal to 3% of their compensation automatically deducted unless the employee affirmatively elects a different elective deferral contribution percent (including a zero percent election). Unless an eligible employee affirmatively elects not to contribute or changes their deferral rate, the pre-tax deferral will increase annually by 1% not to exceed 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Participants’ Accounts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participant’s account is credited with the participant’s contributions, the Company’s matching and discretionary contribution, plan earnings and charged with an allocation of plan expenses. Allocations are based on account balances. The benefit to which a participant is entitled is the benefit that can be provided from the participant’s vested account.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p>
    <w:p>
      <w:pPr>
        <w:spacing w:after="0" w:line="9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Participants are immediately vested in their contributions plus actual earnings thereon. Vesting in the Company contribution portion of their accounts plus actual earnings thereon is based on years of continuous service. A participant is 100% vested after two years of credited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Forfeitures</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Amounts forfeited under the Plan are used to reduce future employer contributions and administrative expenses. At December 31, 2011 and 2010, forfeited non-vested accounts totaled $2,474 and $2,092,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Options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Upon enrollment in the Plan, participants may direct their elective contribution and Company contributions into various investment options offered by the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change their investment options at any time.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the Plan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90"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Participants may borrow the lesser of $50,000 reduced by the individual’s highest outstanding loan balance during the preceding twelve months or 50% of the individual’s vested balance with a minimum of $1,000 per loan. Loan transactions are treated as a transfer to / (from) the investment fund from / (to) the participant loans fund. Loans are secured by the balance in the participant’s account. Loan terms range from one to five years unless the loan is used to purchase a primary residence, in which case the loan may be repaid over a ten-year period. Other restrictions, as specified in the Plan agreement, may apply to a participant’s loan transaction. Interest rates range from 4.75% to 9.25% at December 31, 2011. Principal and interest is paid ratably through payroll deductions.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Expenses</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accordance with the Plan, all administrative expenses may be paid out of the Plan unless paid by the Company. During 2011, there were no expenses paid by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Distribution can be made if requested due to disability, retirement, or termination of employment. On termination of service for any reason, a participant may receive a lump sum amount equal to the value of the participant’s vested interest in his or her account, if the vested interest is $5,000 or less. If the participant’s vested interest is over $5,000, the participant may elect to receive payment in a lump-sum amount or installments paid over a certain number of years selected by the participant.</w:t>
      </w:r>
    </w:p>
    <w:p>
      <w:pPr>
        <w:spacing w:after="0" w:line="143"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Beneficiaries may request a distribution of the vested account balance in the event of death. The account balance will continue to increase or decrease, as appropriate, based on the investment returns until it is distributed.</w:t>
      </w:r>
    </w:p>
    <w:p>
      <w:pPr>
        <w:spacing w:after="0" w:line="13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Distribution can be deferred to a later date, however, it cannot be postponed if the vested account balance is $5,000 or less; in which case the Plan Administrator will direct the Trustee that any amount exceeding $1,000 be distributed to an Individual Retirement Account or Annuity (“IRA”). If the vested account balance is $1,000 or less, the Plan Administrator will direct the Trustee to distribute it as a lump sum distribution without the participant’s consent. Prior to such distribution, participants still have the right to request that the amount be distributed directly to them in the form of a lump sum payment or to request that it be rolled-over to a different IRA provider or another retirement plan eligible to receive rollover contributions.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the Plan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 (continued)</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If the participant fails to request a different treatment of an automatic distribution under the Plan’s cash-out provision, the distribution will be paid over to an IRA provider chosen by the Plan Administrator and invested in a product designed to preserve the principal of that distribution while still providing a reasonable rate of return and preserving liquidity. The fees assessed against this newly established IRA by its provider will be paid by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Termination</w:t>
      </w:r>
    </w:p>
    <w:p>
      <w:pPr>
        <w:spacing w:after="0" w:line="9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a plan termination, participants will become 100% vested in their accounts.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w:t>
      </w:r>
      <w:r>
        <w:rPr>
          <w:rFonts w:ascii="Arial" w:cs="Arial" w:eastAsia="Arial" w:hAnsi="Arial"/>
          <w:sz w:val="18"/>
          <w:szCs w:val="18"/>
          <w:u w:val="single" w:color="auto"/>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Accounting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on the accrual basis of accounting.</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Fidelity Advisor Stable Value Fund invests in fully benefit-responsive investment contracts which are reported at fair value (see Note 5); however, contract value is the relevant measurement attribute for that portion of the net assets available for benefits attributable to fully benefit-responsive investment contracts because contract value is the amount participants would receive if they were to initiate permitted transactions under the terms of the Plan. The Statements of Net Assets Available for Benefits present the fair value of the investment contracts as well as the adjustment of the fully benefit-responsive investment contracts from fair value to contract value. The Statement of Changes in Net Assets Available for Benefits is prepared on a contract value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Valuation and Income Recognition</w:t>
      </w:r>
    </w:p>
    <w:p>
      <w:pPr>
        <w:spacing w:after="0" w:line="90"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Investments are stated at fair value. Fair value is the price that would be received to sell an asset or paid to transfer a liability in an orderly transaction between market participants at the measurement date (an exit price). See Note 5 for further discussion of fair value measurement.</w:t>
      </w:r>
    </w:p>
    <w:p>
      <w:pPr>
        <w:spacing w:after="0" w:line="8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Purchases and sales of securities are recorded on a trade-date basis. Interest income is recorded on the accrual basis. Dividends are recorded on the ex-dividend date. Net depreciation includes the plan’s gains and losses on investments bought and sold as well as held during the year.</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w:t>
      </w:r>
      <w:r>
        <w:rPr>
          <w:rFonts w:ascii="Arial" w:cs="Arial" w:eastAsia="Arial" w:hAnsi="Arial"/>
          <w:sz w:val="18"/>
          <w:szCs w:val="18"/>
          <w:u w:val="single" w:color="auto"/>
          <w:color w:val="auto"/>
        </w:rPr>
        <w:t>Summary of Significant Accounting Policies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Notes receivable from participants are measured at their unpaid principal balance plus accrued but unpaid interest. Delinquent participant loans are reclassified as distributions based upon the terms of the plan document.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changes therein and disclosure of contingent assets and liabilities.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 values</w:t>
      </w:r>
    </w:p>
    <w:p>
      <w:pPr>
        <w:spacing w:after="0" w:line="9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Individual participant accounts for the Fidelity Advisor Stable Value Fund, a common/collective trust fund, are maintained on a unit value basis. Participants do not have beneficial ownership in the specific underlying securities or other assets in the fund, but do have an interest therein represented by units valued daily. The fund earns dividends and interest which are automatically reinvested in additional units. Generally, contributions to and withdrawals from each fund are converted to units by dividing the amounts of such transactions by the unit values as last determined, and the participants’ accounts are charged or credited with the number of units properly attributable to each participant.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w:t>
      </w:r>
      <w:r>
        <w:rPr>
          <w:rFonts w:ascii="Arial" w:cs="Arial" w:eastAsia="Arial" w:hAnsi="Arial"/>
          <w:sz w:val="18"/>
          <w:szCs w:val="18"/>
          <w:u w:val="single" w:color="auto"/>
          <w:color w:val="auto"/>
        </w:rPr>
        <w:t>Summary of Significant Accounting Policies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u w:val="single" w:color="auto"/>
          <w:color w:val="auto"/>
        </w:rPr>
        <w:t>Fair value disclosures</w:t>
      </w:r>
      <w:r>
        <w:rPr>
          <w:rFonts w:ascii="Arial" w:cs="Arial" w:eastAsia="Arial" w:hAnsi="Arial"/>
          <w:sz w:val="16"/>
          <w:szCs w:val="16"/>
          <w:color w:val="auto"/>
        </w:rPr>
        <w:t xml:space="preserve"> - In January 2010, the Financial Accounting Standards Board (“FASB”) issued guidance which expanded the required disclosures about fair value measurements. This guidance requires information about purchases, sales, issuances and settlements to be presented separately in the reconciliation for Level 3 fair value measurements and is effective for fiscal years beginning after December 15, 2010. Net assets available for benefits and changes in net assets available for benefits of the Plan were not affected by the adoption of the new guidance.</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u w:val="single" w:color="auto"/>
          <w:color w:val="auto"/>
        </w:rPr>
        <w:t>Fair value measurements</w:t>
      </w:r>
      <w:r>
        <w:rPr>
          <w:rFonts w:ascii="Arial" w:cs="Arial" w:eastAsia="Arial" w:hAnsi="Arial"/>
          <w:sz w:val="16"/>
          <w:szCs w:val="16"/>
          <w:color w:val="auto"/>
        </w:rPr>
        <w:t xml:space="preserve"> - In May 2011, the FASB issued guidance which amends Accounting Standards Codification (“ASC”) 820. This guidance requires the categorization by level for items that are only required to be disclosed at fair value and information about transfers between Level 1 and Level 2. In addition, it provides guidance on measuring the fair value of financial instruments managed within a portfolio and the application of premiums and discounts on fair value measurements. The guidance requires additional disclosure for Level 3 measurements regarding the sensitivity of fair value to changes in unobservable inputs and any interrelationships between those inputs. The new guidance is effective for reporting periods beginning after December 15, 2011. The Company is currently evaluating the impact that this guidance will have on the Plan’s financial statement disclosures.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3- </w:t>
      </w:r>
      <w:r>
        <w:rPr>
          <w:rFonts w:ascii="Arial" w:cs="Arial" w:eastAsia="Arial" w:hAnsi="Arial"/>
          <w:sz w:val="18"/>
          <w:szCs w:val="18"/>
          <w:u w:val="single" w:color="auto"/>
          <w:color w:val="auto"/>
        </w:rPr>
        <w:t>Investments</w:t>
      </w:r>
    </w:p>
    <w:p>
      <w:pPr>
        <w:spacing w:after="0" w:line="9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During 2011, the Plan’s investments (including gains and losses on investments bought and sold, as well as held during the year) depreciated in fair value as follows:</w:t>
      </w:r>
    </w:p>
    <w:p>
      <w:pPr>
        <w:spacing w:after="0" w:line="15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5300" w:type="dxa"/>
            <w:vAlign w:val="bottom"/>
            <w:gridSpan w:val="4"/>
          </w:tcPr>
          <w:p>
            <w:pPr>
              <w:jc w:val="center"/>
              <w:ind w:left="4059"/>
              <w:spacing w:after="0"/>
              <w:rPr>
                <w:sz w:val="20"/>
                <w:szCs w:val="20"/>
                <w:color w:val="auto"/>
              </w:rPr>
            </w:pPr>
            <w:r>
              <w:rPr>
                <w:rFonts w:ascii="Arial" w:cs="Arial" w:eastAsia="Arial" w:hAnsi="Arial"/>
                <w:sz w:val="14"/>
                <w:szCs w:val="14"/>
                <w:color w:val="auto"/>
                <w:w w:val="88"/>
              </w:rPr>
              <w:t>Net Depreciation</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9"/>
              </w:rPr>
              <w:t>in Fair Value of</w:t>
            </w:r>
          </w:p>
        </w:tc>
        <w:tc>
          <w:tcPr>
            <w:tcW w:w="0" w:type="dxa"/>
            <w:vAlign w:val="bottom"/>
          </w:tcPr>
          <w:p>
            <w:pPr>
              <w:spacing w:after="0"/>
              <w:rPr>
                <w:sz w:val="1"/>
                <w:szCs w:val="1"/>
                <w:color w:val="auto"/>
              </w:rPr>
            </w:pPr>
          </w:p>
        </w:tc>
      </w:tr>
      <w:tr>
        <w:trPr>
          <w:trHeight w:val="159"/>
        </w:trPr>
        <w:tc>
          <w:tcPr>
            <w:tcW w:w="246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87"/>
              </w:rPr>
              <w:t>Investments</w:t>
            </w:r>
          </w:p>
        </w:tc>
        <w:tc>
          <w:tcPr>
            <w:tcW w:w="0" w:type="dxa"/>
            <w:vAlign w:val="bottom"/>
          </w:tcPr>
          <w:p>
            <w:pPr>
              <w:spacing w:after="0"/>
              <w:rPr>
                <w:sz w:val="1"/>
                <w:szCs w:val="1"/>
                <w:color w:val="auto"/>
              </w:rPr>
            </w:pPr>
          </w:p>
        </w:tc>
      </w:tr>
      <w:tr>
        <w:trPr>
          <w:trHeight w:val="210"/>
        </w:trPr>
        <w:tc>
          <w:tcPr>
            <w:tcW w:w="2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Mutual Funds</w:t>
            </w:r>
          </w:p>
        </w:tc>
        <w:tc>
          <w:tcPr>
            <w:tcW w:w="4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(317,955)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Common Stock</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(36,008)</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6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(353,963)</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260" w:type="dxa"/>
            <w:vAlign w:val="bottom"/>
            <w:vMerge w:val="restart"/>
          </w:tcPr>
          <w:p>
            <w:pPr>
              <w:jc w:val="right"/>
              <w:ind w:right="2719"/>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46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3- </w:t>
      </w:r>
      <w:r>
        <w:rPr>
          <w:rFonts w:ascii="Arial" w:cs="Arial" w:eastAsia="Arial" w:hAnsi="Arial"/>
          <w:sz w:val="18"/>
          <w:szCs w:val="18"/>
          <w:u w:val="single" w:color="auto"/>
          <w:color w:val="auto"/>
        </w:rPr>
        <w:t>Investments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Investments that represent 5% or more of the Plan’s net assets available for benefits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ind w:left="520"/>
              <w:spacing w:after="0"/>
              <w:rPr>
                <w:sz w:val="20"/>
                <w:szCs w:val="20"/>
                <w:color w:val="auto"/>
              </w:rPr>
            </w:pPr>
            <w:r>
              <w:rPr>
                <w:rFonts w:ascii="Arial" w:cs="Arial" w:eastAsia="Arial" w:hAnsi="Arial"/>
                <w:sz w:val="14"/>
                <w:szCs w:val="14"/>
                <w:color w:val="auto"/>
              </w:rPr>
              <w:t>December 31,</w:t>
            </w:r>
          </w:p>
        </w:tc>
      </w:tr>
      <w:tr>
        <w:trPr>
          <w:trHeight w:val="159"/>
        </w:trPr>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20" w:type="dxa"/>
            <w:vAlign w:val="bottom"/>
            <w:tcBorders>
              <w:bottom w:val="single" w:sz="8" w:color="CCEEFF"/>
            </w:tcBorders>
          </w:tcPr>
          <w:p>
            <w:pPr>
              <w:spacing w:after="0"/>
              <w:rPr>
                <w:sz w:val="13"/>
                <w:szCs w:val="13"/>
                <w:color w:val="auto"/>
              </w:rPr>
            </w:pPr>
          </w:p>
        </w:tc>
        <w:tc>
          <w:tcPr>
            <w:tcW w:w="2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8"/>
              <w:spacing w:after="0" w:line="159" w:lineRule="exact"/>
              <w:rPr>
                <w:sz w:val="20"/>
                <w:szCs w:val="20"/>
                <w:color w:val="auto"/>
              </w:rPr>
            </w:pPr>
            <w:r>
              <w:rPr>
                <w:rFonts w:ascii="Arial" w:cs="Arial" w:eastAsia="Arial" w:hAnsi="Arial"/>
                <w:sz w:val="14"/>
                <w:szCs w:val="14"/>
                <w:color w:val="auto"/>
              </w:rPr>
              <w:t>2011</w:t>
            </w:r>
          </w:p>
        </w:tc>
        <w:tc>
          <w:tcPr>
            <w:tcW w:w="4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6"/>
              <w:spacing w:after="0" w:line="159" w:lineRule="exact"/>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tcPr>
          <w:p>
            <w:pPr>
              <w:spacing w:after="0"/>
              <w:rPr>
                <w:sz w:val="13"/>
                <w:szCs w:val="13"/>
                <w:color w:val="auto"/>
              </w:rPr>
            </w:pPr>
          </w:p>
        </w:tc>
      </w:tr>
      <w:tr>
        <w:trPr>
          <w:trHeight w:val="210"/>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Fidelity Advisor Stable Value Fund *</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4,136,530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3,951,724</w:t>
            </w: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Fidelity Advisor Freedom 2005</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979,165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1,007,336</w:t>
            </w: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JP Morgan Equity Index</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993,485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992,458</w:t>
            </w: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Fidelity Advisor Freedom 2010</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760,934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771,837</w:t>
            </w: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Fidelity Advisor New Insights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629,535</w:t>
            </w:r>
          </w:p>
        </w:tc>
        <w:tc>
          <w:tcPr>
            <w:tcW w:w="100" w:type="dxa"/>
            <w:vAlign w:val="bottom"/>
            <w:shd w:val="clear" w:color="auto" w:fill="CCEEFF"/>
          </w:tcPr>
          <w:p>
            <w:pPr>
              <w:spacing w:after="0"/>
              <w:rPr>
                <w:sz w:val="18"/>
                <w:szCs w:val="18"/>
                <w:color w:val="auto"/>
              </w:rPr>
            </w:pPr>
          </w:p>
        </w:tc>
      </w:tr>
      <w:tr>
        <w:trPr>
          <w:trHeight w:val="289"/>
        </w:trPr>
        <w:tc>
          <w:tcPr>
            <w:tcW w:w="320" w:type="dxa"/>
            <w:vAlign w:val="bottom"/>
          </w:tcPr>
          <w:p>
            <w:pPr>
              <w:spacing w:after="0"/>
              <w:rPr>
                <w:sz w:val="20"/>
                <w:szCs w:val="20"/>
                <w:color w:val="auto"/>
              </w:rPr>
            </w:pPr>
            <w:r>
              <w:rPr>
                <w:rFonts w:ascii="Arial" w:cs="Arial" w:eastAsia="Arial" w:hAnsi="Arial"/>
                <w:sz w:val="18"/>
                <w:szCs w:val="18"/>
                <w:b w:val="1"/>
                <w:bCs w:val="1"/>
                <w:color w:val="auto"/>
              </w:rPr>
              <w:t>*</w:t>
            </w:r>
          </w:p>
        </w:tc>
        <w:tc>
          <w:tcPr>
            <w:tcW w:w="6360" w:type="dxa"/>
            <w:vAlign w:val="bottom"/>
            <w:gridSpan w:val="2"/>
          </w:tcPr>
          <w:p>
            <w:pPr>
              <w:ind w:left="140"/>
              <w:spacing w:after="0"/>
              <w:rPr>
                <w:sz w:val="20"/>
                <w:szCs w:val="20"/>
                <w:color w:val="auto"/>
              </w:rPr>
            </w:pPr>
            <w:r>
              <w:rPr>
                <w:rFonts w:ascii="Arial" w:cs="Arial" w:eastAsia="Arial" w:hAnsi="Arial"/>
                <w:sz w:val="18"/>
                <w:szCs w:val="18"/>
                <w:color w:val="auto"/>
              </w:rPr>
              <w:t>The amount represents contract value for this investment.</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6360" w:type="dxa"/>
            <w:vAlign w:val="bottom"/>
            <w:gridSpan w:val="2"/>
          </w:tcPr>
          <w:p>
            <w:pPr>
              <w:ind w:left="140"/>
              <w:spacing w:after="0"/>
              <w:rPr>
                <w:sz w:val="20"/>
                <w:szCs w:val="20"/>
                <w:color w:val="auto"/>
              </w:rPr>
            </w:pPr>
            <w:r>
              <w:rPr>
                <w:rFonts w:ascii="Arial" w:cs="Arial" w:eastAsia="Arial" w:hAnsi="Arial"/>
                <w:sz w:val="18"/>
                <w:szCs w:val="18"/>
                <w:color w:val="auto"/>
              </w:rPr>
              <w:t>Not applicable, investment amount is below 5%.</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4- </w:t>
      </w:r>
      <w:r>
        <w:rPr>
          <w:rFonts w:ascii="Arial" w:cs="Arial" w:eastAsia="Arial" w:hAnsi="Arial"/>
          <w:sz w:val="18"/>
          <w:szCs w:val="18"/>
          <w:u w:val="single" w:color="auto"/>
          <w:color w:val="auto"/>
        </w:rPr>
        <w:t>Non Participant Directed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net assets and the significant components of the changes in net assets relating to the non participant directed investments are as follows:</w:t>
      </w:r>
    </w:p>
    <w:p>
      <w:pPr>
        <w:spacing w:after="0" w:line="22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ind w:left="440"/>
              <w:spacing w:after="0"/>
              <w:rPr>
                <w:sz w:val="20"/>
                <w:szCs w:val="20"/>
                <w:color w:val="auto"/>
              </w:rPr>
            </w:pPr>
            <w:r>
              <w:rPr>
                <w:rFonts w:ascii="Arial" w:cs="Arial" w:eastAsia="Arial" w:hAnsi="Arial"/>
                <w:sz w:val="14"/>
                <w:szCs w:val="14"/>
                <w:color w:val="auto"/>
              </w:rPr>
              <w:t>December</w:t>
            </w:r>
          </w:p>
        </w:tc>
      </w:tr>
      <w:tr>
        <w:trPr>
          <w:trHeight w:val="159"/>
        </w:trPr>
        <w:tc>
          <w:tcPr>
            <w:tcW w:w="46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600" w:type="dxa"/>
            <w:vAlign w:val="bottom"/>
            <w:gridSpan w:val="3"/>
          </w:tcPr>
          <w:p>
            <w:pPr>
              <w:jc w:val="right"/>
              <w:ind w:right="52"/>
              <w:spacing w:after="0" w:line="159" w:lineRule="exact"/>
              <w:rPr>
                <w:sz w:val="20"/>
                <w:szCs w:val="20"/>
                <w:color w:val="auto"/>
              </w:rPr>
            </w:pPr>
            <w:r>
              <w:rPr>
                <w:rFonts w:ascii="Arial" w:cs="Arial" w:eastAsia="Arial" w:hAnsi="Arial"/>
                <w:sz w:val="14"/>
                <w:szCs w:val="14"/>
                <w:color w:val="auto"/>
              </w:rPr>
              <w:t>2011</w:t>
            </w:r>
          </w:p>
        </w:tc>
        <w:tc>
          <w:tcPr>
            <w:tcW w:w="940" w:type="dxa"/>
            <w:vAlign w:val="bottom"/>
            <w:gridSpan w:val="4"/>
          </w:tcPr>
          <w:p>
            <w:pPr>
              <w:jc w:val="right"/>
              <w:ind w:right="120"/>
              <w:spacing w:after="0" w:line="15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3"/>
                <w:szCs w:val="13"/>
                <w:color w:val="auto"/>
              </w:rPr>
            </w:pPr>
          </w:p>
        </w:tc>
      </w:tr>
      <w:tr>
        <w:trPr>
          <w:trHeight w:val="196"/>
        </w:trPr>
        <w:tc>
          <w:tcPr>
            <w:tcW w:w="70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Fidelity Advisor Stable Value Fund</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$2,474</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19"/>
                <w:szCs w:val="19"/>
                <w:color w:val="auto"/>
              </w:rPr>
            </w:pPr>
          </w:p>
        </w:tc>
      </w:tr>
      <w:tr>
        <w:trPr>
          <w:trHeight w:val="334"/>
        </w:trPr>
        <w:tc>
          <w:tcPr>
            <w:tcW w:w="4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6"/>
          </w:tcPr>
          <w:p>
            <w:pPr>
              <w:ind w:left="120"/>
              <w:spacing w:after="0"/>
              <w:rPr>
                <w:sz w:val="20"/>
                <w:szCs w:val="20"/>
                <w:color w:val="auto"/>
              </w:rPr>
            </w:pPr>
            <w:r>
              <w:rPr>
                <w:rFonts w:ascii="Arial" w:cs="Arial" w:eastAsia="Arial" w:hAnsi="Arial"/>
                <w:sz w:val="14"/>
                <w:szCs w:val="14"/>
                <w:color w:val="auto"/>
              </w:rPr>
              <w:t>Year Ended</w:t>
            </w:r>
          </w:p>
        </w:tc>
      </w:tr>
      <w:tr>
        <w:trPr>
          <w:trHeight w:val="159"/>
        </w:trPr>
        <w:tc>
          <w:tcPr>
            <w:tcW w:w="46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1640" w:type="dxa"/>
            <w:vAlign w:val="bottom"/>
            <w:gridSpan w:val="8"/>
          </w:tcPr>
          <w:p>
            <w:pPr>
              <w:ind w:left="20"/>
              <w:spacing w:after="0" w:line="159" w:lineRule="exact"/>
              <w:rPr>
                <w:sz w:val="20"/>
                <w:szCs w:val="20"/>
                <w:color w:val="auto"/>
              </w:rPr>
            </w:pPr>
            <w:r>
              <w:rPr>
                <w:rFonts w:ascii="Arial" w:cs="Arial" w:eastAsia="Arial" w:hAnsi="Arial"/>
                <w:sz w:val="14"/>
                <w:szCs w:val="14"/>
                <w:color w:val="auto"/>
              </w:rPr>
              <w:t>December 31, 2011</w:t>
            </w:r>
          </w:p>
        </w:tc>
      </w:tr>
      <w:tr>
        <w:trPr>
          <w:trHeight w:val="196"/>
        </w:trPr>
        <w:tc>
          <w:tcPr>
            <w:tcW w:w="460" w:type="dxa"/>
            <w:vAlign w:val="bottom"/>
          </w:tcPr>
          <w:p>
            <w:pPr>
              <w:spacing w:after="0"/>
              <w:rPr>
                <w:sz w:val="17"/>
                <w:szCs w:val="17"/>
                <w:color w:val="auto"/>
              </w:rPr>
            </w:pPr>
          </w:p>
        </w:tc>
        <w:tc>
          <w:tcPr>
            <w:tcW w:w="6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Changes in Net 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6580" w:type="dxa"/>
            <w:vAlign w:val="bottom"/>
          </w:tcPr>
          <w:p>
            <w:pPr>
              <w:ind w:left="440"/>
              <w:spacing w:after="0"/>
              <w:rPr>
                <w:sz w:val="20"/>
                <w:szCs w:val="20"/>
                <w:color w:val="auto"/>
              </w:rPr>
            </w:pPr>
            <w:r>
              <w:rPr>
                <w:rFonts w:ascii="Arial" w:cs="Arial" w:eastAsia="Arial" w:hAnsi="Arial"/>
                <w:sz w:val="18"/>
                <w:szCs w:val="18"/>
                <w:color w:val="auto"/>
              </w:rPr>
              <w:t>Interest and dividend income</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year forfeitures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w:t>
      </w:r>
      <w:r>
        <w:rPr>
          <w:rFonts w:ascii="Arial" w:cs="Arial" w:eastAsia="Arial" w:hAnsi="Arial"/>
          <w:sz w:val="18"/>
          <w:szCs w:val="18"/>
          <w:u w:val="single" w:color="auto"/>
          <w:color w:val="auto"/>
        </w:rPr>
        <w:t>Fair Value Measurements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Plan measures fair value in accordance with FASB ASC 820</w:t>
      </w:r>
      <w:r>
        <w:rPr>
          <w:rFonts w:ascii="Arial" w:cs="Arial" w:eastAsia="Arial" w:hAnsi="Arial"/>
          <w:sz w:val="18"/>
          <w:szCs w:val="18"/>
          <w:i w:val="1"/>
          <w:iCs w:val="1"/>
          <w:color w:val="auto"/>
        </w:rPr>
        <w:t>, Fair Value Measurements and Disclosures,</w:t>
      </w:r>
      <w:r>
        <w:rPr>
          <w:rFonts w:ascii="Arial" w:cs="Arial" w:eastAsia="Arial" w:hAnsi="Arial"/>
          <w:sz w:val="18"/>
          <w:szCs w:val="18"/>
          <w:color w:val="auto"/>
        </w:rPr>
        <w:t xml:space="preserve"> which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FASB ASC 820 are described as follows:</w:t>
      </w:r>
    </w:p>
    <w:p>
      <w:pPr>
        <w:spacing w:after="0" w:line="62" w:lineRule="exact"/>
        <w:rPr>
          <w:sz w:val="20"/>
          <w:szCs w:val="20"/>
          <w:color w:val="auto"/>
        </w:rPr>
      </w:pPr>
    </w:p>
    <w:p>
      <w:pPr>
        <w:ind w:left="920" w:right="280" w:hanging="917"/>
        <w:spacing w:after="0" w:line="268" w:lineRule="auto"/>
        <w:tabs>
          <w:tab w:leader="none" w:pos="9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Plan has the ability to access.</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117" w:lineRule="exact"/>
        <w:rPr>
          <w:sz w:val="20"/>
          <w:szCs w:val="20"/>
          <w:color w:val="auto"/>
        </w:rPr>
      </w:pPr>
    </w:p>
    <w:p>
      <w:pPr>
        <w:ind w:left="1320" w:hanging="286"/>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17" w:lineRule="exact"/>
        <w:rPr>
          <w:rFonts w:ascii="Arial" w:cs="Arial" w:eastAsia="Arial" w:hAnsi="Arial"/>
          <w:sz w:val="18"/>
          <w:szCs w:val="18"/>
          <w:color w:val="auto"/>
        </w:rPr>
      </w:pPr>
    </w:p>
    <w:p>
      <w:pPr>
        <w:ind w:left="1320" w:hanging="286"/>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117" w:lineRule="exact"/>
        <w:rPr>
          <w:rFonts w:ascii="Arial" w:cs="Arial" w:eastAsia="Arial" w:hAnsi="Arial"/>
          <w:sz w:val="18"/>
          <w:szCs w:val="18"/>
          <w:color w:val="auto"/>
        </w:rPr>
      </w:pPr>
    </w:p>
    <w:p>
      <w:pPr>
        <w:ind w:left="1320" w:hanging="286"/>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117" w:lineRule="exact"/>
        <w:rPr>
          <w:rFonts w:ascii="Arial" w:cs="Arial" w:eastAsia="Arial" w:hAnsi="Arial"/>
          <w:sz w:val="18"/>
          <w:szCs w:val="18"/>
          <w:color w:val="auto"/>
        </w:rPr>
      </w:pPr>
    </w:p>
    <w:p>
      <w:pPr>
        <w:ind w:left="5620" w:right="2160" w:hanging="4586"/>
        <w:spacing w:after="0" w:line="440" w:lineRule="auto"/>
        <w:tabs>
          <w:tab w:leader="none" w:pos="1309"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 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w:t>
      </w:r>
      <w:r>
        <w:rPr>
          <w:rFonts w:ascii="Arial" w:cs="Arial" w:eastAsia="Arial" w:hAnsi="Arial"/>
          <w:sz w:val="18"/>
          <w:szCs w:val="18"/>
          <w:u w:val="single" w:color="auto"/>
          <w:color w:val="auto"/>
        </w:rPr>
        <w:t>Fair Value Measurements (continued)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the asset or liability has a specified (contractual) term, the Level 2 input must be observable for substantially the full term of the asset or liability.</w:t>
      </w:r>
    </w:p>
    <w:p>
      <w:pPr>
        <w:spacing w:after="0" w:line="14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Inputs to the valuation methodology are unobservable and significant to the fair value measurement.</w:t>
      </w:r>
    </w:p>
    <w:p>
      <w:pPr>
        <w:spacing w:after="0" w:line="171"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8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Following is a description of the valuation methodologies used for assets measured at fair value. There have been no changes in the methodologies used at December 31, 2011 and 2010.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Valued at the closing price reported on the active market on which the individual securities are traded.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Mutual funds: </w:t>
      </w:r>
      <w:r>
        <w:rPr>
          <w:rFonts w:ascii="Arial" w:cs="Arial" w:eastAsia="Arial" w:hAnsi="Arial"/>
          <w:sz w:val="18"/>
          <w:szCs w:val="18"/>
          <w:color w:val="auto"/>
        </w:rPr>
        <w:t>Valued at the quoted net asset value (“NAV”) of shares held by the Plan at year end.</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Common/collective trust fund: </w:t>
      </w:r>
      <w:r>
        <w:rPr>
          <w:rFonts w:ascii="Arial" w:cs="Arial" w:eastAsia="Arial" w:hAnsi="Arial"/>
          <w:sz w:val="18"/>
          <w:szCs w:val="18"/>
          <w:color w:val="auto"/>
        </w:rPr>
        <w:t>Valued at estimated fair value as determined by the issuer of the common/collective trust fund based on the fair market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underlying investments.</w:t>
      </w:r>
    </w:p>
    <w:p>
      <w:pPr>
        <w:spacing w:after="0" w:line="13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preceding methods described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by level, within the fair value hierarchy, the Plan’s investments at fair value as of December 31, 2011 and 2010: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w:t>
      </w:r>
      <w:r>
        <w:rPr>
          <w:rFonts w:ascii="Arial" w:cs="Arial" w:eastAsia="Arial" w:hAnsi="Arial"/>
          <w:sz w:val="18"/>
          <w:szCs w:val="18"/>
          <w:u w:val="single" w:color="auto"/>
          <w:color w:val="auto"/>
        </w:rPr>
        <w:t>Fair Value Measurements (continued)</w:t>
      </w:r>
    </w:p>
    <w:p>
      <w:pPr>
        <w:spacing w:after="0" w:line="17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Investments at Fair Value as of December 31, 2011</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800" w:type="dxa"/>
            <w:vAlign w:val="bottom"/>
          </w:tcPr>
          <w:p>
            <w:pPr>
              <w:jc w:val="right"/>
              <w:ind w:right="98"/>
              <w:spacing w:after="0"/>
              <w:rPr>
                <w:sz w:val="20"/>
                <w:szCs w:val="20"/>
                <w:color w:val="auto"/>
              </w:rPr>
            </w:pPr>
            <w:r>
              <w:rPr>
                <w:rFonts w:ascii="Arial" w:cs="Arial" w:eastAsia="Arial" w:hAnsi="Arial"/>
                <w:sz w:val="14"/>
                <w:szCs w:val="14"/>
                <w:color w:val="auto"/>
              </w:rPr>
              <w:t>Level 1</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color w:val="auto"/>
              </w:rPr>
              <w:t>Level 2</w:t>
            </w:r>
          </w:p>
        </w:tc>
        <w:tc>
          <w:tcPr>
            <w:tcW w:w="420" w:type="dxa"/>
            <w:vAlign w:val="bottom"/>
          </w:tcPr>
          <w:p>
            <w:pPr>
              <w:jc w:val="right"/>
              <w:spacing w:after="0"/>
              <w:rPr>
                <w:sz w:val="20"/>
                <w:szCs w:val="20"/>
                <w:color w:val="auto"/>
              </w:rPr>
            </w:pPr>
            <w:r>
              <w:rPr>
                <w:rFonts w:ascii="Arial" w:cs="Arial" w:eastAsia="Arial" w:hAnsi="Arial"/>
                <w:sz w:val="14"/>
                <w:szCs w:val="14"/>
                <w:color w:val="auto"/>
                <w:w w:val="88"/>
              </w:rPr>
              <w:t>Level 3</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35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420"/>
              <w:spacing w:after="0"/>
              <w:rPr>
                <w:sz w:val="20"/>
                <w:szCs w:val="20"/>
                <w:color w:val="auto"/>
              </w:rPr>
            </w:pPr>
            <w:r>
              <w:rPr>
                <w:rFonts w:ascii="Arial" w:cs="Arial" w:eastAsia="Arial" w:hAnsi="Arial"/>
                <w:sz w:val="18"/>
                <w:szCs w:val="18"/>
                <w:color w:val="auto"/>
              </w:rPr>
              <w:t>Large cap stock funds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$1,715,978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1,715,978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 cap stock funds</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324,058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420"/>
              <w:spacing w:after="0"/>
              <w:rPr>
                <w:sz w:val="20"/>
                <w:szCs w:val="20"/>
                <w:color w:val="auto"/>
              </w:rPr>
            </w:pPr>
            <w:r>
              <w:rPr>
                <w:rFonts w:ascii="Arial" w:cs="Arial" w:eastAsia="Arial" w:hAnsi="Arial"/>
                <w:sz w:val="18"/>
                <w:szCs w:val="18"/>
                <w:color w:val="auto"/>
              </w:rPr>
              <w:t>Small cap stock funds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175,212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 stock funds</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436,242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420"/>
              <w:spacing w:after="0"/>
              <w:rPr>
                <w:sz w:val="20"/>
                <w:szCs w:val="20"/>
                <w:color w:val="auto"/>
              </w:rPr>
            </w:pPr>
            <w:r>
              <w:rPr>
                <w:rFonts w:ascii="Arial" w:cs="Arial" w:eastAsia="Arial" w:hAnsi="Arial"/>
                <w:sz w:val="18"/>
                <w:szCs w:val="18"/>
                <w:color w:val="auto"/>
              </w:rPr>
              <w:t>Target funds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2,869,288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2,869,288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funds</w:t>
            </w:r>
          </w:p>
        </w:tc>
        <w:tc>
          <w:tcPr>
            <w:tcW w:w="35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718,860</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00" w:type="dxa"/>
            <w:vAlign w:val="bottom"/>
          </w:tcPr>
          <w:p>
            <w:pPr>
              <w:ind w:left="860"/>
              <w:spacing w:after="0"/>
              <w:rPr>
                <w:sz w:val="20"/>
                <w:szCs w:val="20"/>
                <w:color w:val="auto"/>
              </w:rPr>
            </w:pPr>
            <w:r>
              <w:rPr>
                <w:rFonts w:ascii="Arial" w:cs="Arial" w:eastAsia="Arial" w:hAnsi="Arial"/>
                <w:sz w:val="18"/>
                <w:szCs w:val="18"/>
                <w:color w:val="auto"/>
              </w:rPr>
              <w:t>Total mutual funds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6,239,638</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6,239,638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3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420"/>
              <w:spacing w:after="0"/>
              <w:rPr>
                <w:sz w:val="20"/>
                <w:szCs w:val="20"/>
                <w:color w:val="auto"/>
              </w:rPr>
            </w:pPr>
            <w:r>
              <w:rPr>
                <w:rFonts w:ascii="Arial" w:cs="Arial" w:eastAsia="Arial" w:hAnsi="Arial"/>
                <w:sz w:val="18"/>
                <w:szCs w:val="18"/>
                <w:color w:val="auto"/>
              </w:rPr>
              <w:t>Retail</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104,201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Common/collective trust fund:</w:t>
            </w:r>
          </w:p>
        </w:tc>
        <w:tc>
          <w:tcPr>
            <w:tcW w:w="3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ind w:left="420"/>
              <w:spacing w:after="0"/>
              <w:rPr>
                <w:sz w:val="20"/>
                <w:szCs w:val="20"/>
                <w:color w:val="auto"/>
              </w:rPr>
            </w:pPr>
            <w:r>
              <w:rPr>
                <w:rFonts w:ascii="Arial" w:cs="Arial" w:eastAsia="Arial" w:hAnsi="Arial"/>
                <w:sz w:val="18"/>
                <w:szCs w:val="18"/>
                <w:color w:val="auto"/>
              </w:rPr>
              <w:t>Fixed income funds</w:t>
            </w:r>
          </w:p>
        </w:tc>
        <w:tc>
          <w:tcPr>
            <w:tcW w:w="35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4"/>
              </w:rPr>
              <w:t>4,272,941</w:t>
            </w:r>
          </w:p>
        </w:tc>
        <w:tc>
          <w:tcPr>
            <w:tcW w:w="3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4,272,941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3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6,343,839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4,272,941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10,616,780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300" w:type="dxa"/>
            <w:vAlign w:val="bottom"/>
            <w:gridSpan w:val="2"/>
          </w:tcPr>
          <w:p>
            <w:pPr>
              <w:jc w:val="center"/>
              <w:ind w:left="492"/>
              <w:spacing w:after="0"/>
              <w:rPr>
                <w:sz w:val="20"/>
                <w:szCs w:val="20"/>
                <w:color w:val="auto"/>
              </w:rPr>
            </w:pPr>
            <w:r>
              <w:rPr>
                <w:rFonts w:ascii="Arial" w:cs="Arial" w:eastAsia="Arial" w:hAnsi="Arial"/>
                <w:sz w:val="18"/>
                <w:szCs w:val="18"/>
                <w:color w:val="auto"/>
                <w:w w:val="87"/>
              </w:rPr>
              <w:t>Investments at Fair Value as of December 31, 2010</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800" w:type="dxa"/>
            <w:vAlign w:val="bottom"/>
          </w:tcPr>
          <w:p>
            <w:pPr>
              <w:jc w:val="right"/>
              <w:ind w:right="98"/>
              <w:spacing w:after="0"/>
              <w:rPr>
                <w:sz w:val="20"/>
                <w:szCs w:val="20"/>
                <w:color w:val="auto"/>
              </w:rPr>
            </w:pPr>
            <w:r>
              <w:rPr>
                <w:rFonts w:ascii="Arial" w:cs="Arial" w:eastAsia="Arial" w:hAnsi="Arial"/>
                <w:sz w:val="14"/>
                <w:szCs w:val="14"/>
                <w:color w:val="auto"/>
              </w:rPr>
              <w:t>Level 1</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color w:val="auto"/>
              </w:rPr>
              <w:t>Level 2</w:t>
            </w:r>
          </w:p>
        </w:tc>
        <w:tc>
          <w:tcPr>
            <w:tcW w:w="420" w:type="dxa"/>
            <w:vAlign w:val="bottom"/>
          </w:tcPr>
          <w:p>
            <w:pPr>
              <w:jc w:val="right"/>
              <w:spacing w:after="0"/>
              <w:rPr>
                <w:sz w:val="20"/>
                <w:szCs w:val="20"/>
                <w:color w:val="auto"/>
              </w:rPr>
            </w:pPr>
            <w:r>
              <w:rPr>
                <w:rFonts w:ascii="Arial" w:cs="Arial" w:eastAsia="Arial" w:hAnsi="Arial"/>
                <w:sz w:val="14"/>
                <w:szCs w:val="14"/>
                <w:color w:val="auto"/>
                <w:w w:val="88"/>
              </w:rPr>
              <w:t>Level 3</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35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420"/>
              <w:spacing w:after="0"/>
              <w:rPr>
                <w:sz w:val="20"/>
                <w:szCs w:val="20"/>
                <w:color w:val="auto"/>
              </w:rPr>
            </w:pPr>
            <w:r>
              <w:rPr>
                <w:rFonts w:ascii="Arial" w:cs="Arial" w:eastAsia="Arial" w:hAnsi="Arial"/>
                <w:sz w:val="18"/>
                <w:szCs w:val="18"/>
                <w:color w:val="auto"/>
              </w:rPr>
              <w:t>Large cap stock funds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$1,960,779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1,960,779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 cap stock funds</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502,722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420"/>
              <w:spacing w:after="0"/>
              <w:rPr>
                <w:sz w:val="20"/>
                <w:szCs w:val="20"/>
                <w:color w:val="auto"/>
              </w:rPr>
            </w:pPr>
            <w:r>
              <w:rPr>
                <w:rFonts w:ascii="Arial" w:cs="Arial" w:eastAsia="Arial" w:hAnsi="Arial"/>
                <w:sz w:val="18"/>
                <w:szCs w:val="18"/>
                <w:color w:val="auto"/>
              </w:rPr>
              <w:t>Small cap stock funds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203,096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 stock funds</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676,245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420"/>
              <w:spacing w:after="0"/>
              <w:rPr>
                <w:sz w:val="20"/>
                <w:szCs w:val="20"/>
                <w:color w:val="auto"/>
              </w:rPr>
            </w:pPr>
            <w:r>
              <w:rPr>
                <w:rFonts w:ascii="Arial" w:cs="Arial" w:eastAsia="Arial" w:hAnsi="Arial"/>
                <w:sz w:val="18"/>
                <w:szCs w:val="18"/>
                <w:color w:val="auto"/>
              </w:rPr>
              <w:t>Target funds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2,876,422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2,876,422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funds</w:t>
            </w:r>
          </w:p>
        </w:tc>
        <w:tc>
          <w:tcPr>
            <w:tcW w:w="35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844,784</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00" w:type="dxa"/>
            <w:vAlign w:val="bottom"/>
          </w:tcPr>
          <w:p>
            <w:pPr>
              <w:ind w:left="860"/>
              <w:spacing w:after="0"/>
              <w:rPr>
                <w:sz w:val="20"/>
                <w:szCs w:val="20"/>
                <w:color w:val="auto"/>
              </w:rPr>
            </w:pPr>
            <w:r>
              <w:rPr>
                <w:rFonts w:ascii="Arial" w:cs="Arial" w:eastAsia="Arial" w:hAnsi="Arial"/>
                <w:sz w:val="18"/>
                <w:szCs w:val="18"/>
                <w:color w:val="auto"/>
              </w:rPr>
              <w:t>Total mutual funds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7,064,048</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7,064,048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3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420"/>
              <w:spacing w:after="0"/>
              <w:rPr>
                <w:sz w:val="20"/>
                <w:szCs w:val="20"/>
                <w:color w:val="auto"/>
              </w:rPr>
            </w:pPr>
            <w:r>
              <w:rPr>
                <w:rFonts w:ascii="Arial" w:cs="Arial" w:eastAsia="Arial" w:hAnsi="Arial"/>
                <w:sz w:val="18"/>
                <w:szCs w:val="18"/>
                <w:color w:val="auto"/>
              </w:rPr>
              <w:t>Retail</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149,742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Common/collective trust fund:</w:t>
            </w:r>
          </w:p>
        </w:tc>
        <w:tc>
          <w:tcPr>
            <w:tcW w:w="3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ind w:left="420"/>
              <w:spacing w:after="0"/>
              <w:rPr>
                <w:sz w:val="20"/>
                <w:szCs w:val="20"/>
                <w:color w:val="auto"/>
              </w:rPr>
            </w:pPr>
            <w:r>
              <w:rPr>
                <w:rFonts w:ascii="Arial" w:cs="Arial" w:eastAsia="Arial" w:hAnsi="Arial"/>
                <w:sz w:val="18"/>
                <w:szCs w:val="18"/>
                <w:color w:val="auto"/>
              </w:rPr>
              <w:t>Fixed income funds</w:t>
            </w:r>
          </w:p>
        </w:tc>
        <w:tc>
          <w:tcPr>
            <w:tcW w:w="35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4"/>
              </w:rPr>
              <w:t>4,027,032</w:t>
            </w:r>
          </w:p>
        </w:tc>
        <w:tc>
          <w:tcPr>
            <w:tcW w:w="3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4,027,032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7,213,790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4,027,032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11,240,822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500" w:type="dxa"/>
            <w:vAlign w:val="bottom"/>
            <w:vMerge w:val="restart"/>
          </w:tcPr>
          <w:p>
            <w:pPr>
              <w:jc w:val="right"/>
              <w:ind w:right="892"/>
              <w:spacing w:after="0"/>
              <w:rPr>
                <w:sz w:val="20"/>
                <w:szCs w:val="20"/>
                <w:color w:val="auto"/>
              </w:rPr>
            </w:pPr>
            <w:r>
              <w:rPr>
                <w:rFonts w:ascii="Arial" w:cs="Arial" w:eastAsia="Arial" w:hAnsi="Arial"/>
                <w:sz w:val="18"/>
                <w:szCs w:val="18"/>
                <w:color w:val="auto"/>
              </w:rPr>
              <w:t>12</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6- </w:t>
      </w:r>
      <w:r>
        <w:rPr>
          <w:rFonts w:ascii="Arial" w:cs="Arial" w:eastAsia="Arial" w:hAnsi="Arial"/>
          <w:sz w:val="18"/>
          <w:szCs w:val="18"/>
          <w:u w:val="single" w:color="auto"/>
          <w:color w:val="auto"/>
        </w:rPr>
        <w:t>Common Collective Trust Fund</w:t>
      </w:r>
    </w:p>
    <w:p>
      <w:pPr>
        <w:spacing w:after="0" w:line="9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Fidelity Advisor Stable Value Fund is a common/collective trust fund that is considered to be a stable value fund with underlying investments in investment contracts and is valued at fair value and then adjusted by the issuer to contract value. Fair value of the stable value fund is the fair market value of its underlying investments and contract value is principal plus accrued interest. The Fidelity Advisor Stable Value Fund is a stable value fund that is an open-end commingled pool dedicated exclusively to the management of assets of defined contribution plans. The Fidelity Advisor Stable Value Fund’s investment objective is to seek preservation of capital and a competitive level of income over time. To achieve its investment objective, the Fidelity Advisor Stable Value Fund invests in underlying assets (typically fixed income securities or bond funds and may include derivative instruments such as futures contracts and swap agreements) and enters into a “wrapper” contract issued by a third party. Participants may ordinarily direct the withdrawal or transfer of all or a portion of their investment at contract value. Contract value represents contributions made to the fund, plus earnings, less participant withdrawals.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7- </w:t>
      </w:r>
      <w:r>
        <w:rPr>
          <w:rFonts w:ascii="Arial" w:cs="Arial" w:eastAsia="Arial" w:hAnsi="Arial"/>
          <w:sz w:val="18"/>
          <w:szCs w:val="18"/>
          <w:u w:val="single" w:color="auto"/>
          <w:color w:val="auto"/>
        </w:rPr>
        <w:t>Related Party Transactions</w:t>
      </w:r>
    </w:p>
    <w:p>
      <w:pPr>
        <w:spacing w:after="0" w:line="90"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The Plan owned 30,468 and 31,591 shares of Casual Male Retail Group, Inc. valued at $104,201 and $149,742 at December 31, 2011 and 2010, respectively. Additionally, certain Plan investments are shares of mutual funds and units in the Fidelity Advisor Stable Value Fund managed by Fidelity Management Trust Company who is the Trustee as defined by the Plan, and therefore, these transactions qualify as party-in-interest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8- </w:t>
      </w:r>
      <w:r>
        <w:rPr>
          <w:rFonts w:ascii="Arial" w:cs="Arial" w:eastAsia="Arial" w:hAnsi="Arial"/>
          <w:sz w:val="18"/>
          <w:szCs w:val="18"/>
          <w:u w:val="single" w:color="auto"/>
          <w:color w:val="auto"/>
        </w:rPr>
        <w:t>Risks and Uncertainties</w:t>
      </w:r>
    </w:p>
    <w:p>
      <w:pPr>
        <w:spacing w:after="0" w:line="90"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9- </w:t>
      </w:r>
      <w:r>
        <w:rPr>
          <w:rFonts w:ascii="Arial" w:cs="Arial" w:eastAsia="Arial" w:hAnsi="Arial"/>
          <w:sz w:val="18"/>
          <w:szCs w:val="18"/>
          <w:u w:val="single" w:color="auto"/>
          <w:color w:val="auto"/>
        </w:rPr>
        <w:t>Income Tax Status</w:t>
      </w:r>
    </w:p>
    <w:p>
      <w:pPr>
        <w:spacing w:after="0" w:line="90"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The underlying non-standardized prototype plan has received an opinion letter from the Internal Revenue Service (IRS) dated March 31, 2008 stating that the form of the Plan is qualified under Section 401 of the Code and, therefore, the related trust is tax-exempt. In accordance with Revenue Procedure 2002-6 and Announcement 2001-77, the Plan Sponsor has determined that it is eligible to and has chosen to rely on the current IRS prototype plan opinion letter. Once qualified, the Plan is required to operate in conformity with the Code to</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Hourly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9- </w:t>
      </w:r>
      <w:r>
        <w:rPr>
          <w:rFonts w:ascii="Arial" w:cs="Arial" w:eastAsia="Arial" w:hAnsi="Arial"/>
          <w:sz w:val="18"/>
          <w:szCs w:val="18"/>
          <w:u w:val="single" w:color="auto"/>
          <w:color w:val="auto"/>
        </w:rPr>
        <w:t>Income Tax Status (continued)</w:t>
      </w:r>
    </w:p>
    <w:p>
      <w:pPr>
        <w:spacing w:after="0" w:line="17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maintain its qualification. The Plan has been amended since receiving the opinion letter. However, the Plan Administrator believes the Plan is being operated in compliance with the applicable requirements of the Code and, therefore, believes that the Plan is qualified and the related trust is tax-exempt.</w:t>
      </w:r>
    </w:p>
    <w:p>
      <w:pPr>
        <w:spacing w:after="0" w:line="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Accounting principles generally accepted in the United States of America require plan management to evaluate tax positions taken by the Plan and recognize a tax liability (or asset) if the Plan has taken an uncertain tax position that more likely than not would not be sustained upon examination by the taxing authorities. The Plan Administrator has analyzed the tax positions taken by the Plan, and has concluded that as of December 31, 2011, there are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 The plan administrator believes it is no longer subject to income tax examinations for 2007 and prior.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10- </w:t>
      </w:r>
      <w:r>
        <w:rPr>
          <w:rFonts w:ascii="Arial" w:cs="Arial" w:eastAsia="Arial" w:hAnsi="Arial"/>
          <w:sz w:val="18"/>
          <w:szCs w:val="18"/>
          <w:u w:val="single" w:color="auto"/>
          <w:color w:val="auto"/>
        </w:rPr>
        <w:t>Reconciliation of Financial Statement to Form 5500</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net assets available for benefits according to the financial statements to Form 5500 as of December 31, 2011 and 2010:</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240" w:type="dxa"/>
            <w:vAlign w:val="bottom"/>
            <w:gridSpan w:val="2"/>
          </w:tcPr>
          <w:p>
            <w:pPr>
              <w:jc w:val="right"/>
              <w:ind w:right="212"/>
              <w:spacing w:after="0"/>
              <w:rPr>
                <w:sz w:val="20"/>
                <w:szCs w:val="20"/>
                <w:color w:val="auto"/>
              </w:rPr>
            </w:pPr>
            <w:r>
              <w:rPr>
                <w:rFonts w:ascii="Arial" w:cs="Arial" w:eastAsia="Arial" w:hAnsi="Arial"/>
                <w:sz w:val="14"/>
                <w:szCs w:val="14"/>
                <w:color w:val="auto"/>
              </w:rPr>
              <w:t>2011</w:t>
            </w:r>
          </w:p>
        </w:tc>
        <w:tc>
          <w:tcPr>
            <w:tcW w:w="1360" w:type="dxa"/>
            <w:vAlign w:val="bottom"/>
            <w:gridSpan w:val="2"/>
          </w:tcPr>
          <w:p>
            <w:pPr>
              <w:jc w:val="right"/>
              <w:ind w:right="21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r>
      <w:tr>
        <w:trPr>
          <w:trHeight w:val="210"/>
        </w:trPr>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assets available for benefits per the financial statements</w:t>
            </w:r>
          </w:p>
        </w:tc>
        <w:tc>
          <w:tcPr>
            <w:tcW w:w="3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1"/>
              </w:rPr>
              <w:t>$ 11,105,767</w:t>
            </w:r>
          </w:p>
        </w:tc>
        <w:tc>
          <w:tcPr>
            <w:tcW w:w="4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1"/>
              </w:rPr>
              <w:t>$ 11,483,447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w w:val="94"/>
              </w:rPr>
              <w:t>Adjustment from fair value to contract value for fully benefit-responsive investment contract</w:t>
            </w:r>
          </w:p>
        </w:tc>
        <w:tc>
          <w:tcPr>
            <w:tcW w:w="3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136,411</w:t>
            </w:r>
          </w:p>
        </w:tc>
        <w:tc>
          <w:tcPr>
            <w:tcW w:w="4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75,309</w:t>
            </w:r>
          </w:p>
        </w:tc>
        <w:tc>
          <w:tcPr>
            <w:tcW w:w="100" w:type="dxa"/>
            <w:vAlign w:val="bottom"/>
          </w:tcPr>
          <w:p>
            <w:pPr>
              <w:spacing w:after="0"/>
              <w:rPr>
                <w:sz w:val="19"/>
                <w:szCs w:val="19"/>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Form 5500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11,242,178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11,558,756</w:t>
            </w:r>
          </w:p>
        </w:tc>
        <w:tc>
          <w:tcPr>
            <w:tcW w:w="100" w:type="dxa"/>
            <w:vAlign w:val="bottom"/>
            <w:shd w:val="clear" w:color="auto" w:fill="CCEEFF"/>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is a reconciliation of net depreciation in fair value of investments, interest and dividend income, and interest income on participant loans for the year ended December 31, 2011 per the financial statements to Form 5500:</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08"/>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w w:val="91"/>
              </w:rPr>
              <w:t>Net depreciation in fair value of investments, interest and dividend income, and interest income on participant loans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 the financial statements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(104,887)</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Add: Adjustment from fair value to contract value for fully benefit-responsive investment contracts in 2011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136,411</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w w:val="99"/>
              </w:rPr>
              <w:t>Less: Adjustment from fair value to contract value for fully benefit-responsive investment contracts in 2010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(75,309)</w:t>
            </w:r>
          </w:p>
        </w:tc>
        <w:tc>
          <w:tcPr>
            <w:tcW w:w="0" w:type="dxa"/>
            <w:vAlign w:val="bottom"/>
          </w:tcPr>
          <w:p>
            <w:pPr>
              <w:spacing w:after="0"/>
              <w:rPr>
                <w:sz w:val="1"/>
                <w:szCs w:val="1"/>
                <w:color w:val="auto"/>
              </w:rPr>
            </w:pPr>
          </w:p>
        </w:tc>
      </w:tr>
      <w:tr>
        <w:trPr>
          <w:trHeight w:val="215"/>
        </w:trPr>
        <w:tc>
          <w:tcPr>
            <w:tcW w:w="8440" w:type="dxa"/>
            <w:vAlign w:val="bottom"/>
          </w:tcPr>
          <w:p>
            <w:pPr>
              <w:spacing w:after="0"/>
              <w:rPr>
                <w:sz w:val="20"/>
                <w:szCs w:val="20"/>
                <w:color w:val="auto"/>
              </w:rPr>
            </w:pPr>
            <w:r>
              <w:rPr>
                <w:rFonts w:ascii="Arial" w:cs="Arial" w:eastAsia="Arial" w:hAnsi="Arial"/>
                <w:sz w:val="18"/>
                <w:szCs w:val="18"/>
                <w:color w:val="auto"/>
                <w:w w:val="92"/>
              </w:rPr>
              <w:t>Net depreciation in fair value of investments, interest and dividend income and interest income on participant loans</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40" w:type="dxa"/>
            <w:vAlign w:val="bottom"/>
          </w:tcPr>
          <w:p>
            <w:pPr>
              <w:ind w:left="220"/>
              <w:spacing w:after="0"/>
              <w:rPr>
                <w:sz w:val="20"/>
                <w:szCs w:val="20"/>
                <w:color w:val="auto"/>
              </w:rPr>
            </w:pPr>
            <w:r>
              <w:rPr>
                <w:rFonts w:ascii="Arial" w:cs="Arial" w:eastAsia="Arial" w:hAnsi="Arial"/>
                <w:sz w:val="18"/>
                <w:szCs w:val="18"/>
                <w:color w:val="auto"/>
              </w:rPr>
              <w:t>per Form 5500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(43,785)</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470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Supplemental Schedule</w:t>
      </w:r>
    </w:p>
    <w:p>
      <w:pPr>
        <w:spacing w:after="0" w:line="19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19"/>
          </w:cols>
          <w:pgMar w:left="240" w:top="45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Casual Male Retail Group, Inc. 401(k) Hourly Savings Plan</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EIN: 04-2623104/Plan Number: 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Schedule H, Line 4i – Schedule of Assets (Held at End of Year)</w:t>
      </w:r>
    </w:p>
    <w:p>
      <w:pPr>
        <w:sectPr>
          <w:pgSz w:w="11900" w:h="16838" w:orient="portrait"/>
          <w:cols w:equalWidth="0" w:num="1">
            <w:col w:w="11420"/>
          </w:cols>
          <w:pgMar w:left="240" w:top="459" w:right="23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Identity of Issue,</w:t>
      </w:r>
    </w:p>
    <w:p>
      <w:pPr>
        <w:spacing w:after="0" w:line="223" w:lineRule="auto"/>
        <w:rPr>
          <w:sz w:val="20"/>
          <w:szCs w:val="20"/>
          <w:color w:val="auto"/>
        </w:rPr>
      </w:pPr>
      <w:r>
        <w:rPr>
          <w:rFonts w:ascii="Arial" w:cs="Arial" w:eastAsia="Arial" w:hAnsi="Arial"/>
          <w:sz w:val="14"/>
          <w:szCs w:val="14"/>
          <w:b w:val="1"/>
          <w:bCs w:val="1"/>
          <w:color w:val="auto"/>
        </w:rPr>
        <w:t>Borrower, Lessor,</w:t>
      </w:r>
    </w:p>
    <w:p>
      <w:pPr>
        <w:spacing w:after="0"/>
        <w:rPr>
          <w:sz w:val="20"/>
          <w:szCs w:val="20"/>
          <w:color w:val="auto"/>
        </w:rPr>
      </w:pPr>
      <w:r>
        <w:rPr>
          <w:rFonts w:ascii="Arial" w:cs="Arial" w:eastAsia="Arial" w:hAnsi="Arial"/>
          <w:sz w:val="14"/>
          <w:szCs w:val="14"/>
          <w:b w:val="1"/>
          <w:bCs w:val="1"/>
          <w:color w:val="auto"/>
        </w:rPr>
        <w:t>or Similar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8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ind w:left="220" w:right="1580" w:hanging="215"/>
        <w:spacing w:after="0" w:line="254" w:lineRule="auto"/>
        <w:rPr>
          <w:sz w:val="20"/>
          <w:szCs w:val="20"/>
          <w:color w:val="auto"/>
        </w:rPr>
      </w:pPr>
      <w:r>
        <w:rPr>
          <w:rFonts w:ascii="Arial" w:cs="Arial" w:eastAsia="Arial" w:hAnsi="Arial"/>
          <w:sz w:val="18"/>
          <w:szCs w:val="18"/>
          <w:color w:val="auto"/>
        </w:rPr>
        <w:t>Commingled funds held through Fidelity Investments:</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jc w:val="center"/>
              <w:ind w:right="1052"/>
              <w:spacing w:after="0"/>
              <w:rPr>
                <w:sz w:val="20"/>
                <w:szCs w:val="20"/>
                <w:color w:val="auto"/>
              </w:rPr>
            </w:pPr>
            <w:r>
              <w:rPr>
                <w:rFonts w:ascii="Arial" w:cs="Arial" w:eastAsia="Arial" w:hAnsi="Arial"/>
                <w:sz w:val="14"/>
                <w:szCs w:val="14"/>
                <w:b w:val="1"/>
                <w:bCs w:val="1"/>
                <w:color w:val="auto"/>
                <w:w w:val="86"/>
              </w:rPr>
              <w:t>Description of investment including</w:t>
            </w:r>
          </w:p>
        </w:tc>
        <w:tc>
          <w:tcPr>
            <w:tcW w:w="19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49"/>
        </w:trPr>
        <w:tc>
          <w:tcPr>
            <w:tcW w:w="3180" w:type="dxa"/>
            <w:vAlign w:val="bottom"/>
          </w:tcPr>
          <w:p>
            <w:pPr>
              <w:jc w:val="center"/>
              <w:ind w:right="1052"/>
              <w:spacing w:after="0" w:line="149" w:lineRule="exact"/>
              <w:rPr>
                <w:sz w:val="20"/>
                <w:szCs w:val="20"/>
                <w:color w:val="auto"/>
              </w:rPr>
            </w:pPr>
            <w:r>
              <w:rPr>
                <w:rFonts w:ascii="Arial" w:cs="Arial" w:eastAsia="Arial" w:hAnsi="Arial"/>
                <w:sz w:val="14"/>
                <w:szCs w:val="14"/>
                <w:b w:val="1"/>
                <w:bCs w:val="1"/>
                <w:color w:val="auto"/>
                <w:w w:val="88"/>
              </w:rPr>
              <w:t>maturity date, rate of interest,</w:t>
            </w:r>
          </w:p>
        </w:tc>
        <w:tc>
          <w:tcPr>
            <w:tcW w:w="19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88"/>
        </w:trPr>
        <w:tc>
          <w:tcPr>
            <w:tcW w:w="3180" w:type="dxa"/>
            <w:vAlign w:val="bottom"/>
          </w:tcPr>
          <w:p>
            <w:pPr>
              <w:jc w:val="center"/>
              <w:ind w:right="1032"/>
              <w:spacing w:after="0"/>
              <w:rPr>
                <w:sz w:val="20"/>
                <w:szCs w:val="20"/>
                <w:color w:val="auto"/>
              </w:rPr>
            </w:pPr>
            <w:r>
              <w:rPr>
                <w:rFonts w:ascii="Arial" w:cs="Arial" w:eastAsia="Arial" w:hAnsi="Arial"/>
                <w:sz w:val="14"/>
                <w:szCs w:val="14"/>
                <w:b w:val="1"/>
                <w:bCs w:val="1"/>
                <w:color w:val="auto"/>
                <w:w w:val="88"/>
              </w:rPr>
              <w:t>collateral, par, or maturity value</w:t>
            </w:r>
          </w:p>
        </w:tc>
        <w:tc>
          <w:tcPr>
            <w:tcW w:w="1980" w:type="dxa"/>
            <w:vAlign w:val="bottom"/>
          </w:tcPr>
          <w:p>
            <w:pPr>
              <w:ind w:left="1120"/>
              <w:spacing w:after="0"/>
              <w:rPr>
                <w:sz w:val="20"/>
                <w:szCs w:val="20"/>
                <w:color w:val="auto"/>
              </w:rPr>
            </w:pPr>
            <w:r>
              <w:rPr>
                <w:rFonts w:ascii="Arial" w:cs="Arial" w:eastAsia="Arial" w:hAnsi="Arial"/>
                <w:sz w:val="14"/>
                <w:szCs w:val="14"/>
                <w:b w:val="1"/>
                <w:bCs w:val="1"/>
                <w:u w:val="single" w:color="auto"/>
                <w:color w:val="auto"/>
                <w:w w:val="98"/>
              </w:rPr>
              <w:t>Shares/Units</w:t>
            </w:r>
          </w:p>
        </w:tc>
        <w:tc>
          <w:tcPr>
            <w:tcW w:w="960" w:type="dxa"/>
            <w:vAlign w:val="bottom"/>
          </w:tcPr>
          <w:p>
            <w:pPr>
              <w:ind w:left="120"/>
              <w:spacing w:after="0"/>
              <w:rPr>
                <w:sz w:val="20"/>
                <w:szCs w:val="20"/>
                <w:color w:val="auto"/>
              </w:rPr>
            </w:pPr>
            <w:r>
              <w:rPr>
                <w:rFonts w:ascii="Arial" w:cs="Arial" w:eastAsia="Arial" w:hAnsi="Arial"/>
                <w:sz w:val="14"/>
                <w:szCs w:val="14"/>
                <w:b w:val="1"/>
                <w:bCs w:val="1"/>
                <w:u w:val="single" w:color="auto"/>
                <w:color w:val="auto"/>
                <w:w w:val="89"/>
              </w:rPr>
              <w:t>Current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-7620</wp:posOffset>
            </wp:positionV>
            <wp:extent cx="724662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417" w:lineRule="exact"/>
        <w:rPr>
          <w:sz w:val="20"/>
          <w:szCs w:val="20"/>
          <w:color w:val="auto"/>
        </w:rPr>
      </w:pPr>
    </w:p>
    <w:p>
      <w:pPr>
        <w:sectPr>
          <w:pgSz w:w="11900" w:h="16838" w:orient="portrait"/>
          <w:cols w:equalWidth="0" w:num="2">
            <w:col w:w="4460" w:space="720"/>
            <w:col w:w="62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284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 Fidelity Advisor Stable Value Fund (1)</w:t>
            </w:r>
          </w:p>
        </w:tc>
        <w:tc>
          <w:tcPr>
            <w:tcW w:w="2420" w:type="dxa"/>
            <w:vAlign w:val="bottom"/>
          </w:tcPr>
          <w:p>
            <w:pPr>
              <w:jc w:val="right"/>
              <w:ind w:right="12"/>
              <w:spacing w:after="0"/>
              <w:rPr>
                <w:sz w:val="20"/>
                <w:szCs w:val="20"/>
                <w:color w:val="auto"/>
              </w:rPr>
            </w:pPr>
            <w:r>
              <w:rPr>
                <w:rFonts w:ascii="Arial" w:cs="Arial" w:eastAsia="Arial" w:hAnsi="Arial"/>
                <w:sz w:val="18"/>
                <w:szCs w:val="18"/>
                <w:color w:val="auto"/>
              </w:rPr>
              <w:t>4,136,530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4,272,941</w:t>
            </w:r>
          </w:p>
        </w:tc>
        <w:tc>
          <w:tcPr>
            <w:tcW w:w="100" w:type="dxa"/>
            <w:vAlign w:val="bottom"/>
          </w:tcPr>
          <w:p>
            <w:pPr>
              <w:spacing w:after="0"/>
              <w:rPr>
                <w:sz w:val="18"/>
                <w:szCs w:val="18"/>
                <w:color w:val="auto"/>
              </w:rPr>
            </w:pPr>
          </w:p>
        </w:tc>
      </w:tr>
      <w:tr>
        <w:trPr>
          <w:trHeight w:val="208"/>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Mutual funds held through Fidelity</w:t>
            </w:r>
          </w:p>
        </w:tc>
        <w:tc>
          <w:tcPr>
            <w:tcW w:w="50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 interest bearing</w:t>
            </w:r>
          </w:p>
        </w:tc>
        <w:tc>
          <w:tcPr>
            <w:tcW w:w="24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9"/>
                <w:szCs w:val="19"/>
                <w:color w:val="auto"/>
              </w:rPr>
            </w:pPr>
          </w:p>
        </w:tc>
      </w:tr>
      <w:tr>
        <w:trPr>
          <w:trHeight w:val="216"/>
        </w:trPr>
        <w:tc>
          <w:tcPr>
            <w:tcW w:w="284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 Fidelity Advisor Leveraged Company Stock</w:t>
            </w:r>
          </w:p>
        </w:tc>
        <w:tc>
          <w:tcPr>
            <w:tcW w:w="2420" w:type="dxa"/>
            <w:vAlign w:val="bottom"/>
          </w:tcPr>
          <w:p>
            <w:pPr>
              <w:jc w:val="right"/>
              <w:ind w:right="12"/>
              <w:spacing w:after="0"/>
              <w:rPr>
                <w:sz w:val="20"/>
                <w:szCs w:val="20"/>
                <w:color w:val="auto"/>
              </w:rPr>
            </w:pPr>
            <w:r>
              <w:rPr>
                <w:rFonts w:ascii="Arial" w:cs="Arial" w:eastAsia="Arial" w:hAnsi="Arial"/>
                <w:sz w:val="18"/>
                <w:szCs w:val="18"/>
                <w:color w:val="auto"/>
              </w:rPr>
              <w:t>3,347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101,847</w:t>
            </w:r>
          </w:p>
        </w:tc>
        <w:tc>
          <w:tcPr>
            <w:tcW w:w="10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Fidelity Advisor High Income Adv.</w:t>
            </w:r>
          </w:p>
        </w:tc>
        <w:tc>
          <w:tcPr>
            <w:tcW w:w="2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6,429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59,788</w:t>
            </w:r>
          </w:p>
        </w:tc>
        <w:tc>
          <w:tcPr>
            <w:tcW w:w="10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 Fidelity Advisor Freedom 2010</w:t>
            </w:r>
          </w:p>
        </w:tc>
        <w:tc>
          <w:tcPr>
            <w:tcW w:w="2420" w:type="dxa"/>
            <w:vAlign w:val="bottom"/>
          </w:tcPr>
          <w:p>
            <w:pPr>
              <w:jc w:val="right"/>
              <w:ind w:right="12"/>
              <w:spacing w:after="0"/>
              <w:rPr>
                <w:sz w:val="20"/>
                <w:szCs w:val="20"/>
                <w:color w:val="auto"/>
              </w:rPr>
            </w:pPr>
            <w:r>
              <w:rPr>
                <w:rFonts w:ascii="Arial" w:cs="Arial" w:eastAsia="Arial" w:hAnsi="Arial"/>
                <w:sz w:val="18"/>
                <w:szCs w:val="18"/>
                <w:color w:val="auto"/>
              </w:rPr>
              <w:t>68,123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760,934</w:t>
            </w:r>
          </w:p>
        </w:tc>
        <w:tc>
          <w:tcPr>
            <w:tcW w:w="10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Fidelity Advisor Freedom 2020</w:t>
            </w:r>
          </w:p>
        </w:tc>
        <w:tc>
          <w:tcPr>
            <w:tcW w:w="2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21,898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251,390</w:t>
            </w:r>
          </w:p>
        </w:tc>
        <w:tc>
          <w:tcPr>
            <w:tcW w:w="10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 Fidelity Advisor Freedom 2030</w:t>
            </w:r>
          </w:p>
        </w:tc>
        <w:tc>
          <w:tcPr>
            <w:tcW w:w="2420" w:type="dxa"/>
            <w:vAlign w:val="bottom"/>
          </w:tcPr>
          <w:p>
            <w:pPr>
              <w:jc w:val="right"/>
              <w:ind w:right="12"/>
              <w:spacing w:after="0"/>
              <w:rPr>
                <w:sz w:val="20"/>
                <w:szCs w:val="20"/>
                <w:color w:val="auto"/>
              </w:rPr>
            </w:pPr>
            <w:r>
              <w:rPr>
                <w:rFonts w:ascii="Arial" w:cs="Arial" w:eastAsia="Arial" w:hAnsi="Arial"/>
                <w:sz w:val="18"/>
                <w:szCs w:val="18"/>
                <w:color w:val="auto"/>
              </w:rPr>
              <w:t>4,166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47,654</w:t>
            </w:r>
          </w:p>
        </w:tc>
        <w:tc>
          <w:tcPr>
            <w:tcW w:w="10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Fidelity Advisor Freedom 2040</w:t>
            </w:r>
          </w:p>
        </w:tc>
        <w:tc>
          <w:tcPr>
            <w:tcW w:w="2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7,288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83,227</w:t>
            </w:r>
          </w:p>
        </w:tc>
        <w:tc>
          <w:tcPr>
            <w:tcW w:w="10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 Fidelity Advisor Freedom Income</w:t>
            </w:r>
          </w:p>
        </w:tc>
        <w:tc>
          <w:tcPr>
            <w:tcW w:w="24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Fidelity Advisor New Insights</w:t>
            </w:r>
          </w:p>
        </w:tc>
        <w:tc>
          <w:tcPr>
            <w:tcW w:w="2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24,036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473,982</w:t>
            </w:r>
          </w:p>
        </w:tc>
        <w:tc>
          <w:tcPr>
            <w:tcW w:w="10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 Fidelity Advisor Freedom 2005</w:t>
            </w:r>
          </w:p>
        </w:tc>
        <w:tc>
          <w:tcPr>
            <w:tcW w:w="2420" w:type="dxa"/>
            <w:vAlign w:val="bottom"/>
          </w:tcPr>
          <w:p>
            <w:pPr>
              <w:jc w:val="right"/>
              <w:ind w:right="12"/>
              <w:spacing w:after="0"/>
              <w:rPr>
                <w:sz w:val="20"/>
                <w:szCs w:val="20"/>
                <w:color w:val="auto"/>
              </w:rPr>
            </w:pPr>
            <w:r>
              <w:rPr>
                <w:rFonts w:ascii="Arial" w:cs="Arial" w:eastAsia="Arial" w:hAnsi="Arial"/>
                <w:sz w:val="18"/>
                <w:szCs w:val="18"/>
                <w:color w:val="auto"/>
              </w:rPr>
              <w:t>90,080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979,165</w:t>
            </w:r>
          </w:p>
        </w:tc>
        <w:tc>
          <w:tcPr>
            <w:tcW w:w="10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Fidelity Advisor Freedom 2015</w:t>
            </w:r>
          </w:p>
        </w:tc>
        <w:tc>
          <w:tcPr>
            <w:tcW w:w="2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37,680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418,630</w:t>
            </w:r>
          </w:p>
        </w:tc>
        <w:tc>
          <w:tcPr>
            <w:tcW w:w="10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 Fidelity Advisor Freedom 2025</w:t>
            </w:r>
          </w:p>
        </w:tc>
        <w:tc>
          <w:tcPr>
            <w:tcW w:w="2420" w:type="dxa"/>
            <w:vAlign w:val="bottom"/>
          </w:tcPr>
          <w:p>
            <w:pPr>
              <w:jc w:val="right"/>
              <w:ind w:right="12"/>
              <w:spacing w:after="0"/>
              <w:rPr>
                <w:sz w:val="20"/>
                <w:szCs w:val="20"/>
                <w:color w:val="auto"/>
              </w:rPr>
            </w:pPr>
            <w:r>
              <w:rPr>
                <w:rFonts w:ascii="Arial" w:cs="Arial" w:eastAsia="Arial" w:hAnsi="Arial"/>
                <w:sz w:val="18"/>
                <w:szCs w:val="18"/>
                <w:color w:val="auto"/>
              </w:rPr>
              <w:t>10,844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118,739</w:t>
            </w:r>
          </w:p>
        </w:tc>
        <w:tc>
          <w:tcPr>
            <w:tcW w:w="10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Fidelity Advisor Freedom 2035</w:t>
            </w:r>
          </w:p>
        </w:tc>
        <w:tc>
          <w:tcPr>
            <w:tcW w:w="2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6,690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71,653</w:t>
            </w:r>
          </w:p>
        </w:tc>
        <w:tc>
          <w:tcPr>
            <w:tcW w:w="10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 Fidelity Advisor Freedom 2045</w:t>
            </w:r>
          </w:p>
        </w:tc>
        <w:tc>
          <w:tcPr>
            <w:tcW w:w="2420" w:type="dxa"/>
            <w:vAlign w:val="bottom"/>
          </w:tcPr>
          <w:p>
            <w:pPr>
              <w:jc w:val="right"/>
              <w:ind w:right="12"/>
              <w:spacing w:after="0"/>
              <w:rPr>
                <w:sz w:val="20"/>
                <w:szCs w:val="20"/>
                <w:color w:val="auto"/>
              </w:rPr>
            </w:pPr>
            <w:r>
              <w:rPr>
                <w:rFonts w:ascii="Arial" w:cs="Arial" w:eastAsia="Arial" w:hAnsi="Arial"/>
                <w:sz w:val="18"/>
                <w:szCs w:val="18"/>
                <w:color w:val="auto"/>
              </w:rPr>
              <w:t>5,046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44,654</w:t>
            </w:r>
          </w:p>
        </w:tc>
        <w:tc>
          <w:tcPr>
            <w:tcW w:w="10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Fidelity Advisor Freedom 2050</w:t>
            </w:r>
          </w:p>
        </w:tc>
        <w:tc>
          <w:tcPr>
            <w:tcW w:w="2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10,760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93,185</w:t>
            </w:r>
          </w:p>
        </w:tc>
        <w:tc>
          <w:tcPr>
            <w:tcW w:w="10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Templeton Global Bond Fund</w:t>
            </w:r>
          </w:p>
        </w:tc>
        <w:tc>
          <w:tcPr>
            <w:tcW w:w="2420" w:type="dxa"/>
            <w:vAlign w:val="bottom"/>
          </w:tcPr>
          <w:p>
            <w:pPr>
              <w:jc w:val="right"/>
              <w:ind w:right="12"/>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8,195</w:t>
            </w:r>
          </w:p>
        </w:tc>
        <w:tc>
          <w:tcPr>
            <w:tcW w:w="10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Federated Bond Fund</w:t>
            </w:r>
          </w:p>
        </w:tc>
        <w:tc>
          <w:tcPr>
            <w:tcW w:w="2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47,595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436,451</w:t>
            </w:r>
          </w:p>
        </w:tc>
        <w:tc>
          <w:tcPr>
            <w:tcW w:w="10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Columbia Acorn USA</w:t>
            </w:r>
          </w:p>
        </w:tc>
        <w:tc>
          <w:tcPr>
            <w:tcW w:w="2420" w:type="dxa"/>
            <w:vAlign w:val="bottom"/>
          </w:tcPr>
          <w:p>
            <w:pPr>
              <w:jc w:val="right"/>
              <w:ind w:right="12"/>
              <w:spacing w:after="0"/>
              <w:rPr>
                <w:sz w:val="20"/>
                <w:szCs w:val="20"/>
                <w:color w:val="auto"/>
              </w:rPr>
            </w:pPr>
            <w:r>
              <w:rPr>
                <w:rFonts w:ascii="Arial" w:cs="Arial" w:eastAsia="Arial" w:hAnsi="Arial"/>
                <w:sz w:val="18"/>
                <w:szCs w:val="18"/>
                <w:color w:val="auto"/>
              </w:rPr>
              <w:t>3,999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103,746</w:t>
            </w:r>
          </w:p>
        </w:tc>
        <w:tc>
          <w:tcPr>
            <w:tcW w:w="10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Columbia Acorn International</w:t>
            </w:r>
          </w:p>
        </w:tc>
        <w:tc>
          <w:tcPr>
            <w:tcW w:w="2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346,814</w:t>
            </w:r>
          </w:p>
        </w:tc>
        <w:tc>
          <w:tcPr>
            <w:tcW w:w="10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Allianz NFJ International Value</w:t>
            </w:r>
          </w:p>
        </w:tc>
        <w:tc>
          <w:tcPr>
            <w:tcW w:w="2420" w:type="dxa"/>
            <w:vAlign w:val="bottom"/>
          </w:tcPr>
          <w:p>
            <w:pPr>
              <w:jc w:val="right"/>
              <w:ind w:right="12"/>
              <w:spacing w:after="0"/>
              <w:rPr>
                <w:sz w:val="20"/>
                <w:szCs w:val="20"/>
                <w:color w:val="auto"/>
              </w:rPr>
            </w:pPr>
            <w:r>
              <w:rPr>
                <w:rFonts w:ascii="Arial" w:cs="Arial" w:eastAsia="Arial" w:hAnsi="Arial"/>
                <w:sz w:val="18"/>
                <w:szCs w:val="18"/>
                <w:color w:val="auto"/>
              </w:rPr>
              <w:t>4,985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89,428</w:t>
            </w:r>
          </w:p>
        </w:tc>
        <w:tc>
          <w:tcPr>
            <w:tcW w:w="10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American Century Investment Mid Cap Value</w:t>
            </w:r>
          </w:p>
        </w:tc>
        <w:tc>
          <w:tcPr>
            <w:tcW w:w="2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46,664</w:t>
            </w:r>
          </w:p>
        </w:tc>
        <w:tc>
          <w:tcPr>
            <w:tcW w:w="10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JP Morgan Equity Index</w:t>
            </w:r>
          </w:p>
        </w:tc>
        <w:tc>
          <w:tcPr>
            <w:tcW w:w="2420" w:type="dxa"/>
            <w:vAlign w:val="bottom"/>
          </w:tcPr>
          <w:p>
            <w:pPr>
              <w:jc w:val="right"/>
              <w:ind w:right="12"/>
              <w:spacing w:after="0"/>
              <w:rPr>
                <w:sz w:val="20"/>
                <w:szCs w:val="20"/>
                <w:color w:val="auto"/>
              </w:rPr>
            </w:pPr>
            <w:r>
              <w:rPr>
                <w:rFonts w:ascii="Arial" w:cs="Arial" w:eastAsia="Arial" w:hAnsi="Arial"/>
                <w:sz w:val="18"/>
                <w:szCs w:val="18"/>
                <w:color w:val="auto"/>
              </w:rPr>
              <w:t>34,835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993,485</w:t>
            </w:r>
          </w:p>
        </w:tc>
        <w:tc>
          <w:tcPr>
            <w:tcW w:w="10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Columbia Acorn</w:t>
            </w:r>
          </w:p>
        </w:tc>
        <w:tc>
          <w:tcPr>
            <w:tcW w:w="2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175,547</w:t>
            </w:r>
          </w:p>
        </w:tc>
        <w:tc>
          <w:tcPr>
            <w:tcW w:w="10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Goldman Sachs Large Cap Value</w:t>
            </w:r>
          </w:p>
        </w:tc>
        <w:tc>
          <w:tcPr>
            <w:tcW w:w="2420" w:type="dxa"/>
            <w:vAlign w:val="bottom"/>
          </w:tcPr>
          <w:p>
            <w:pPr>
              <w:jc w:val="right"/>
              <w:ind w:right="12"/>
              <w:spacing w:after="0"/>
              <w:rPr>
                <w:sz w:val="20"/>
                <w:szCs w:val="20"/>
                <w:color w:val="auto"/>
              </w:rPr>
            </w:pPr>
            <w:r>
              <w:rPr>
                <w:rFonts w:ascii="Arial" w:cs="Arial" w:eastAsia="Arial" w:hAnsi="Arial"/>
                <w:sz w:val="18"/>
                <w:szCs w:val="18"/>
                <w:color w:val="auto"/>
              </w:rPr>
              <w:t>23,139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248,511</w:t>
            </w:r>
          </w:p>
        </w:tc>
        <w:tc>
          <w:tcPr>
            <w:tcW w:w="10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Perkins Small Cap Value</w:t>
            </w:r>
          </w:p>
        </w:tc>
        <w:tc>
          <w:tcPr>
            <w:tcW w:w="2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3,524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71,466</w:t>
            </w:r>
          </w:p>
        </w:tc>
        <w:tc>
          <w:tcPr>
            <w:tcW w:w="10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Franklin Strategic Income</w:t>
            </w:r>
          </w:p>
        </w:tc>
        <w:tc>
          <w:tcPr>
            <w:tcW w:w="2420" w:type="dxa"/>
            <w:vAlign w:val="bottom"/>
          </w:tcPr>
          <w:p>
            <w:pPr>
              <w:jc w:val="right"/>
              <w:ind w:right="12"/>
              <w:spacing w:after="0"/>
              <w:rPr>
                <w:sz w:val="20"/>
                <w:szCs w:val="20"/>
                <w:color w:val="auto"/>
              </w:rPr>
            </w:pPr>
            <w:r>
              <w:rPr>
                <w:rFonts w:ascii="Arial" w:cs="Arial" w:eastAsia="Arial" w:hAnsi="Arial"/>
                <w:sz w:val="18"/>
                <w:szCs w:val="18"/>
                <w:color w:val="auto"/>
              </w:rPr>
              <w:t>17,296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174,518</w:t>
            </w:r>
          </w:p>
        </w:tc>
        <w:tc>
          <w:tcPr>
            <w:tcW w:w="10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18"/>
                <w:szCs w:val="18"/>
                <w:color w:val="auto"/>
              </w:rPr>
            </w:pPr>
          </w:p>
        </w:tc>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Blackrock Inflation Protected Bond Fund</w:t>
            </w:r>
          </w:p>
        </w:tc>
        <w:tc>
          <w:tcPr>
            <w:tcW w:w="2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38,668</w:t>
            </w:r>
          </w:p>
        </w:tc>
        <w:tc>
          <w:tcPr>
            <w:tcW w:w="100" w:type="dxa"/>
            <w:vAlign w:val="bottom"/>
            <w:shd w:val="clear" w:color="auto" w:fill="CCEEFF"/>
          </w:tcPr>
          <w:p>
            <w:pPr>
              <w:spacing w:after="0"/>
              <w:rPr>
                <w:sz w:val="18"/>
                <w:szCs w:val="18"/>
                <w:color w:val="auto"/>
              </w:rPr>
            </w:pPr>
          </w:p>
        </w:tc>
      </w:tr>
      <w:tr>
        <w:trPr>
          <w:trHeight w:val="208"/>
        </w:trPr>
        <w:tc>
          <w:tcPr>
            <w:tcW w:w="2840" w:type="dxa"/>
            <w:vAlign w:val="bottom"/>
          </w:tcPr>
          <w:p>
            <w:pPr>
              <w:spacing w:after="0"/>
              <w:rPr>
                <w:sz w:val="20"/>
                <w:szCs w:val="20"/>
                <w:color w:val="auto"/>
              </w:rPr>
            </w:pPr>
            <w:r>
              <w:rPr>
                <w:rFonts w:ascii="Arial" w:cs="Arial" w:eastAsia="Arial" w:hAnsi="Arial"/>
                <w:sz w:val="18"/>
                <w:szCs w:val="18"/>
                <w:color w:val="auto"/>
                <w:w w:val="97"/>
              </w:rPr>
              <w:t>Common Stock held through Fidelity</w:t>
            </w:r>
          </w:p>
        </w:tc>
        <w:tc>
          <w:tcPr>
            <w:tcW w:w="50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84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5080" w:type="dxa"/>
            <w:vAlign w:val="bottom"/>
          </w:tcPr>
          <w:p>
            <w:pPr>
              <w:ind w:left="220"/>
              <w:spacing w:after="0"/>
              <w:rPr>
                <w:sz w:val="20"/>
                <w:szCs w:val="20"/>
                <w:color w:val="auto"/>
              </w:rPr>
            </w:pPr>
            <w:r>
              <w:rPr>
                <w:rFonts w:ascii="Arial" w:cs="Arial" w:eastAsia="Arial" w:hAnsi="Arial"/>
                <w:sz w:val="18"/>
                <w:szCs w:val="18"/>
                <w:color w:val="auto"/>
              </w:rPr>
              <w:t>*Casual Male Retail Group, Inc.</w:t>
            </w:r>
          </w:p>
        </w:tc>
        <w:tc>
          <w:tcPr>
            <w:tcW w:w="2420" w:type="dxa"/>
            <w:vAlign w:val="bottom"/>
          </w:tcPr>
          <w:p>
            <w:pPr>
              <w:jc w:val="right"/>
              <w:ind w:right="12"/>
              <w:spacing w:after="0"/>
              <w:rPr>
                <w:sz w:val="20"/>
                <w:szCs w:val="20"/>
                <w:color w:val="auto"/>
              </w:rPr>
            </w:pPr>
            <w:r>
              <w:rPr>
                <w:rFonts w:ascii="Arial" w:cs="Arial" w:eastAsia="Arial" w:hAnsi="Arial"/>
                <w:sz w:val="18"/>
                <w:szCs w:val="18"/>
                <w:color w:val="auto"/>
              </w:rPr>
              <w:t>30,468</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104,201</w:t>
            </w:r>
          </w:p>
        </w:tc>
        <w:tc>
          <w:tcPr>
            <w:tcW w:w="100" w:type="dxa"/>
            <w:vAlign w:val="bottom"/>
          </w:tcPr>
          <w:p>
            <w:pPr>
              <w:spacing w:after="0"/>
              <w:rPr>
                <w:sz w:val="20"/>
                <w:szCs w:val="20"/>
                <w:color w:val="auto"/>
              </w:rPr>
            </w:pPr>
          </w:p>
        </w:tc>
      </w:tr>
      <w:tr>
        <w:trPr>
          <w:trHeight w:val="216"/>
        </w:trPr>
        <w:tc>
          <w:tcPr>
            <w:tcW w:w="284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10,616,780</w:t>
            </w:r>
          </w:p>
        </w:tc>
        <w:tc>
          <w:tcPr>
            <w:tcW w:w="100" w:type="dxa"/>
            <w:vAlign w:val="bottom"/>
            <w:shd w:val="clear" w:color="auto" w:fill="CCEEFF"/>
          </w:tcPr>
          <w:p>
            <w:pPr>
              <w:spacing w:after="0"/>
              <w:rPr>
                <w:sz w:val="18"/>
                <w:szCs w:val="18"/>
                <w:color w:val="auto"/>
              </w:rPr>
            </w:pPr>
          </w:p>
        </w:tc>
      </w:tr>
      <w:tr>
        <w:trPr>
          <w:trHeight w:val="223"/>
        </w:trPr>
        <w:tc>
          <w:tcPr>
            <w:tcW w:w="2840" w:type="dxa"/>
            <w:vAlign w:val="bottom"/>
          </w:tcPr>
          <w:p>
            <w:pPr>
              <w:spacing w:after="0"/>
              <w:rPr>
                <w:sz w:val="20"/>
                <w:szCs w:val="20"/>
                <w:color w:val="auto"/>
              </w:rPr>
            </w:pPr>
            <w:r>
              <w:rPr>
                <w:rFonts w:ascii="Arial" w:cs="Arial" w:eastAsia="Arial" w:hAnsi="Arial"/>
                <w:sz w:val="18"/>
                <w:szCs w:val="18"/>
                <w:color w:val="auto"/>
                <w:w w:val="99"/>
              </w:rPr>
              <w:t>* Notes receivable from participants</w:t>
            </w:r>
          </w:p>
        </w:tc>
        <w:tc>
          <w:tcPr>
            <w:tcW w:w="5080" w:type="dxa"/>
            <w:vAlign w:val="bottom"/>
          </w:tcPr>
          <w:p>
            <w:pPr>
              <w:ind w:left="220"/>
              <w:spacing w:after="0"/>
              <w:rPr>
                <w:sz w:val="20"/>
                <w:szCs w:val="20"/>
                <w:color w:val="auto"/>
              </w:rPr>
            </w:pPr>
            <w:r>
              <w:rPr>
                <w:rFonts w:ascii="Arial" w:cs="Arial" w:eastAsia="Arial" w:hAnsi="Arial"/>
                <w:sz w:val="18"/>
                <w:szCs w:val="18"/>
                <w:color w:val="auto"/>
              </w:rPr>
              <w:t>4.75% - 9.25%</w:t>
            </w: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360,949</w:t>
            </w:r>
          </w:p>
        </w:tc>
        <w:tc>
          <w:tcPr>
            <w:tcW w:w="100" w:type="dxa"/>
            <w:vAlign w:val="bottom"/>
          </w:tcPr>
          <w:p>
            <w:pPr>
              <w:spacing w:after="0"/>
              <w:rPr>
                <w:sz w:val="19"/>
                <w:szCs w:val="19"/>
                <w:color w:val="auto"/>
              </w:rPr>
            </w:pPr>
          </w:p>
        </w:tc>
      </w:tr>
      <w:tr>
        <w:trPr>
          <w:trHeight w:val="216"/>
        </w:trPr>
        <w:tc>
          <w:tcPr>
            <w:tcW w:w="284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10,977,729</w:t>
            </w:r>
          </w:p>
        </w:tc>
        <w:tc>
          <w:tcPr>
            <w:tcW w:w="100" w:type="dxa"/>
            <w:vAlign w:val="bottom"/>
            <w:shd w:val="clear" w:color="auto" w:fill="CCEEFF"/>
          </w:tcPr>
          <w:p>
            <w:pPr>
              <w:spacing w:after="0"/>
              <w:rPr>
                <w:sz w:val="18"/>
                <w:szCs w:val="18"/>
                <w:color w:val="auto"/>
              </w:rPr>
            </w:pPr>
          </w:p>
        </w:tc>
      </w:tr>
      <w:tr>
        <w:trPr>
          <w:trHeight w:val="20"/>
        </w:trPr>
        <w:tc>
          <w:tcPr>
            <w:tcW w:w="28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Indicates party-in-interest to the Plan.</w:t>
      </w:r>
    </w:p>
    <w:p>
      <w:pPr>
        <w:spacing w:after="0" w:line="15" w:lineRule="exact"/>
        <w:rPr>
          <w:sz w:val="20"/>
          <w:szCs w:val="20"/>
          <w:color w:val="auto"/>
        </w:rPr>
      </w:pPr>
    </w:p>
    <w:p>
      <w:pPr>
        <w:ind w:left="5620" w:right="2560" w:hanging="5612"/>
        <w:spacing w:after="0" w:line="433" w:lineRule="auto"/>
        <w:tabs>
          <w:tab w:leader="none" w:pos="448"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$2,474 of nonparticipant-directed, unallocated forfeitures for which historical cost approximates current value. 16</w:t>
      </w:r>
    </w:p>
    <w:p>
      <w:pPr>
        <w:sectPr>
          <w:pgSz w:w="11900" w:h="16838" w:orient="portrait"/>
          <w:cols w:equalWidth="0" w:num="1">
            <w:col w:w="11420"/>
          </w:cols>
          <w:pgMar w:left="240" w:top="45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Index to Exhibits</w:t>
      </w:r>
    </w:p>
    <w:p>
      <w:pPr>
        <w:spacing w:after="0" w:line="32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pursuant to 18 U.S.C. Section 1350, as adopted pursuant to Section 906 of the Sarbanes –Oxley Act of 2002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19"/>
          </w:cols>
          <w:pgMar w:left="240" w:top="45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 have</w:t>
      </w:r>
      <w:r>
        <w:rPr>
          <w:rFonts w:ascii="Arial" w:cs="Arial" w:eastAsia="Arial" w:hAnsi="Arial"/>
          <w:sz w:val="18"/>
          <w:szCs w:val="18"/>
          <w:i w:val="1"/>
          <w:iCs w:val="1"/>
          <w:color w:val="auto"/>
        </w:rPr>
        <w:t xml:space="preserve"> </w:t>
      </w:r>
      <w:r>
        <w:rPr>
          <w:rFonts w:ascii="Arial" w:cs="Arial" w:eastAsia="Arial" w:hAnsi="Arial"/>
          <w:sz w:val="18"/>
          <w:szCs w:val="18"/>
          <w:color w:val="auto"/>
        </w:rPr>
        <w:t>duly caused this annual report to be signed on its behalf by the undersigned hereunto duly authorized.</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Casual Male Retail Group, Inc. 401(k) Hourly Savings plan</w:t>
      </w:r>
    </w:p>
    <w:p>
      <w:pPr>
        <w:spacing w:after="0" w:line="248" w:lineRule="exact"/>
        <w:rPr>
          <w:sz w:val="20"/>
          <w:szCs w:val="20"/>
          <w:color w:val="auto"/>
        </w:rPr>
      </w:pPr>
    </w:p>
    <w:p>
      <w:pPr>
        <w:ind w:left="6860"/>
        <w:spacing w:after="0"/>
        <w:tabs>
          <w:tab w:leader="none" w:pos="8160" w:val="left"/>
          <w:tab w:leader="none" w:pos="8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Dennis R. Hernreich, Executive Vice President, Chief</w:t>
      </w:r>
    </w:p>
    <w:p>
      <w:pPr>
        <w:jc w:val="center"/>
        <w:ind w:left="7240"/>
        <w:spacing w:after="0" w:line="223" w:lineRule="auto"/>
        <w:rPr>
          <w:sz w:val="20"/>
          <w:szCs w:val="20"/>
          <w:color w:val="auto"/>
        </w:rPr>
      </w:pPr>
      <w:r>
        <w:rPr>
          <w:rFonts w:ascii="Arial" w:cs="Arial" w:eastAsia="Arial" w:hAnsi="Arial"/>
          <w:sz w:val="14"/>
          <w:szCs w:val="14"/>
          <w:b w:val="1"/>
          <w:bCs w:val="1"/>
          <w:color w:val="auto"/>
        </w:rPr>
        <w:t>Financial Officer and Chief Operating Officer of</w:t>
      </w:r>
    </w:p>
    <w:p>
      <w:pPr>
        <w:jc w:val="center"/>
        <w:ind w:left="7240"/>
        <w:spacing w:after="0" w:line="222" w:lineRule="auto"/>
        <w:rPr>
          <w:sz w:val="20"/>
          <w:szCs w:val="20"/>
          <w:color w:val="auto"/>
        </w:rPr>
      </w:pPr>
      <w:r>
        <w:rPr>
          <w:rFonts w:ascii="Arial" w:cs="Arial" w:eastAsia="Arial" w:hAnsi="Arial"/>
          <w:sz w:val="14"/>
          <w:szCs w:val="14"/>
          <w:b w:val="1"/>
          <w:bCs w:val="1"/>
          <w:color w:val="auto"/>
        </w:rPr>
        <w:t>Casual Male Retail Group, Inc., the Plan</w:t>
      </w:r>
    </w:p>
    <w:p>
      <w:pPr>
        <w:jc w:val="center"/>
        <w:ind w:left="7240"/>
        <w:spacing w:after="0"/>
        <w:rPr>
          <w:sz w:val="20"/>
          <w:szCs w:val="20"/>
          <w:color w:val="auto"/>
        </w:rPr>
      </w:pPr>
      <w:r>
        <w:rPr>
          <w:rFonts w:ascii="Arial" w:cs="Arial" w:eastAsia="Arial" w:hAnsi="Arial"/>
          <w:sz w:val="14"/>
          <w:szCs w:val="14"/>
          <w:b w:val="1"/>
          <w:bCs w:val="1"/>
          <w:color w:val="auto"/>
        </w:rPr>
        <w:t>Administrator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June 28, 2012</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240" w:top="459" w:right="55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t>Exhibit 23.1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 (No. 333-112218) on Form S-8 of our report dated June 28, 2012, relating to the statements of net assets available for benefits of Casual Male Retail Group, Inc. 401(k) Hourly Savings Plan as of December 31, 2011, and 2010, the related statements of changes in net assets available for benefits for the year ended December 31, 2011, and the related supplemental schedule as of December 31, 2011, which report appears in the December 31, 2011 annual report on Form 11-K of Casual Male Retail Group, Inc. 401(k) Hourly Savings Plan.</w:t>
      </w:r>
    </w:p>
    <w:p>
      <w:pPr>
        <w:spacing w:after="0" w:line="11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Mayer Hoffman McCann CPAs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-13970</wp:posOffset>
            </wp:positionV>
            <wp:extent cx="26568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56840"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(The New York Practice of Mayer Hoffman McCann P.C.)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28, 2012</w:t>
      </w:r>
    </w:p>
    <w:p>
      <w:pPr>
        <w:sectPr>
          <w:pgSz w:w="11900" w:h="16838" w:orient="portrait"/>
          <w:cols w:equalWidth="0" w:num="1">
            <w:col w:w="11420"/>
          </w:cols>
          <w:pgMar w:left="240" w:top="13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 the Sarbanes-Oxley Act of 2002</w:t>
      </w:r>
    </w:p>
    <w:p>
      <w:pPr>
        <w:spacing w:after="0" w:line="16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connection with the Annual Report on Form 11-K of the Casual Male Retail Group, Inc. 401(k) Hourly Saving Plan (the “Plan”) for the period ending December 31, 2011 as filed with the Securities and Exchange Commission on the date hereof (the “Report”), I, Dennis R. Hernreich, Executive Vice President, Chief Financial Officer and Chief Operating Officer of Casual Male Retail Group, Inc., the Plan Administrator, certify pursuant to 18 U.S.C. Section 1350, as adopted pursuant to Section 906 of the Sarbanes-Oxley Act of 2002, that:</w:t>
      </w:r>
    </w:p>
    <w:p>
      <w:pPr>
        <w:spacing w:after="0" w:line="62"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15(d) of the Securities Exchange Act of 1934, as amended (the “Exchange Act”); and</w:t>
      </w:r>
    </w:p>
    <w:p>
      <w:pPr>
        <w:spacing w:after="0" w:line="113" w:lineRule="exact"/>
        <w:rPr>
          <w:rFonts w:ascii="Arial" w:cs="Arial" w:eastAsia="Arial" w:hAnsi="Arial"/>
          <w:sz w:val="16"/>
          <w:szCs w:val="16"/>
          <w:color w:val="auto"/>
        </w:rPr>
      </w:pPr>
    </w:p>
    <w:p>
      <w:pPr>
        <w:ind w:left="900" w:right="58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net assets available for benefits, and changes in net assets available for benefits of the Plan.</w:t>
      </w:r>
    </w:p>
    <w:p>
      <w:pPr>
        <w:spacing w:after="0" w:line="132"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Casual Male Retail Group, Inc. and will be retained by Casual Male Retail Group, Inc. and furnished to the Securities and Exchange Commission or its staff upon request.</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Operating Officer of Casual Male Retail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Group, Inc., the Plan Administrator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June 28, 2012</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2019-12-09T10:08:22Z</dcterms:created>
  <dcterms:modified xsi:type="dcterms:W3CDTF">2019-12-09T10:08:22Z</dcterms:modified>
</cp:coreProperties>
</file>