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124460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144145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4020" w:right="1620" w:hanging="4012"/>
        <w:spacing w:after="0" w:line="392" w:lineRule="auto"/>
        <w:tabs>
          <w:tab w:leader="none" w:pos="56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May 5, 2018</w:t>
      </w:r>
    </w:p>
    <w:p>
      <w:pPr>
        <w:spacing w:after="0" w:line="28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35"/>
        </w:trPr>
        <w:tc>
          <w:tcPr>
            <w:tcW w:w="4180" w:type="dxa"/>
            <w:vAlign w:val="bottom"/>
          </w:tcPr>
          <w:p>
            <w:pPr>
              <w:jc w:val="center"/>
              <w:ind w:right="200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80" w:type="dxa"/>
            <w:vAlign w:val="bottom"/>
          </w:tcPr>
          <w:p>
            <w:pPr>
              <w:jc w:val="center"/>
              <w:ind w:right="2023"/>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0"/>
              </w:rPr>
              <w:t>555 Turnpike Street</w:t>
            </w:r>
          </w:p>
        </w:tc>
        <w:tc>
          <w:tcPr>
            <w:tcW w:w="3060" w:type="dxa"/>
            <w:vAlign w:val="bottom"/>
          </w:tcPr>
          <w:p>
            <w:pPr>
              <w:spacing w:after="0"/>
              <w:rPr>
                <w:sz w:val="18"/>
                <w:szCs w:val="18"/>
                <w:color w:val="auto"/>
              </w:rPr>
            </w:pPr>
          </w:p>
        </w:tc>
      </w:t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5"/>
              </w:rPr>
              <w:t>Canton, MA</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02021</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100" w:firstLine="60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13" w:lineRule="exact"/>
        <w:rPr>
          <w:sz w:val="24"/>
          <w:szCs w:val="24"/>
          <w:color w:val="auto"/>
        </w:rPr>
      </w:pPr>
    </w:p>
    <w:p>
      <w:pPr>
        <w:jc w:val="both"/>
        <w:ind w:right="280" w:firstLine="60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jc w:val="both"/>
        <w:ind w:right="36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6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506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780" w:type="dxa"/>
            <w:vAlign w:val="bottom"/>
          </w:tcPr>
          <w:p>
            <w:pPr>
              <w:ind w:left="16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8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right="2120" w:firstLine="608"/>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As of May 15, 2018, the registrant had 49,010,087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523240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color w:val="auto"/>
              </w:rPr>
              <w:t>May 5, 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rPr>
              <w:t>February 3, 2018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9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6,994</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Property and equipment, net of accumulated depreciation and amortization</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7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17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242,148</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1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963</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1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7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liabilities</w:t>
            </w:r>
          </w:p>
        </w:tc>
        <w:tc>
          <w:tcPr>
            <w:tcW w:w="17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long-term liabilities</w:t>
            </w:r>
          </w:p>
        </w:tc>
        <w:tc>
          <w:tcPr>
            <w:tcW w:w="1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Preferred stock, $0.01 par value, 1,000,000 shares authorized, none issued</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w w:val="90"/>
              </w:rPr>
              <w:t>Common stock, $0.01 par value, 100,000,000 shares authorized, 61,720,821 and</w:t>
            </w:r>
          </w:p>
        </w:tc>
        <w:tc>
          <w:tcPr>
            <w:tcW w:w="1980" w:type="dxa"/>
            <w:vAlign w:val="bottom"/>
            <w:gridSpan w:val="2"/>
          </w:tcPr>
          <w:p>
            <w:pPr>
              <w:jc w:val="right"/>
              <w:ind w:right="550"/>
              <w:spacing w:after="0"/>
              <w:rPr>
                <w:sz w:val="20"/>
                <w:szCs w:val="20"/>
                <w:color w:val="auto"/>
              </w:rPr>
            </w:pPr>
            <w:r>
              <w:rPr>
                <w:rFonts w:ascii="Arial" w:cs="Arial" w:eastAsia="Arial" w:hAnsi="Arial"/>
                <w:sz w:val="18"/>
                <w:szCs w:val="18"/>
                <w:color w:val="auto"/>
                <w:w w:val="88"/>
              </w:rPr>
              <w:t>61,485,882 shares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issued at May 5, 2018 and February 3, 2018, respectively</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308,483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w w:val="92"/>
              </w:rPr>
              <w:t>Treasury stock at cost, 12,755,873 shares at May 5, 2018 and February 3, 2018</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(92,658)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(92,658)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(142,395)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(139,285)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(6,240)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stockholders' equity</w:t>
            </w:r>
          </w:p>
        </w:tc>
        <w:tc>
          <w:tcPr>
            <w:tcW w:w="17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67,807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7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242,148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4440" w:type="dxa"/>
            <w:vAlign w:val="bottom"/>
            <w:gridSpan w:val="6"/>
          </w:tcPr>
          <w:p>
            <w:pPr>
              <w:jc w:val="right"/>
              <w:ind w:right="146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May 5, 2018</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4"/>
                <w:szCs w:val="14"/>
                <w:color w:val="auto"/>
              </w:rPr>
              <w:t>April 29, 2017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(Fiscal 2018)</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96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440" w:type="dxa"/>
            <w:vAlign w:val="bottom"/>
            <w:shd w:val="clear" w:color="auto" w:fill="CFF0FC"/>
          </w:tcPr>
          <w:p>
            <w:pPr>
              <w:jc w:val="right"/>
              <w:ind w:right="128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113,331</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1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62,643</w:t>
            </w: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50,688</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7,324</w:t>
            </w:r>
          </w:p>
        </w:tc>
        <w:tc>
          <w:tcPr>
            <w:tcW w:w="1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Operating loss</w:t>
            </w:r>
          </w:p>
        </w:tc>
        <w:tc>
          <w:tcPr>
            <w:tcW w:w="14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(2,226)</w:t>
            </w:r>
          </w:p>
        </w:tc>
        <w:tc>
          <w:tcPr>
            <w:tcW w:w="52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expense, net</w:t>
            </w:r>
          </w:p>
        </w:tc>
        <w:tc>
          <w:tcPr>
            <w:tcW w:w="14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(886)</w:t>
            </w:r>
          </w:p>
        </w:tc>
        <w:tc>
          <w:tcPr>
            <w:tcW w:w="52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14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(3,112)</w:t>
            </w:r>
          </w:p>
        </w:tc>
        <w:tc>
          <w:tcPr>
            <w:tcW w:w="52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jc w:val="right"/>
              <w:ind w:right="128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(3,110)</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440" w:type="dxa"/>
            <w:vAlign w:val="bottom"/>
            <w:shd w:val="clear" w:color="auto" w:fill="CFF0FC"/>
          </w:tcPr>
          <w:p>
            <w:pPr>
              <w:jc w:val="right"/>
              <w:ind w:right="128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(0.06)</w:t>
            </w:r>
          </w:p>
        </w:tc>
        <w:tc>
          <w:tcPr>
            <w:tcW w:w="5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Basic</w:t>
            </w:r>
          </w:p>
        </w:tc>
        <w:tc>
          <w:tcPr>
            <w:tcW w:w="1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48,791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48,791</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4" w:lineRule="exact"/>
        <w:rPr>
          <w:sz w:val="20"/>
          <w:szCs w:val="20"/>
          <w:color w:val="auto"/>
        </w:rPr>
      </w:pPr>
    </w:p>
    <w:tbl>
      <w:tblPr>
        <w:tblLayout w:type="fixed"/>
        <w:tblInd w:w="1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20" w:type="dxa"/>
            <w:vAlign w:val="bottom"/>
            <w:gridSpan w:val="3"/>
          </w:tcPr>
          <w:p>
            <w:pPr>
              <w:jc w:val="right"/>
              <w:ind w:right="787"/>
              <w:spacing w:after="0"/>
              <w:rPr>
                <w:sz w:val="20"/>
                <w:szCs w:val="20"/>
                <w:color w:val="auto"/>
              </w:rPr>
            </w:pPr>
            <w:r>
              <w:rPr>
                <w:rFonts w:ascii="Arial" w:cs="Arial" w:eastAsia="Arial" w:hAnsi="Arial"/>
                <w:sz w:val="14"/>
                <w:szCs w:val="14"/>
                <w:color w:val="auto"/>
                <w:w w:val="97"/>
              </w:rPr>
              <w:t>For the Three Months Ended</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May 5, 2018</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April 29, 2017</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2018)</w:t>
            </w: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2017)</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(3,110)</w:t>
            </w:r>
          </w:p>
        </w:tc>
        <w:tc>
          <w:tcPr>
            <w:tcW w:w="7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18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(6,065)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before taxes: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(145)</w:t>
            </w:r>
          </w:p>
        </w:tc>
        <w:tc>
          <w:tcPr>
            <w:tcW w:w="1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Pension plans</w:t>
            </w:r>
          </w:p>
        </w:tc>
        <w:tc>
          <w:tcPr>
            <w:tcW w:w="1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78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Other comprehensive income before taxes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w w:val="92"/>
              </w:rPr>
              <w:t>Tax provision related to items of other comprehensive</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(26)</w:t>
            </w:r>
          </w:p>
        </w:tc>
        <w:tc>
          <w:tcPr>
            <w:tcW w:w="13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(3,107)</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ind w:right="11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(5,811)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Additional</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Common Stock</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Paid-in</w:t>
            </w:r>
          </w:p>
        </w:tc>
        <w:tc>
          <w:tcPr>
            <w:tcW w:w="1820" w:type="dxa"/>
            <w:vAlign w:val="bottom"/>
            <w:gridSpan w:val="4"/>
          </w:tcPr>
          <w:p>
            <w:pPr>
              <w:jc w:val="right"/>
              <w:ind w:right="520"/>
              <w:spacing w:after="0"/>
              <w:rPr>
                <w:sz w:val="20"/>
                <w:szCs w:val="20"/>
                <w:color w:val="auto"/>
              </w:rPr>
            </w:pPr>
            <w:r>
              <w:rPr>
                <w:rFonts w:ascii="Arial" w:cs="Arial" w:eastAsia="Arial" w:hAnsi="Arial"/>
                <w:sz w:val="14"/>
                <w:szCs w:val="14"/>
                <w:color w:val="auto"/>
              </w:rPr>
              <w:t>Treasury Stock</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Accumulated</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Comprehensive</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100" w:type="dxa"/>
            <w:vAlign w:val="bottom"/>
          </w:tcPr>
          <w:p>
            <w:pPr>
              <w:spacing w:after="0"/>
              <w:rPr>
                <w:sz w:val="14"/>
                <w:szCs w:val="14"/>
                <w:color w:val="auto"/>
              </w:rPr>
            </w:pPr>
          </w:p>
        </w:tc>
        <w:tc>
          <w:tcPr>
            <w:tcW w:w="640" w:type="dxa"/>
            <w:vAlign w:val="bottom"/>
          </w:tcPr>
          <w:p>
            <w:pPr>
              <w:jc w:val="right"/>
              <w:ind w:right="54"/>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color w:val="auto"/>
              </w:rPr>
              <w:t>Amounts</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Capital</w:t>
            </w: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Shares</w:t>
            </w: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Amounts</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Deficit</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Income (Loss)</w:t>
            </w:r>
          </w:p>
        </w:tc>
        <w:tc>
          <w:tcPr>
            <w:tcW w:w="2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3, 2018</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61,486</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615</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$ 307,557</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(12,755)</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82"/>
              </w:rPr>
              <w:t>$ (92,658)</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(139,285)</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$ 69,986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FF0FC"/>
          </w:tcPr>
          <w:p>
            <w:pPr>
              <w:spacing w:after="0"/>
              <w:rPr>
                <w:sz w:val="19"/>
                <w:szCs w:val="19"/>
                <w:color w:val="auto"/>
              </w:rPr>
            </w:pPr>
          </w:p>
        </w:tc>
      </w:tr>
      <w:tr>
        <w:trPr>
          <w:trHeight w:val="215"/>
        </w:trPr>
        <w:tc>
          <w:tcPr>
            <w:tcW w:w="4100" w:type="dxa"/>
            <w:vAlign w:val="bottom"/>
          </w:tcPr>
          <w:p>
            <w:pPr>
              <w:spacing w:after="0"/>
              <w:rPr>
                <w:sz w:val="20"/>
                <w:szCs w:val="20"/>
                <w:color w:val="auto"/>
              </w:rPr>
            </w:pPr>
            <w:r>
              <w:rPr>
                <w:rFonts w:ascii="Arial" w:cs="Arial" w:eastAsia="Arial" w:hAnsi="Arial"/>
                <w:sz w:val="18"/>
                <w:szCs w:val="18"/>
                <w:color w:val="auto"/>
              </w:rPr>
              <w:t>Restricted stock units granted for achievement of</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performance-based compensation, reclass from</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liability to equity (Note 4)</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20"/>
                <w:szCs w:val="20"/>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exercised</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Issuances of restricted stock, net of cancellations</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Deferred stock vested</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plan, net of taxes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Foreign currency, net of taxes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(126)</w:t>
            </w: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(3,110)</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(3,110)</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Balance at May 5, 2018</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61,721</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617</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$ 308,483</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(12,755)</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9"/>
              </w:rPr>
              <w:t>$ (92,658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(142,395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$ 67,807</w:t>
            </w:r>
          </w:p>
        </w:tc>
        <w:tc>
          <w:tcPr>
            <w:tcW w:w="8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5"/>
          </w:tcPr>
          <w:p>
            <w:pPr>
              <w:jc w:val="right"/>
              <w:ind w:right="106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May 5, 2018</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color w:val="auto"/>
              </w:rPr>
              <w:t>April 29, 2017</w:t>
            </w:r>
          </w:p>
        </w:tc>
        <w:tc>
          <w:tcPr>
            <w:tcW w:w="0" w:type="dxa"/>
            <w:vAlign w:val="bottom"/>
          </w:tcPr>
          <w:p>
            <w:pPr>
              <w:spacing w:after="0"/>
              <w:rPr>
                <w:sz w:val="1"/>
                <w:szCs w:val="1"/>
                <w:color w:val="auto"/>
              </w:rPr>
            </w:pPr>
          </w:p>
        </w:tc>
      </w:tr>
      <w:tr>
        <w:trPr>
          <w:trHeight w:val="167"/>
        </w:trPr>
        <w:tc>
          <w:tcPr>
            <w:tcW w:w="6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2018)</w:t>
            </w:r>
          </w:p>
        </w:tc>
        <w:tc>
          <w:tcPr>
            <w:tcW w:w="22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2017)</w:t>
            </w: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(3,110)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(6,065)</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for operating activities: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500"/>
              <w:spacing w:after="0"/>
              <w:rPr>
                <w:sz w:val="20"/>
                <w:szCs w:val="20"/>
                <w:color w:val="auto"/>
              </w:rPr>
            </w:pPr>
            <w:r>
              <w:rPr>
                <w:rFonts w:ascii="Arial" w:cs="Arial" w:eastAsia="Arial" w:hAnsi="Arial"/>
                <w:sz w:val="16"/>
                <w:szCs w:val="16"/>
                <w:color w:val="auto"/>
              </w:rPr>
              <w:t>Amortization of deferred gain on sale-leaseback</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(366)</w:t>
            </w: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debt issuance costs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 compensation expense</w:t>
            </w:r>
          </w:p>
        </w:tc>
        <w:tc>
          <w:tcPr>
            <w:tcW w:w="1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500"/>
              <w:spacing w:after="0"/>
              <w:rPr>
                <w:sz w:val="20"/>
                <w:szCs w:val="20"/>
                <w:color w:val="auto"/>
              </w:rPr>
            </w:pPr>
            <w:r>
              <w:rPr>
                <w:rFonts w:ascii="Arial" w:cs="Arial" w:eastAsia="Arial" w:hAnsi="Arial"/>
                <w:sz w:val="16"/>
                <w:szCs w:val="16"/>
                <w:color w:val="auto"/>
              </w:rPr>
              <w:t>Board of Directors stock compensation</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(2,887)</w:t>
            </w: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(3,978)</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(2,299)</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(1,947)</w:t>
            </w:r>
          </w:p>
        </w:tc>
        <w:tc>
          <w:tcPr>
            <w:tcW w:w="0" w:type="dxa"/>
            <w:vAlign w:val="bottom"/>
          </w:tcPr>
          <w:p>
            <w:pPr>
              <w:spacing w:after="0"/>
              <w:rPr>
                <w:sz w:val="1"/>
                <w:szCs w:val="1"/>
                <w:color w:val="auto"/>
              </w:rPr>
            </w:pPr>
          </w:p>
        </w:tc>
      </w:tr>
      <w:tr>
        <w:trPr>
          <w:trHeight w:val="213"/>
        </w:trPr>
        <w:tc>
          <w:tcPr>
            <w:tcW w:w="644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(5,288)</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13"/>
        </w:trPr>
        <w:tc>
          <w:tcPr>
            <w:tcW w:w="6440" w:type="dxa"/>
            <w:vAlign w:val="bottom"/>
          </w:tcPr>
          <w:p>
            <w:pPr>
              <w:ind w:left="500"/>
              <w:spacing w:after="0"/>
              <w:rPr>
                <w:sz w:val="20"/>
                <w:szCs w:val="20"/>
                <w:color w:val="auto"/>
              </w:rPr>
            </w:pPr>
            <w:r>
              <w:rPr>
                <w:rFonts w:ascii="Arial" w:cs="Arial" w:eastAsia="Arial" w:hAnsi="Arial"/>
                <w:sz w:val="16"/>
                <w:szCs w:val="16"/>
                <w:color w:val="auto"/>
              </w:rPr>
              <w:t>Deferred rent and lease incentives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(764)</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60"/>
              <w:spacing w:after="0"/>
              <w:rPr>
                <w:sz w:val="20"/>
                <w:szCs w:val="20"/>
                <w:color w:val="auto"/>
              </w:rPr>
            </w:pPr>
            <w:r>
              <w:rPr>
                <w:rFonts w:ascii="Arial" w:cs="Arial" w:eastAsia="Arial" w:hAnsi="Arial"/>
                <w:sz w:val="16"/>
                <w:szCs w:val="16"/>
                <w:color w:val="auto"/>
              </w:rPr>
              <w:t>Net cash used for operating activities</w:t>
            </w:r>
          </w:p>
        </w:tc>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4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(5,841)</w:t>
            </w:r>
          </w:p>
        </w:tc>
        <w:tc>
          <w:tcPr>
            <w:tcW w:w="22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(4,557)</w:t>
            </w:r>
          </w:p>
        </w:tc>
        <w:tc>
          <w:tcPr>
            <w:tcW w:w="0" w:type="dxa"/>
            <w:vAlign w:val="bottom"/>
          </w:tcPr>
          <w:p>
            <w:pPr>
              <w:spacing w:after="0"/>
              <w:rPr>
                <w:sz w:val="1"/>
                <w:szCs w:val="1"/>
                <w:color w:val="auto"/>
              </w:rPr>
            </w:pPr>
          </w:p>
        </w:tc>
      </w:tr>
      <w:tr>
        <w:trPr>
          <w:trHeight w:val="213"/>
        </w:trPr>
        <w:tc>
          <w:tcPr>
            <w:tcW w:w="64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Additions to property and equipment, net</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(3,308)</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(6,934)</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60"/>
              <w:spacing w:after="0"/>
              <w:rPr>
                <w:sz w:val="20"/>
                <w:szCs w:val="20"/>
                <w:color w:val="auto"/>
              </w:rPr>
            </w:pPr>
            <w:r>
              <w:rPr>
                <w:rFonts w:ascii="Arial" w:cs="Arial" w:eastAsia="Arial" w:hAnsi="Arial"/>
                <w:sz w:val="16"/>
                <w:szCs w:val="16"/>
                <w:color w:val="auto"/>
              </w:rPr>
              <w:t>Net cash used for investing activities</w:t>
            </w:r>
          </w:p>
        </w:tc>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4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(3,308)</w:t>
            </w:r>
          </w:p>
        </w:tc>
        <w:tc>
          <w:tcPr>
            <w:tcW w:w="22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(6,934)</w:t>
            </w:r>
          </w:p>
        </w:tc>
        <w:tc>
          <w:tcPr>
            <w:tcW w:w="0" w:type="dxa"/>
            <w:vAlign w:val="bottom"/>
          </w:tcPr>
          <w:p>
            <w:pPr>
              <w:spacing w:after="0"/>
              <w:rPr>
                <w:sz w:val="1"/>
                <w:szCs w:val="1"/>
                <w:color w:val="auto"/>
              </w:rPr>
            </w:pPr>
          </w:p>
        </w:tc>
      </w:tr>
      <w:tr>
        <w:trPr>
          <w:trHeight w:val="213"/>
        </w:trPr>
        <w:tc>
          <w:tcPr>
            <w:tcW w:w="64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Repurchase of common stock</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(1,735)</w:t>
            </w:r>
          </w:p>
        </w:tc>
        <w:tc>
          <w:tcPr>
            <w:tcW w:w="0" w:type="dxa"/>
            <w:vAlign w:val="bottom"/>
          </w:tcPr>
          <w:p>
            <w:pPr>
              <w:spacing w:after="0"/>
              <w:rPr>
                <w:sz w:val="1"/>
                <w:szCs w:val="1"/>
                <w:color w:val="auto"/>
              </w:rPr>
            </w:pPr>
          </w:p>
        </w:tc>
      </w:tr>
      <w:tr>
        <w:trPr>
          <w:trHeight w:val="213"/>
        </w:trPr>
        <w:tc>
          <w:tcPr>
            <w:tcW w:w="6440" w:type="dxa"/>
            <w:vAlign w:val="bottom"/>
          </w:tcPr>
          <w:p>
            <w:pPr>
              <w:ind w:left="500"/>
              <w:spacing w:after="0"/>
              <w:rPr>
                <w:sz w:val="20"/>
                <w:szCs w:val="20"/>
                <w:color w:val="auto"/>
              </w:rPr>
            </w:pPr>
            <w:r>
              <w:rPr>
                <w:rFonts w:ascii="Arial" w:cs="Arial" w:eastAsia="Arial" w:hAnsi="Arial"/>
                <w:sz w:val="16"/>
                <w:szCs w:val="16"/>
                <w:color w:val="auto"/>
              </w:rPr>
              <w:t>Principal payments on long-term debt</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(680)</w:t>
            </w: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(2,386)</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borrowings under credit facility</w:t>
            </w:r>
          </w:p>
        </w:tc>
        <w:tc>
          <w:tcPr>
            <w:tcW w:w="14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11,461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14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10,781</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cash and cash equivalents</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Beginning of period</w:t>
            </w:r>
          </w:p>
        </w:tc>
        <w:tc>
          <w:tcPr>
            <w:tcW w:w="14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5,362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40" w:type="dxa"/>
            <w:vAlign w:val="bottom"/>
          </w:tcPr>
          <w:p>
            <w:pPr>
              <w:ind w:left="260"/>
              <w:spacing w:after="0"/>
              <w:rPr>
                <w:sz w:val="20"/>
                <w:szCs w:val="20"/>
                <w:color w:val="auto"/>
              </w:rPr>
            </w:pPr>
            <w:r>
              <w:rPr>
                <w:rFonts w:ascii="Arial" w:cs="Arial" w:eastAsia="Arial" w:hAnsi="Arial"/>
                <w:sz w:val="16"/>
                <w:szCs w:val="16"/>
                <w:color w:val="auto"/>
              </w:rPr>
              <w:t>End of period</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6,994</w:t>
            </w:r>
          </w:p>
        </w:tc>
        <w:tc>
          <w:tcPr>
            <w:tcW w:w="2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7,928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3, 2018 included in the Company’s Annual Report on Form 10-K, which was filed with the Securities and Exchange Commission on March 23, 2018.</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2018 is a 52-week period ending on February 2, 2019 and fiscal 2017 was a 53-week period ended on February 3,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has therefore aggregated them into a single reporting segment, consistent with its omni-channel business approach. The direct operating segment includes the operating results and assets for LivingXL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ShoesXL</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w:t>
      </w:r>
    </w:p>
    <w:p>
      <w:pPr>
        <w:spacing w:after="0" w:line="117"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At May 5, 2018, the “Casual Male” trademark had a carrying value of $0.2 million and is considered a definite-lived asset. The Company is amortizing the remaining carrying value on an accelerated basis, consistent with projected cash flows through fiscal 2018, its estimated remaining useful life.</w:t>
      </w:r>
    </w:p>
    <w:p>
      <w:pPr>
        <w:spacing w:after="0" w:line="1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three months ended May 5, 2018, no event or circumstance occurred which would cause a reduction in the fair value of the Company’s reporting units, requiring interim testing of the Company’s “Rochester” trademark.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ASC Topic 825, Financial Instruments,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2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right="8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 w:name="page8"/>
    <w:bookmarkEnd w:id="7"/>
    <w:p>
      <w:pPr>
        <w:ind w:right="420"/>
        <w:spacing w:after="0" w:line="277" w:lineRule="auto"/>
        <w:rPr>
          <w:sz w:val="20"/>
          <w:szCs w:val="20"/>
          <w:color w:val="auto"/>
        </w:rPr>
      </w:pPr>
      <w:r>
        <w:rPr>
          <w:rFonts w:ascii="Arial" w:cs="Arial" w:eastAsia="Arial" w:hAnsi="Arial"/>
          <w:sz w:val="18"/>
          <w:szCs w:val="18"/>
          <w:color w:val="auto"/>
        </w:rPr>
        <w:t>The fair value of long-term debt is classified within Level 2 of the valuation hierarchy. At May 5, 2018, the fair value approximated the carrying amount based upon terms available to the Company for borrowings with similar arrangements and remaining maturities.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is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months ended May 5, 2018 and April 29, 2017, respectively, were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93"/>
              </w:rPr>
              <w:t>May 5, 2018</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April 29, 2017</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right"/>
              <w:ind w:right="560"/>
              <w:spacing w:after="0" w:line="151" w:lineRule="exact"/>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Pension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the quarter</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Plans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(6,243)</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reclassifications, net of taxes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Balance at end of quarter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60" w:right="80" w:hanging="374"/>
        <w:spacing w:after="0" w:line="312"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$97,000 and $155,000 for the three months ended May 5, 2018 and April 29, 2017, respectively. There was no tax effect for the three months ended April 29, 2017.</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was no material impairment of long-lived assets in the first quarter of fiscal 2018 or fiscal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xml:space="preserve">), which amends the accounting guidance on revenue recognition. The amendments in this ASU are intended to provide a framework for addressing revenue issues, improve comparability of revenue recognition practices, and improve disclosure requirements. This ASU sets forth a five-step model for determining when and how revenue is recognized. Under the model, an entity is required to recognize revenue to depict the transfer of goods or services to a customer at an amount reflecting the consideration it expects to receive in exchange for those goods or services. To assess the impact of ASU 2014-09, the Company reviewed its current accounting policies and practices, identified all material revenue streams, assessed the impact of the ASU on its material revenue streams and identified potential differences with current policies and practices. The Company adopted this standard on February 4, 2018, with no material impact on the Company’s </w:t>
      </w:r>
      <w:r>
        <w:rPr>
          <w:rFonts w:ascii="Arial" w:cs="Arial" w:eastAsia="Arial" w:hAnsi="Arial"/>
          <w:sz w:val="18"/>
          <w:szCs w:val="18"/>
          <w:color w:val="212121"/>
        </w:rPr>
        <w:t>Consolidated Financial</w:t>
      </w:r>
      <w:r>
        <w:rPr>
          <w:rFonts w:ascii="Arial" w:cs="Arial" w:eastAsia="Arial" w:hAnsi="Arial"/>
          <w:sz w:val="18"/>
          <w:szCs w:val="18"/>
          <w:color w:val="auto"/>
        </w:rPr>
        <w:t xml:space="preserve"> </w:t>
      </w:r>
      <w:r>
        <w:rPr>
          <w:rFonts w:ascii="Arial" w:cs="Arial" w:eastAsia="Arial" w:hAnsi="Arial"/>
          <w:sz w:val="18"/>
          <w:szCs w:val="18"/>
          <w:color w:val="212121"/>
        </w:rPr>
        <w:t>Statements</w:t>
      </w:r>
      <w:r>
        <w:rPr>
          <w:rFonts w:ascii="Arial" w:cs="Arial" w:eastAsia="Arial" w:hAnsi="Arial"/>
          <w:sz w:val="18"/>
          <w:szCs w:val="18"/>
          <w:color w:val="000000"/>
        </w:rPr>
        <w:t>, using the modified retrospective approach.</w:t>
      </w:r>
      <w:r>
        <w:rPr>
          <w:rFonts w:ascii="Arial" w:cs="Arial" w:eastAsia="Arial" w:hAnsi="Arial"/>
          <w:sz w:val="18"/>
          <w:szCs w:val="18"/>
          <w:color w:val="212121"/>
        </w:rPr>
        <w:t xml:space="preserve"> Further disclosures related to the adoption of this standard are provided below in Note 2, </w:t>
      </w:r>
      <w:r>
        <w:rPr>
          <w:rFonts w:ascii="Arial" w:cs="Arial" w:eastAsia="Arial" w:hAnsi="Arial"/>
          <w:sz w:val="18"/>
          <w:szCs w:val="18"/>
          <w:i w:val="1"/>
          <w:iCs w:val="1"/>
          <w:color w:val="212121"/>
        </w:rPr>
        <w:t>Revenue</w:t>
      </w:r>
      <w:r>
        <w:rPr>
          <w:rFonts w:ascii="Arial" w:cs="Arial" w:eastAsia="Arial" w:hAnsi="Arial"/>
          <w:sz w:val="18"/>
          <w:szCs w:val="18"/>
          <w:color w:val="212121"/>
        </w:rPr>
        <w:t xml:space="preserve"> </w:t>
      </w:r>
      <w:r>
        <w:rPr>
          <w:rFonts w:ascii="Arial" w:cs="Arial" w:eastAsia="Arial" w:hAnsi="Arial"/>
          <w:sz w:val="18"/>
          <w:szCs w:val="18"/>
          <w:i w:val="1"/>
          <w:iCs w:val="1"/>
          <w:color w:val="212121"/>
        </w:rPr>
        <w:t>Recognition</w:t>
      </w:r>
      <w:r>
        <w:rPr>
          <w:rFonts w:ascii="Arial" w:cs="Arial" w:eastAsia="Arial" w:hAnsi="Arial"/>
          <w:sz w:val="18"/>
          <w:szCs w:val="18"/>
          <w:color w:val="212121"/>
        </w:rPr>
        <w:t>.</w:t>
      </w:r>
    </w:p>
    <w:p>
      <w:pPr>
        <w:spacing w:after="0" w:line="19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In March 2016, the FASB issued </w:t>
      </w:r>
      <w:r>
        <w:rPr>
          <w:rFonts w:ascii="Arial" w:cs="Arial" w:eastAsia="Arial" w:hAnsi="Arial"/>
          <w:sz w:val="16"/>
          <w:szCs w:val="16"/>
          <w:color w:val="252525"/>
        </w:rPr>
        <w:t>ASU 2016</w:t>
      </w:r>
      <w:r>
        <w:rPr>
          <w:rFonts w:ascii="Arial" w:cs="Arial" w:eastAsia="Arial" w:hAnsi="Arial"/>
          <w:sz w:val="16"/>
          <w:szCs w:val="16"/>
          <w:color w:val="auto"/>
        </w:rPr>
        <w:t>-</w:t>
      </w:r>
      <w:r>
        <w:rPr>
          <w:rFonts w:ascii="Arial" w:cs="Arial" w:eastAsia="Arial" w:hAnsi="Arial"/>
          <w:sz w:val="16"/>
          <w:szCs w:val="16"/>
          <w:color w:val="252525"/>
        </w:rPr>
        <w:t>04</w:t>
      </w:r>
      <w:r>
        <w:rPr>
          <w:rFonts w:ascii="Arial" w:cs="Arial" w:eastAsia="Arial" w:hAnsi="Arial"/>
          <w:sz w:val="16"/>
          <w:szCs w:val="16"/>
          <w:color w:val="auto"/>
        </w:rPr>
        <w:t>, “</w:t>
      </w:r>
      <w:r>
        <w:rPr>
          <w:rFonts w:ascii="Arial" w:cs="Arial" w:eastAsia="Arial" w:hAnsi="Arial"/>
          <w:sz w:val="16"/>
          <w:szCs w:val="16"/>
          <w:i w:val="1"/>
          <w:iCs w:val="1"/>
          <w:color w:val="auto"/>
        </w:rPr>
        <w:t>Liabilities—Extinguishments of Liabilities: Recognition of Breakage for Certain Prepaid Stored-Value</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w:t>
      </w:r>
      <w:r>
        <w:rPr>
          <w:rFonts w:ascii="Arial" w:cs="Arial" w:eastAsia="Arial" w:hAnsi="Arial"/>
          <w:sz w:val="16"/>
          <w:szCs w:val="16"/>
          <w:color w:val="auto"/>
        </w:rPr>
        <w:t>” which amends exempting gift cards and other prepaid stored-value products from the guidance on extinguishing financial liabilities. Rather, they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will be subject to breakage accounting consistent with the new revenue guidance in Topic 606. However, the exemption only applies to breakage liabilities that are not subject to unclaimed property laws or that are attached to segregated bank accounts (e.g., consumer debit cards). The Company adopted this pronouncement as of February 4, 2018. The adoption of this standard did not have a material impact on the Company’s </w:t>
      </w:r>
      <w:r>
        <w:rPr>
          <w:rFonts w:ascii="Arial" w:cs="Arial" w:eastAsia="Arial" w:hAnsi="Arial"/>
          <w:sz w:val="16"/>
          <w:szCs w:val="16"/>
          <w:color w:val="212121"/>
        </w:rPr>
        <w:t>Consolidated Financial Statements</w:t>
      </w:r>
      <w:r>
        <w:rPr>
          <w:rFonts w:ascii="Arial" w:cs="Arial" w:eastAsia="Arial" w:hAnsi="Arial"/>
          <w:sz w:val="16"/>
          <w:szCs w:val="16"/>
          <w:color w:val="auto"/>
        </w:rPr>
        <w:t>.</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w:t>
      </w:r>
      <w:r>
        <w:rPr>
          <w:rFonts w:ascii="Arial" w:cs="Arial" w:eastAsia="Arial" w:hAnsi="Arial"/>
          <w:sz w:val="18"/>
          <w:szCs w:val="18"/>
          <w:color w:val="212121"/>
        </w:rPr>
        <w:t>which</w:t>
      </w:r>
      <w:r>
        <w:rPr>
          <w:rFonts w:ascii="Arial" w:cs="Arial" w:eastAsia="Arial" w:hAnsi="Arial"/>
          <w:sz w:val="18"/>
          <w:szCs w:val="18"/>
          <w:color w:val="auto"/>
        </w:rPr>
        <w:t xml:space="preserve"> </w:t>
      </w:r>
      <w:r>
        <w:rPr>
          <w:rFonts w:ascii="Arial" w:cs="Arial" w:eastAsia="Arial" w:hAnsi="Arial"/>
          <w:sz w:val="18"/>
          <w:szCs w:val="18"/>
          <w:color w:val="212121"/>
        </w:rPr>
        <w:t>reduces the existing diversity in practice in how certain cash receipts and cash payments are presented and classified in the statement of cash flows under Topic 230</w:t>
      </w:r>
      <w:r>
        <w:rPr>
          <w:rFonts w:ascii="Arial" w:cs="Arial" w:eastAsia="Arial" w:hAnsi="Arial"/>
          <w:sz w:val="18"/>
          <w:szCs w:val="18"/>
          <w:color w:val="000000"/>
        </w:rPr>
        <w:t>. The Company adopted this pronouncement as of February 4, 2018. The adoption of this standard did not have a material impact on the</w:t>
      </w:r>
      <w:r>
        <w:rPr>
          <w:rFonts w:ascii="Arial" w:cs="Arial" w:eastAsia="Arial" w:hAnsi="Arial"/>
          <w:sz w:val="18"/>
          <w:szCs w:val="18"/>
          <w:color w:val="212121"/>
        </w:rPr>
        <w:t xml:space="preserve"> </w:t>
      </w:r>
      <w:r>
        <w:rPr>
          <w:rFonts w:ascii="Arial" w:cs="Arial" w:eastAsia="Arial" w:hAnsi="Arial"/>
          <w:sz w:val="18"/>
          <w:szCs w:val="18"/>
          <w:color w:val="000000"/>
        </w:rPr>
        <w:t xml:space="preserve">Company’s </w:t>
      </w:r>
      <w:r>
        <w:rPr>
          <w:rFonts w:ascii="Arial" w:cs="Arial" w:eastAsia="Arial" w:hAnsi="Arial"/>
          <w:sz w:val="18"/>
          <w:szCs w:val="18"/>
          <w:color w:val="212121"/>
        </w:rPr>
        <w:t>Consolidated Financial Statements</w:t>
      </w:r>
      <w:r>
        <w:rPr>
          <w:rFonts w:ascii="Arial" w:cs="Arial" w:eastAsia="Arial" w:hAnsi="Arial"/>
          <w:sz w:val="18"/>
          <w:szCs w:val="18"/>
          <w:color w:val="000000"/>
        </w:rPr>
        <w:t>.</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2016, the FASB issued ASU 2016-16, “</w:t>
      </w:r>
      <w:r>
        <w:rPr>
          <w:rFonts w:ascii="Arial" w:cs="Arial" w:eastAsia="Arial" w:hAnsi="Arial"/>
          <w:sz w:val="18"/>
          <w:szCs w:val="18"/>
          <w:i w:val="1"/>
          <w:iCs w:val="1"/>
          <w:color w:val="auto"/>
        </w:rPr>
        <w:t>Income Taxes (Topic 740): Intra-Entity Transfer of Assets Other Than Inventory</w:t>
      </w:r>
      <w:r>
        <w:rPr>
          <w:rFonts w:ascii="Arial" w:cs="Arial" w:eastAsia="Arial" w:hAnsi="Arial"/>
          <w:sz w:val="18"/>
          <w:szCs w:val="18"/>
          <w:color w:val="auto"/>
        </w:rPr>
        <w:t xml:space="preserve">,” which </w:t>
      </w:r>
      <w:r>
        <w:rPr>
          <w:rFonts w:ascii="Arial" w:cs="Arial" w:eastAsia="Arial" w:hAnsi="Arial"/>
          <w:sz w:val="18"/>
          <w:szCs w:val="18"/>
          <w:color w:val="212121"/>
        </w:rPr>
        <w:t>reduces the</w:t>
      </w:r>
      <w:r>
        <w:rPr>
          <w:rFonts w:ascii="Arial" w:cs="Arial" w:eastAsia="Arial" w:hAnsi="Arial"/>
          <w:sz w:val="18"/>
          <w:szCs w:val="18"/>
          <w:color w:val="auto"/>
        </w:rPr>
        <w:t xml:space="preserve"> </w:t>
      </w:r>
      <w:r>
        <w:rPr>
          <w:rFonts w:ascii="Arial" w:cs="Arial" w:eastAsia="Arial" w:hAnsi="Arial"/>
          <w:sz w:val="18"/>
          <w:szCs w:val="18"/>
          <w:color w:val="212121"/>
        </w:rPr>
        <w:t xml:space="preserve">existing diversity in practice in how income tax consequences of an intra-entity transfer of an asset other than inventory should be recognized. The amendments in </w:t>
      </w:r>
      <w:r>
        <w:rPr>
          <w:rFonts w:ascii="Arial" w:cs="Arial" w:eastAsia="Arial" w:hAnsi="Arial"/>
          <w:sz w:val="18"/>
          <w:szCs w:val="18"/>
          <w:color w:val="252525"/>
        </w:rPr>
        <w:t>ASU 2016</w:t>
      </w:r>
      <w:r>
        <w:rPr>
          <w:rFonts w:ascii="Arial" w:cs="Arial" w:eastAsia="Arial" w:hAnsi="Arial"/>
          <w:sz w:val="18"/>
          <w:szCs w:val="18"/>
          <w:color w:val="212121"/>
        </w:rPr>
        <w:t>-</w:t>
      </w:r>
      <w:r>
        <w:rPr>
          <w:rFonts w:ascii="Arial" w:cs="Arial" w:eastAsia="Arial" w:hAnsi="Arial"/>
          <w:sz w:val="18"/>
          <w:szCs w:val="18"/>
          <w:color w:val="252525"/>
        </w:rPr>
        <w:t>16</w:t>
      </w:r>
      <w:r>
        <w:rPr>
          <w:rFonts w:ascii="Arial" w:cs="Arial" w:eastAsia="Arial" w:hAnsi="Arial"/>
          <w:sz w:val="18"/>
          <w:szCs w:val="18"/>
          <w:color w:val="212121"/>
        </w:rPr>
        <w:t xml:space="preserve"> require an entity to recognize such income tax consequences when the intra-entity transfer occurs rather than waiting until such time as the asset has been sold to an outside party</w:t>
      </w:r>
      <w:r>
        <w:rPr>
          <w:rFonts w:ascii="Arial" w:cs="Arial" w:eastAsia="Arial" w:hAnsi="Arial"/>
          <w:sz w:val="18"/>
          <w:szCs w:val="18"/>
          <w:color w:val="000000"/>
        </w:rPr>
        <w:t>. The Company adopted this pronouncement as of February 4, 2018. The adoption of this standard did not</w:t>
      </w:r>
      <w:r>
        <w:rPr>
          <w:rFonts w:ascii="Arial" w:cs="Arial" w:eastAsia="Arial" w:hAnsi="Arial"/>
          <w:sz w:val="18"/>
          <w:szCs w:val="18"/>
          <w:color w:val="212121"/>
        </w:rPr>
        <w:t xml:space="preserve"> </w:t>
      </w:r>
      <w:r>
        <w:rPr>
          <w:rFonts w:ascii="Arial" w:cs="Arial" w:eastAsia="Arial" w:hAnsi="Arial"/>
          <w:sz w:val="18"/>
          <w:szCs w:val="18"/>
          <w:color w:val="000000"/>
        </w:rPr>
        <w:t xml:space="preserve">have a material impact on the Company’s </w:t>
      </w:r>
      <w:r>
        <w:rPr>
          <w:rFonts w:ascii="Arial" w:cs="Arial" w:eastAsia="Arial" w:hAnsi="Arial"/>
          <w:sz w:val="18"/>
          <w:szCs w:val="18"/>
          <w:color w:val="212121"/>
        </w:rPr>
        <w:t>Consolidated Financial Statements</w:t>
      </w:r>
      <w:r>
        <w:rPr>
          <w:rFonts w:ascii="Arial" w:cs="Arial" w:eastAsia="Arial" w:hAnsi="Arial"/>
          <w:sz w:val="18"/>
          <w:szCs w:val="18"/>
          <w:color w:val="000000"/>
        </w:rPr>
        <w:t>.</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212121"/>
        </w:rPr>
        <w:t xml:space="preserve">In May 2017, the FASB issued ASU </w:t>
      </w:r>
      <w:r>
        <w:rPr>
          <w:rFonts w:ascii="Arial" w:cs="Arial" w:eastAsia="Arial" w:hAnsi="Arial"/>
          <w:sz w:val="16"/>
          <w:szCs w:val="16"/>
          <w:color w:val="000000"/>
        </w:rPr>
        <w:t>2017-09</w:t>
      </w:r>
      <w:r>
        <w:rPr>
          <w:rFonts w:ascii="Arial" w:cs="Arial" w:eastAsia="Arial" w:hAnsi="Arial"/>
          <w:sz w:val="16"/>
          <w:szCs w:val="16"/>
          <w:color w:val="212121"/>
        </w:rPr>
        <w:t>, “</w:t>
      </w:r>
      <w:r>
        <w:rPr>
          <w:rFonts w:ascii="Arial" w:cs="Arial" w:eastAsia="Arial" w:hAnsi="Arial"/>
          <w:sz w:val="16"/>
          <w:szCs w:val="16"/>
          <w:i w:val="1"/>
          <w:iCs w:val="1"/>
          <w:color w:val="212121"/>
        </w:rPr>
        <w:t>Compensation—Stock Compensation (Topic 718)”</w:t>
      </w:r>
      <w:r>
        <w:rPr>
          <w:rFonts w:ascii="Arial" w:cs="Arial" w:eastAsia="Arial" w:hAnsi="Arial"/>
          <w:sz w:val="16"/>
          <w:szCs w:val="16"/>
          <w:color w:val="212121"/>
        </w:rPr>
        <w:t xml:space="preserve">which provides clarity in order to reduce both (1) diversity in practice and (2) cost and complexity when applying the guidance in Topic 718, Compensation—Stock Compensation, to a change to the terms or conditions of a share-based payment award. Under the new guidance, modification accounting is required only if the fair value, the vesting conditions, or the classification of the award (as equity or liability) changes as a result of the change in terms or conditions. </w:t>
      </w:r>
      <w:r>
        <w:rPr>
          <w:rFonts w:ascii="Arial" w:cs="Arial" w:eastAsia="Arial" w:hAnsi="Arial"/>
          <w:sz w:val="16"/>
          <w:szCs w:val="16"/>
          <w:color w:val="000000"/>
        </w:rPr>
        <w:t>The Company adopted this pronouncement as of</w:t>
      </w:r>
      <w:r>
        <w:rPr>
          <w:rFonts w:ascii="Arial" w:cs="Arial" w:eastAsia="Arial" w:hAnsi="Arial"/>
          <w:sz w:val="16"/>
          <w:szCs w:val="16"/>
          <w:color w:val="212121"/>
        </w:rPr>
        <w:t xml:space="preserve"> </w:t>
      </w:r>
      <w:r>
        <w:rPr>
          <w:rFonts w:ascii="Arial" w:cs="Arial" w:eastAsia="Arial" w:hAnsi="Arial"/>
          <w:sz w:val="16"/>
          <w:szCs w:val="16"/>
          <w:color w:val="000000"/>
        </w:rPr>
        <w:t xml:space="preserve">February 4, 2018. The adoption of this standard did not have a material impact on the Company’s </w:t>
      </w:r>
      <w:r>
        <w:rPr>
          <w:rFonts w:ascii="Arial" w:cs="Arial" w:eastAsia="Arial" w:hAnsi="Arial"/>
          <w:sz w:val="16"/>
          <w:szCs w:val="16"/>
          <w:color w:val="212121"/>
        </w:rPr>
        <w:t>Consolidated Financial Statements</w:t>
      </w:r>
      <w:r>
        <w:rPr>
          <w:rFonts w:ascii="Arial" w:cs="Arial" w:eastAsia="Arial" w:hAnsi="Arial"/>
          <w:sz w:val="16"/>
          <w:szCs w:val="16"/>
          <w:color w:val="000000"/>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is a comprehensive new leases standard that amends various aspects of existing guidance for leases and requires additional disclosures about leasing arrangements. It will require lessees to recognize lease assets and lease liabilities for most leases, including those leases previously classified as operating leases under current GAAP. The ASU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ASU is effective for annual periods beginning after December 15, 2018, including interim periods within those years; earlier adoption is permitted. While there is an exposure draft to amend Topic 842 to provide entities with an additional transition method, presently the Company would be required to adopt this ASU using the modified retrospective approach.</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selected its leasing software solution and is in the process of identifying changes to its business processes, systems and controls to support adoption of the new standard in fiscal 2019. The Company is evaluating the impact that the new standard will have on the consolidated financial statements. While the Company is still in the process of quantifying the impact, it expects the adoption of the new standard to result in a material gross-up of its Consolidated Balance Sheets as a result of recognizing lease liabilities and right of use assets.</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February 2018, the FASB issued ASU 2018-02, “</w:t>
      </w:r>
      <w:r>
        <w:rPr>
          <w:rFonts w:ascii="Arial" w:cs="Arial" w:eastAsia="Arial" w:hAnsi="Arial"/>
          <w:sz w:val="16"/>
          <w:szCs w:val="16"/>
          <w:i w:val="1"/>
          <w:iCs w:val="1"/>
          <w:color w:val="auto"/>
        </w:rPr>
        <w:t>Income Statement – Reporting Comprehensive Income (Topic 220) Reclassification of Certain Tax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from Accumulated Other Comprehensive Income</w:t>
      </w:r>
      <w:r>
        <w:rPr>
          <w:rFonts w:ascii="Arial" w:cs="Arial" w:eastAsia="Arial" w:hAnsi="Arial"/>
          <w:sz w:val="16"/>
          <w:szCs w:val="16"/>
          <w:color w:val="auto"/>
        </w:rPr>
        <w:t>”. The amendments in this update allow a reclassification from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(loss) to retained earnings for stranded tax effects resulting from the Tax Cuts and Jobs Act. However, because the amendments only relate to the reclassification of the income tax effects of the Tax Cuts and Jobs Act, the underlying guidance that requires that the effect of a change in tax laws or rates be included in income from continuing operations is not affected. The amendments in this update also require certain disclosures about stranded tax effects. The amendments in this update are effective for fiscal years beginning after December 15, 2018 and interim periods within those fiscal years. Early adoption is permitted. We are currently evaluating the impact this pronouncement will have on our consolidated financial statements.</w:t>
      </w:r>
    </w:p>
    <w:p>
      <w:pPr>
        <w:spacing w:after="0" w:line="1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 other new accounting pronouncements, issued or effective during the first three months of fiscal 2018, have had or are expected to have a significant impact on the Company’s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12121"/>
        </w:rPr>
        <w:t xml:space="preserve">On February 4, 2018, the Company </w:t>
      </w:r>
      <w:r>
        <w:rPr>
          <w:rFonts w:ascii="Arial" w:cs="Arial" w:eastAsia="Arial" w:hAnsi="Arial"/>
          <w:sz w:val="18"/>
          <w:szCs w:val="18"/>
          <w:color w:val="252525"/>
        </w:rPr>
        <w:t>adopted</w:t>
      </w:r>
      <w:r>
        <w:rPr>
          <w:rFonts w:ascii="Arial" w:cs="Arial" w:eastAsia="Arial" w:hAnsi="Arial"/>
          <w:sz w:val="18"/>
          <w:szCs w:val="18"/>
          <w:color w:val="212121"/>
        </w:rPr>
        <w:t xml:space="preserve"> </w:t>
      </w:r>
      <w:r>
        <w:rPr>
          <w:rFonts w:ascii="Arial" w:cs="Arial" w:eastAsia="Arial" w:hAnsi="Arial"/>
          <w:sz w:val="18"/>
          <w:szCs w:val="18"/>
          <w:i w:val="1"/>
          <w:iCs w:val="1"/>
          <w:color w:val="212121"/>
        </w:rPr>
        <w:t>Revenue from Contracts with Customers</w:t>
      </w:r>
      <w:r>
        <w:rPr>
          <w:rFonts w:ascii="Arial" w:cs="Arial" w:eastAsia="Arial" w:hAnsi="Arial"/>
          <w:sz w:val="18"/>
          <w:szCs w:val="18"/>
          <w:color w:val="212121"/>
        </w:rPr>
        <w:t xml:space="preserve"> (“ASC </w:t>
      </w:r>
      <w:r>
        <w:rPr>
          <w:rFonts w:ascii="Arial" w:cs="Arial" w:eastAsia="Arial" w:hAnsi="Arial"/>
          <w:sz w:val="18"/>
          <w:szCs w:val="18"/>
          <w:color w:val="252525"/>
        </w:rPr>
        <w:t>606”)</w:t>
      </w:r>
      <w:r>
        <w:rPr>
          <w:rFonts w:ascii="Arial" w:cs="Arial" w:eastAsia="Arial" w:hAnsi="Arial"/>
          <w:sz w:val="18"/>
          <w:szCs w:val="18"/>
          <w:color w:val="212121"/>
        </w:rPr>
        <w:t xml:space="preserve"> using the modified retrospective approach for all contracts not completed as of the date of adoption. Results for the reporting periods beginning on February 4, 2018 are presented under ASC 606, while prior period amounts continue to be reported in accordance with accounting under ASC 605, </w:t>
      </w:r>
      <w:r>
        <w:rPr>
          <w:rFonts w:ascii="Arial" w:cs="Arial" w:eastAsia="Arial" w:hAnsi="Arial"/>
          <w:sz w:val="18"/>
          <w:szCs w:val="18"/>
          <w:i w:val="1"/>
          <w:iCs w:val="1"/>
          <w:color w:val="212121"/>
        </w:rPr>
        <w:t>Revenue Recognition</w:t>
      </w:r>
      <w:r>
        <w:rPr>
          <w:rFonts w:ascii="Arial" w:cs="Arial" w:eastAsia="Arial" w:hAnsi="Arial"/>
          <w:sz w:val="18"/>
          <w:szCs w:val="18"/>
          <w:color w:val="212121"/>
        </w:rPr>
        <w:t>. There was no material impact to the Company’s Consolidated Financial Statements as a result of adopting ASC 606.</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212121"/>
        </w:rPr>
        <w:t xml:space="preserve">The Company operates as a retailer of men’s big and tall apparel, which includes both retail stores and a direct business. </w:t>
      </w:r>
      <w:r>
        <w:rPr>
          <w:rFonts w:ascii="Arial" w:cs="Arial" w:eastAsia="Arial" w:hAnsi="Arial"/>
          <w:sz w:val="16"/>
          <w:szCs w:val="16"/>
          <w:color w:val="000000"/>
        </w:rPr>
        <w:t>Revenue is recognized by the</w:t>
      </w:r>
      <w:r>
        <w:rPr>
          <w:rFonts w:ascii="Arial" w:cs="Arial" w:eastAsia="Arial" w:hAnsi="Arial"/>
          <w:sz w:val="16"/>
          <w:szCs w:val="16"/>
          <w:color w:val="212121"/>
        </w:rPr>
        <w:t xml:space="preserve"> </w:t>
      </w:r>
      <w:r>
        <w:rPr>
          <w:rFonts w:ascii="Arial" w:cs="Arial" w:eastAsia="Arial" w:hAnsi="Arial"/>
          <w:sz w:val="16"/>
          <w:szCs w:val="16"/>
          <w:color w:val="000000"/>
        </w:rPr>
        <w:t xml:space="preserve">operating segment that initiates a customer’s order. Store sales are defined as sales that originate and are fulfilled directly at the store level. Direct sales are defined as sales that originate online, including those initiated online at the store level. </w:t>
      </w:r>
      <w:r>
        <w:rPr>
          <w:rFonts w:ascii="Arial" w:cs="Arial" w:eastAsia="Arial" w:hAnsi="Arial"/>
          <w:sz w:val="16"/>
          <w:szCs w:val="16"/>
          <w:color w:val="212121"/>
        </w:rPr>
        <w:t>Generally, all revenues are recognized when control of the promised</w:t>
      </w:r>
      <w:r>
        <w:rPr>
          <w:rFonts w:ascii="Arial" w:cs="Arial" w:eastAsia="Arial" w:hAnsi="Arial"/>
          <w:sz w:val="16"/>
          <w:szCs w:val="16"/>
          <w:color w:val="000000"/>
        </w:rPr>
        <w:t xml:space="preserve"> </w:t>
      </w:r>
      <w:r>
        <w:rPr>
          <w:rFonts w:ascii="Arial" w:cs="Arial" w:eastAsia="Arial" w:hAnsi="Arial"/>
          <w:sz w:val="16"/>
          <w:szCs w:val="16"/>
          <w:color w:val="212121"/>
        </w:rPr>
        <w:t xml:space="preserve">goods is transferred to customers, in an amount that reflects the consideration in exchange for those goods. </w:t>
      </w:r>
      <w:r>
        <w:rPr>
          <w:rFonts w:ascii="Arial" w:cs="Arial" w:eastAsia="Arial" w:hAnsi="Arial"/>
          <w:sz w:val="16"/>
          <w:szCs w:val="16"/>
          <w:color w:val="000000"/>
        </w:rPr>
        <w:t>Sales tax collected from customers and remitted to</w:t>
      </w:r>
      <w:r>
        <w:rPr>
          <w:rFonts w:ascii="Arial" w:cs="Arial" w:eastAsia="Arial" w:hAnsi="Arial"/>
          <w:sz w:val="16"/>
          <w:szCs w:val="16"/>
          <w:color w:val="212121"/>
        </w:rPr>
        <w:t xml:space="preserve"> </w:t>
      </w:r>
      <w:r>
        <w:rPr>
          <w:rFonts w:ascii="Arial" w:cs="Arial" w:eastAsia="Arial" w:hAnsi="Arial"/>
          <w:sz w:val="16"/>
          <w:szCs w:val="16"/>
          <w:color w:val="000000"/>
        </w:rPr>
        <w:t>taxing authorities is excluded from revenue and is included as part of accrued expenses on the Company’s Consolidated Balance Sheets.</w:t>
      </w:r>
    </w:p>
    <w:p>
      <w:pPr>
        <w:spacing w:after="0" w:line="158" w:lineRule="exact"/>
        <w:rPr>
          <w:sz w:val="20"/>
          <w:szCs w:val="20"/>
          <w:color w:val="auto"/>
        </w:rPr>
      </w:pPr>
    </w:p>
    <w:p>
      <w:pPr>
        <w:ind w:left="760" w:hanging="374"/>
        <w:spacing w:after="0" w:line="277" w:lineRule="auto"/>
        <w:tabs>
          <w:tab w:leader="none" w:pos="760" w:val="left"/>
        </w:tabs>
        <w:numPr>
          <w:ilvl w:val="0"/>
          <w:numId w:val="4"/>
        </w:numPr>
        <w:rPr>
          <w:rFonts w:ascii="Arial" w:cs="Arial" w:eastAsia="Arial" w:hAnsi="Arial"/>
          <w:sz w:val="18"/>
          <w:szCs w:val="18"/>
          <w:color w:val="212121"/>
        </w:rPr>
      </w:pPr>
      <w:r>
        <w:rPr>
          <w:rFonts w:ascii="Arial" w:cs="Arial" w:eastAsia="Arial" w:hAnsi="Arial"/>
          <w:sz w:val="18"/>
          <w:szCs w:val="18"/>
          <w:color w:val="auto"/>
        </w:rPr>
        <w:t>Revenue from the Company’s retail store operations is recorded upon purchase of merchandise by customers, net of an allowance for sales returns, which is estimated based upon historical experience.</w:t>
      </w:r>
    </w:p>
    <w:p>
      <w:pPr>
        <w:spacing w:after="0" w:line="170" w:lineRule="exact"/>
        <w:rPr>
          <w:rFonts w:ascii="Arial" w:cs="Arial" w:eastAsia="Arial" w:hAnsi="Arial"/>
          <w:sz w:val="18"/>
          <w:szCs w:val="18"/>
          <w:color w:val="212121"/>
        </w:rPr>
      </w:pPr>
    </w:p>
    <w:p>
      <w:pPr>
        <w:ind w:left="760" w:right="20" w:hanging="374"/>
        <w:spacing w:after="0" w:line="277" w:lineRule="auto"/>
        <w:tabs>
          <w:tab w:leader="none" w:pos="760" w:val="left"/>
        </w:tabs>
        <w:numPr>
          <w:ilvl w:val="0"/>
          <w:numId w:val="4"/>
        </w:numPr>
        <w:rPr>
          <w:rFonts w:ascii="Arial" w:cs="Arial" w:eastAsia="Arial" w:hAnsi="Arial"/>
          <w:sz w:val="18"/>
          <w:szCs w:val="18"/>
          <w:color w:val="212121"/>
        </w:rPr>
      </w:pPr>
      <w:r>
        <w:rPr>
          <w:rFonts w:ascii="Arial" w:cs="Arial" w:eastAsia="Arial" w:hAnsi="Arial"/>
          <w:sz w:val="18"/>
          <w:szCs w:val="18"/>
          <w:color w:val="auto"/>
        </w:rPr>
        <w:t>Revenue from the Company’s direct operations is recognized at the time a customer order is delivered, net of an allowance for sales returns, which is estimated based upon historical experience.</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Unredeemed Loyalty Coupons. </w:t>
      </w:r>
      <w:r>
        <w:rPr>
          <w:rFonts w:ascii="Arial" w:cs="Arial" w:eastAsia="Arial" w:hAnsi="Arial"/>
          <w:sz w:val="18"/>
          <w:szCs w:val="18"/>
          <w:color w:val="auto"/>
        </w:rPr>
        <w:t>The Company offers a free loyalty program to its customers for which points accumulate based on the purchase of</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Over 90% of the Company’s customers participate in the loyalty program. Under ASC 606,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$0.8 million and $0.6 million at May 5, 2018 and February 3, 2018, respectively.</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Unredeemed Gift Cards, Gift Certificates, and Credit Vouchers. </w:t>
      </w:r>
      <w:r>
        <w:rPr>
          <w:rFonts w:ascii="Arial" w:cs="Arial" w:eastAsia="Arial" w:hAnsi="Arial"/>
          <w:sz w:val="18"/>
          <w:szCs w:val="18"/>
          <w:color w:val="auto"/>
        </w:rPr>
        <w:t>Upon issuance of a gift card, gift certificate, or credit voucher, a liability is established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cash value. The liability is relieved and net sales are recorded upon redemption by the customer. Based on historical redemption patterns, the Company can reasonably estimate the amount of gift cards, gift certificates, and credit vouchers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right="140"/>
        <w:spacing w:after="0" w:line="264" w:lineRule="auto"/>
        <w:rPr>
          <w:sz w:val="20"/>
          <w:szCs w:val="20"/>
          <w:color w:val="auto"/>
        </w:rPr>
      </w:pPr>
      <w:r>
        <w:rPr>
          <w:rFonts w:ascii="Arial" w:cs="Arial" w:eastAsia="Arial" w:hAnsi="Arial"/>
          <w:sz w:val="18"/>
          <w:szCs w:val="18"/>
          <w:color w:val="auto"/>
        </w:rPr>
        <w:t>for which redemption is remote, which is referred to as "breakage". Breakage is recognized over two years in proportion to historical redemption trends and is recorded as sales in the Consolidated Statements of Operations. The gift card liability, net of breakage, was $1.6 million and $2.2 million at May 5, 2018 and February 3, 2018, respectively.</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Shipping and handling costs are accounted for as fulfillment costs and are included in cost of sales for all periods presented. Amounts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212121"/>
        </w:rPr>
        <w:t>Disaggregation of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12121"/>
        </w:rPr>
        <w:t xml:space="preserve">As noted above under </w:t>
      </w:r>
      <w:r>
        <w:rPr>
          <w:rFonts w:ascii="Arial" w:cs="Arial" w:eastAsia="Arial" w:hAnsi="Arial"/>
          <w:sz w:val="18"/>
          <w:szCs w:val="18"/>
          <w:i w:val="1"/>
          <w:iCs w:val="1"/>
          <w:color w:val="212121"/>
        </w:rPr>
        <w:t>Segment Information</w:t>
      </w:r>
      <w:r>
        <w:rPr>
          <w:rFonts w:ascii="Arial" w:cs="Arial" w:eastAsia="Arial" w:hAnsi="Arial"/>
          <w:sz w:val="18"/>
          <w:szCs w:val="18"/>
          <w:color w:val="212121"/>
        </w:rPr>
        <w:t xml:space="preserve"> in Note 1, the Company’s business consists of one reportable segment. Substantially all of the Company’s revenue is generated from its retail store operations and its direct business. Accordingly, we have determined that the following sales channels depict the nature, amount, timing, and uncertainty of how revenue and cash flows are affected by economic factors:</w:t>
      </w:r>
    </w:p>
    <w:p>
      <w:pPr>
        <w:spacing w:after="0" w:line="204" w:lineRule="exact"/>
        <w:rPr>
          <w:sz w:val="20"/>
          <w:szCs w:val="20"/>
          <w:color w:val="auto"/>
        </w:rPr>
      </w:pPr>
    </w:p>
    <w:tbl>
      <w:tblPr>
        <w:tblLayout w:type="fixed"/>
        <w:tblInd w:w="2080" w:type="dxa"/>
        <w:tblCellMar>
          <w:top w:w="0" w:type="dxa"/>
          <w:left w:w="0" w:type="dxa"/>
          <w:bottom w:w="0" w:type="dxa"/>
          <w:right w:w="0" w:type="dxa"/>
        </w:tblCellMar>
      </w:tblPr>
      <w:tr>
        <w:trPr>
          <w:trHeight w:val="176"/>
        </w:trPr>
        <w:tc>
          <w:tcPr>
            <w:tcW w:w="1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40" w:type="dxa"/>
            <w:vAlign w:val="bottom"/>
            <w:gridSpan w:val="5"/>
          </w:tcPr>
          <w:p>
            <w:pPr>
              <w:jc w:val="right"/>
              <w:ind w:right="748"/>
              <w:spacing w:after="0"/>
              <w:rPr>
                <w:sz w:val="20"/>
                <w:szCs w:val="20"/>
                <w:color w:val="auto"/>
              </w:rPr>
            </w:pPr>
            <w:r>
              <w:rPr>
                <w:rFonts w:ascii="Arial" w:cs="Arial" w:eastAsia="Arial" w:hAnsi="Arial"/>
                <w:sz w:val="14"/>
                <w:szCs w:val="14"/>
                <w:color w:val="auto"/>
              </w:rPr>
              <w:t>For the three months ended</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19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May 5, 2018</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April 29, 2017</w:t>
            </w:r>
          </w:p>
        </w:tc>
        <w:tc>
          <w:tcPr>
            <w:tcW w:w="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r>
      <w:tr>
        <w:trPr>
          <w:trHeight w:val="156"/>
        </w:trPr>
        <w:tc>
          <w:tcPr>
            <w:tcW w:w="1940" w:type="dxa"/>
            <w:vAlign w:val="bottom"/>
          </w:tcPr>
          <w:p>
            <w:pPr>
              <w:spacing w:after="0" w:line="155" w:lineRule="exact"/>
              <w:rPr>
                <w:sz w:val="20"/>
                <w:szCs w:val="20"/>
                <w:color w:val="auto"/>
              </w:rPr>
            </w:pPr>
            <w:r>
              <w:rPr>
                <w:rFonts w:ascii="Arial" w:cs="Arial" w:eastAsia="Arial" w:hAnsi="Arial"/>
                <w:sz w:val="14"/>
                <w:szCs w:val="14"/>
                <w:color w:val="auto"/>
              </w:rPr>
              <w:t>Retail sales</w:t>
            </w:r>
          </w:p>
        </w:tc>
        <w:tc>
          <w:tcPr>
            <w:tcW w:w="11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89,345</w:t>
            </w:r>
          </w:p>
        </w:tc>
        <w:tc>
          <w:tcPr>
            <w:tcW w:w="820" w:type="dxa"/>
            <w:vAlign w:val="bottom"/>
          </w:tcPr>
          <w:p>
            <w:pPr>
              <w:jc w:val="right"/>
              <w:ind w:right="8"/>
              <w:spacing w:after="0" w:line="155" w:lineRule="exact"/>
              <w:rPr>
                <w:sz w:val="20"/>
                <w:szCs w:val="20"/>
                <w:color w:val="auto"/>
              </w:rPr>
            </w:pPr>
            <w:r>
              <w:rPr>
                <w:rFonts w:ascii="Arial" w:cs="Arial" w:eastAsia="Arial" w:hAnsi="Arial"/>
                <w:sz w:val="14"/>
                <w:szCs w:val="14"/>
                <w:i w:val="1"/>
                <w:iCs w:val="1"/>
                <w:color w:val="auto"/>
              </w:rPr>
              <w:t>78.8%</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85,486</w:t>
            </w:r>
          </w:p>
        </w:tc>
        <w:tc>
          <w:tcPr>
            <w:tcW w:w="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i w:val="1"/>
                <w:iCs w:val="1"/>
                <w:color w:val="auto"/>
              </w:rPr>
              <w:t>79.4 %</w:t>
            </w:r>
          </w:p>
        </w:tc>
      </w:tr>
      <w:tr>
        <w:trPr>
          <w:trHeight w:val="162"/>
        </w:trPr>
        <w:tc>
          <w:tcPr>
            <w:tcW w:w="1940" w:type="dxa"/>
            <w:vAlign w:val="bottom"/>
            <w:shd w:val="clear" w:color="auto" w:fill="CFF0FC"/>
          </w:tcPr>
          <w:p>
            <w:pPr>
              <w:spacing w:after="0"/>
              <w:rPr>
                <w:sz w:val="20"/>
                <w:szCs w:val="20"/>
                <w:color w:val="auto"/>
              </w:rPr>
            </w:pPr>
            <w:r>
              <w:rPr>
                <w:rFonts w:ascii="Arial" w:cs="Arial" w:eastAsia="Arial" w:hAnsi="Arial"/>
                <w:sz w:val="14"/>
                <w:szCs w:val="14"/>
                <w:color w:val="auto"/>
              </w:rPr>
              <w:t>Direct sales</w:t>
            </w:r>
          </w:p>
        </w:tc>
        <w:tc>
          <w:tcPr>
            <w:tcW w:w="1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23,986</w:t>
            </w: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14"/>
                <w:szCs w:val="14"/>
                <w:i w:val="1"/>
                <w:iCs w:val="1"/>
                <w:color w:val="auto"/>
              </w:rPr>
              <w:t>21.2%</w:t>
            </w:r>
          </w:p>
        </w:tc>
        <w:tc>
          <w:tcPr>
            <w:tcW w:w="80" w:type="dxa"/>
            <w:vAlign w:val="bottom"/>
            <w:tcBorders>
              <w:bottom w:val="single" w:sz="8" w:color="auto"/>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22,143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i w:val="1"/>
                <w:iCs w:val="1"/>
                <w:color w:val="auto"/>
              </w:rPr>
              <w:t>20.6 %</w:t>
            </w:r>
          </w:p>
        </w:tc>
      </w:tr>
      <w:tr>
        <w:trPr>
          <w:trHeight w:val="169"/>
        </w:trPr>
        <w:tc>
          <w:tcPr>
            <w:tcW w:w="1940" w:type="dxa"/>
            <w:vAlign w:val="bottom"/>
          </w:tcPr>
          <w:p>
            <w:pPr>
              <w:spacing w:after="0"/>
              <w:rPr>
                <w:sz w:val="20"/>
                <w:szCs w:val="20"/>
                <w:color w:val="auto"/>
              </w:rPr>
            </w:pPr>
            <w:r>
              <w:rPr>
                <w:rFonts w:ascii="Arial" w:cs="Arial" w:eastAsia="Arial" w:hAnsi="Arial"/>
                <w:sz w:val="14"/>
                <w:szCs w:val="14"/>
                <w:color w:val="auto"/>
              </w:rPr>
              <w:t>Total sales</w:t>
            </w:r>
          </w:p>
        </w:tc>
        <w:tc>
          <w:tcPr>
            <w:tcW w:w="1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113,331</w:t>
            </w:r>
          </w:p>
        </w:tc>
        <w:tc>
          <w:tcPr>
            <w:tcW w:w="82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107,629</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1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Bank of America, N.A.</w:t>
      </w:r>
    </w:p>
    <w:p>
      <w:pPr>
        <w:spacing w:after="0" w:line="229"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 xml:space="preserve">On October 30, 2014, the Company executed the Second Amendment to the Sixth Amended and Restated Credit Agreement with Bank of America, N.A, effective October 29, 2014, (as amended, the “Credit Facility”). The maturity date of this Credit Facility is October 29, 2019. Subsequent to the end of the first quarter of fiscal 2018, on May 24, 2018 this Credit Facility with Bank of America, N.A. was amended pursuant to the Seventh Amended and Restated Credit Agreement (“New Credit Facility”). See Note 8, </w:t>
      </w:r>
      <w:r>
        <w:rPr>
          <w:rFonts w:ascii="Arial" w:cs="Arial" w:eastAsia="Arial" w:hAnsi="Arial"/>
          <w:sz w:val="17"/>
          <w:szCs w:val="17"/>
          <w:i w:val="1"/>
          <w:iCs w:val="1"/>
          <w:color w:val="auto"/>
        </w:rPr>
        <w:t>Subsequent Events</w:t>
      </w:r>
      <w:r>
        <w:rPr>
          <w:rFonts w:ascii="Arial" w:cs="Arial" w:eastAsia="Arial" w:hAnsi="Arial"/>
          <w:sz w:val="17"/>
          <w:szCs w:val="17"/>
          <w:color w:val="auto"/>
        </w:rPr>
        <w:t>, for a full description of the New Credit Facility.</w:t>
      </w:r>
    </w:p>
    <w:p>
      <w:pPr>
        <w:spacing w:after="0" w:line="17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Credit Facility provided for maximum committed borrowings of $125 million. The Credit Facility included, pursuant to an accordion feature, the ability to increase the Credit Facility by an additional $50 million upon the request of the Company and the agreement of the lender(s) participating in the increase. The Credit Facility included a sublimit of $20 million for commercial and standby letters of credit and a sublimit of up to $15 million for swingline loans. The Company’s ability to borrow under the Credit Facility was determined using an availability formula based on eligible assets. Through the end of the first quarter of fiscal 2018, obligations under the Credit Facility were secured by a lien on substantially all of its assets, excluding (i) a first priority lien held by the lenders of the Term Loan Facility on certain equipment of the Company described below and (ii) intellectual property.</w:t>
      </w:r>
    </w:p>
    <w:p>
      <w:pPr>
        <w:spacing w:after="0" w:line="15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At May 5, 2018, the Company had outstanding borrowings under the Credit Facility of $59.1 million, before unamortized debt issuance costs of $0.2 million. Outstanding standby letters of credit were $3.6 million and outstanding documentary letters of credit were $1.5 million. Unused excess availability at May 5, 2018 was $32.7 million. Average monthly borrowings outstanding under the Credit Facility during the first three months of fiscal 2018 were $60.8 million, resulting in an average unused excess availability of approximately $30.4 million. The Company’s ability to borrow under the Credit Facility was determined using an availability formula based on eligible assets, with increased advance rates based on seasonality. Pursuant to the terms of the Credit Facility, if the Company’s excess availability under the Credit Facility failed to be equal to or greater than the greater of (i) 10% of the Loan Cap (defined in the Credit Facility as the lesser of the revolving credit commitments at such time or the borrowing base at the relevant measurement time) and (ii) $7.5 million, the Company would have been required to maintain a minimum consolidated fixed charge coverage ratio of 1.0:1.0 in order to pursue certain transactions, including but not limited to, stock repurchases, payment of dividends and business acquisitions.</w:t>
      </w:r>
    </w:p>
    <w:p>
      <w:pPr>
        <w:spacing w:after="0" w:line="18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Borrowings made pursuant to the Credit Facility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was also subject to an unused line fee of 0.25%. At May 5, 2018, the Company’s prime-based interest rate was 5.25%. At May 5, 2018, the Company had approximately $56.0 million of its outstanding borrowings in LIBOR-based contracts with an interest rate of 3.25%. The LIBOR-based contracts expired on May 8, 2018. When a LIBOR-based borrowing expires, the borrowings reverted back to prime-based borrowings unless the Company entered into a new LIBOR-based borrowing arrangement.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fair value of the amount outstanding under the Credit Facility at May 5, 2018 approximated the carrying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w w:val="98"/>
              </w:rPr>
              <w:t>May 5, 2018</w:t>
            </w:r>
          </w:p>
        </w:tc>
        <w:tc>
          <w:tcPr>
            <w:tcW w:w="1240" w:type="dxa"/>
            <w:vAlign w:val="bottom"/>
            <w:gridSpan w:val="3"/>
          </w:tcPr>
          <w:p>
            <w:pPr>
              <w:jc w:val="right"/>
              <w:ind w:right="180"/>
              <w:spacing w:after="0"/>
              <w:rPr>
                <w:sz w:val="20"/>
                <w:szCs w:val="20"/>
                <w:color w:val="auto"/>
              </w:rPr>
            </w:pPr>
            <w:r>
              <w:rPr>
                <w:rFonts w:ascii="Arial" w:cs="Arial" w:eastAsia="Arial" w:hAnsi="Arial"/>
                <w:sz w:val="14"/>
                <w:szCs w:val="14"/>
                <w:color w:val="auto"/>
                <w:w w:val="97"/>
              </w:rPr>
              <w:t>February 3, 2018</w:t>
            </w:r>
          </w:p>
        </w:tc>
      </w:tr>
      <w:tr>
        <w:trPr>
          <w:trHeight w:val="223"/>
        </w:trPr>
        <w:tc>
          <w:tcPr>
            <w:tcW w:w="5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Term loan, due 2019</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11,750</w:t>
            </w:r>
          </w:p>
        </w:tc>
        <w:tc>
          <w:tcPr>
            <w:tcW w:w="80" w:type="dxa"/>
            <w:vAlign w:val="bottom"/>
          </w:tcPr>
          <w:p>
            <w:pPr>
              <w:spacing w:after="0"/>
              <w:rPr>
                <w:sz w:val="19"/>
                <w:szCs w:val="19"/>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(162)</w:t>
            </w: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w:t>
            </w: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11,409</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12,061</w:t>
            </w:r>
          </w:p>
        </w:tc>
        <w:tc>
          <w:tcPr>
            <w:tcW w:w="80" w:type="dxa"/>
            <w:vAlign w:val="bottom"/>
          </w:tcPr>
          <w:p>
            <w:pPr>
              <w:spacing w:after="0"/>
              <w:rPr>
                <w:sz w:val="19"/>
                <w:szCs w:val="19"/>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80" w:type="dxa"/>
            <w:vAlign w:val="bottom"/>
            <w:shd w:val="clear" w:color="auto" w:fill="CFF0FC"/>
          </w:tcPr>
          <w:p>
            <w:pPr>
              <w:spacing w:after="0"/>
              <w:rPr>
                <w:sz w:val="19"/>
                <w:szCs w:val="19"/>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10,669</w:t>
            </w:r>
          </w:p>
        </w:tc>
        <w:tc>
          <w:tcPr>
            <w:tcW w:w="8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on September 30, 2013 (the “Master Agreement”), the Company entered into twelve equipment security notes between September 2013 and June 2014 (in aggregate, the “Notes”), whereby the Company borrowed an aggregate of $26.4 million. The Notes are for a term of 48 months and accrue interest at fixed rates ranging from 3.07% to 3.50%. Principal and interest are paid monthly, in arrears.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repaid, in full, the remaining outstanding balance on the Notes of $71,000 subsequent to the end of the first quarter of fiscal 2018. The Notes were secured by a security interest in all of the Company’s rights, title and interest in and to certain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 The proceeds from the Term Loan Facility were used to repay borrowings under the Credit Facility. In connection with the New Credit Facility, discussed above, subsequent to the end of the first quarter of fiscal 2018, on May 24, 2018, this Term Loan Facility was repaid in full, without penalty. See Note 8,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for additional information regarding the New Credit Facility.</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on the Term Loan Facility was at a rate per annum equal to the greater of (a) 1.00% and (b) the one month LIBOR rate, plus 6.50%. Interest payments were payable on the first business day of each calendar month, and increased by 2% following the occurrence and during the continuance of an “event of default,” as defined in the Term Loan Facility. The Term Loan Facility provided for quarterly principal payments on the first business day of each calendar quarter, which commenced the first business day of January 2015, in an aggregate principal amount equal to $250,000, subject to adjustment, with the balance payable on the termination date, which was October 29, 2019.</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Term Loan Facility included usual and customary mandatory prepayment provisions for transactions of this type that were triggered by the occurrence of certain events, and through the end of the first quarter of fiscal 2018, was secured by a first priority lien on certain equipment of the Company, and a second priority lien on substantially all of the remaining assets of the Company, excluding intellectual property.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Incentive Plans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following is a summary of the Company’s Long-Term Incentive Plan. All equity awards granted under long-term incentive plans are issued from the Company’s stockholder-approved 2016 Incentive Compensation Plan. See Note 5, </w:t>
      </w: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jc w:val="both"/>
        <w:spacing w:after="0" w:line="272" w:lineRule="auto"/>
        <w:rPr>
          <w:sz w:val="20"/>
          <w:szCs w:val="20"/>
          <w:color w:val="auto"/>
        </w:rPr>
      </w:pPr>
      <w:r>
        <w:rPr>
          <w:rFonts w:ascii="Arial" w:cs="Arial" w:eastAsia="Arial" w:hAnsi="Arial"/>
          <w:sz w:val="17"/>
          <w:szCs w:val="17"/>
          <w:color w:val="auto"/>
        </w:rPr>
        <w:t>Under the Company’s First Amended and Restated Long Term Incentive Plan (“LTIP”), each year the Compensation Committee establishes performance targets which cover a two-year performance period (each a “Performance Period”), thereby creating overlapping Performance Periods. Each participant in the plan is entitled to receive an award based on that participant’s “Target Cash Value” which is defined as the participant’s annual base salary (on the participant’s effective date) multiplied by his or her long-term incentive program percentage, which was 100% for the Company’s Chief Executive Officer, 70% for senior executives and 25% for other participants in the plan. Because of the overlapping two-year Performance Periods, the Target Cash Value for any award is based on one year of annual salary, as opposed to two years, to avoid doubling an award payout in any given fiscal year. All awards granted under both the 2016-2017 LTIP and 2017-2018 LTIP were in restricted stock units (RSUs).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each participant, 50% of the Target Cash Value is subject to time-based vesting and 50% is subject to performance-based vesting. The time-vested portion of the award vests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Awards for any achievement of performance targets would not be granted until the performance targets are achieved and would then be subject to additional vesting through August 31 following the end of the applicable Performance Period.</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2016-2017 Performance Period, the Company achieved 54.4% of its “DXL Comparable Store Marginal Cash-Over-Cash Return” target, defined as the aggregate of each comparable DXL store’s four-wall cash flow for fiscal 2017 divided by the aggregate capital investment, net of any tenant allowance, for each comparable DXL store. The minimum threshold for the EBITDA target was not achieved. EBITDA is defined as earnings before interest, taxes, depreciation and amortization. Accordingly, subsequent to the end of fiscal 2017, in the first quarter of fiscal 2018, the Compensation Committee of the Board of Directors approved a 27.2% payout resulting in awards totaling $0.5 million, with a grant date of April 2, 2018. On that date, the Company granted 265,749 RSUs, which are subject to vesting through August 31, 2018.</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 2018, in conjunction with the grant of the RSUs, the Company reclassified $0.4 million of the liability accrual from “Accrued expenses and other current liabilities” to “Additional paid-in capital.” See the Consolidated Statement of Changes in Stockholders’ Equity.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2017-2018 Performance Period, the Compensation Committee established two performance targets under the LTIP (the “2017-2018 LTIP”), each weighted 50%. The first target is Total Company Comparable Sales and will be measured based on a two-year stack, which is the sum of the Total Company Comparable Sales for fiscal 2017 and fiscal 2018. The second target is a Modified ROIC, which is defined as Operating Income divided by Invested Capital (Total Debt plus Stockholders’ Equity).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Assuming that the Company achieves the performance target at target levels and all time-vested awards vest, the compensation expense associated with the 2017-2018 LTIP is estimated to be approximately $4.2 million. Approximately half of the compensation expense relates to the time-vested RSUs, which are being expensed over thirty-six months, based on the respective vesting dates. With respect to the performance-based component, RSUs will be granted at the end of the performance period if the performance targets are achieved. Through the end of the first quarter of fiscal 2018, no accrual has been made for performance awards under the 2017-2018 LTIP.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Through the end of the second quarter of fiscal 2016, the Company’s 2006 Incentive Compensation Plan (as amended and restated effective as of August 1, 2013, the “2006 Plan”) was the only stockholder-approved plan. The 2006 Plan expired on July 31, 2016, and on August 4, 2016, the Company’s stockholders approved the adoption of the 2016 Incentive Compensation Plan (the “2016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Plan</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initial share reserve under the 2016 Plan, including the rollover of 525,538 available shares under our 2006 Plan, was 5,725,538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In accordance with the terms of the 2016 Plan, any shares outstanding under the 2006 Plan at August 4, 2016 that subsequently terminate, expire or are canceled for any reason without having been exercised or paid are added back and become available for issuance under the 2016 Plan, with options and stock appreciation rights being added back on a one-for-one basis and full-value awards being added back on a 1 to 1.9 basis. At May 5, 2018, the Company had 5,763,710 shares available under the 2016 Plan.</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ind w:right="320"/>
        <w:spacing w:after="0" w:line="260" w:lineRule="auto"/>
        <w:rPr>
          <w:sz w:val="20"/>
          <w:szCs w:val="20"/>
          <w:color w:val="auto"/>
        </w:rPr>
      </w:pPr>
      <w:r>
        <w:rPr>
          <w:rFonts w:ascii="Arial" w:cs="Arial" w:eastAsia="Arial" w:hAnsi="Arial"/>
          <w:sz w:val="18"/>
          <w:szCs w:val="18"/>
          <w:color w:val="auto"/>
        </w:rPr>
        <w:t>The following tables summarize the share activity and stock option activity for the Company’s 2006 Plan and 2016 Plan, on a combined basis, for the first three months of fiscal 2018:</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Weighted-</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1"/>
              </w:rPr>
              <w:t>Restricted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average</w:t>
            </w: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6"/>
                <w:szCs w:val="16"/>
                <w:color w:val="auto"/>
                <w:w w:val="91"/>
              </w:rPr>
              <w:t>Restricted</w:t>
            </w:r>
          </w:p>
        </w:tc>
        <w:tc>
          <w:tcPr>
            <w:tcW w:w="1020" w:type="dxa"/>
            <w:vAlign w:val="bottom"/>
            <w:gridSpan w:val="2"/>
            <w:vMerge w:val="continue"/>
          </w:tcPr>
          <w:p>
            <w:pPr>
              <w:spacing w:after="0"/>
              <w:rPr>
                <w:sz w:val="13"/>
                <w:szCs w:val="13"/>
                <w:color w:val="auto"/>
              </w:rPr>
            </w:pPr>
          </w:p>
        </w:tc>
        <w:tc>
          <w:tcPr>
            <w:tcW w:w="1120" w:type="dxa"/>
            <w:vAlign w:val="bottom"/>
            <w:gridSpan w:val="2"/>
          </w:tcPr>
          <w:p>
            <w:pPr>
              <w:jc w:val="right"/>
              <w:ind w:right="380"/>
              <w:spacing w:after="0" w:line="158" w:lineRule="exact"/>
              <w:rPr>
                <w:sz w:val="20"/>
                <w:szCs w:val="20"/>
                <w:color w:val="auto"/>
              </w:rPr>
            </w:pPr>
            <w:r>
              <w:rPr>
                <w:rFonts w:ascii="Arial" w:cs="Arial" w:eastAsia="Arial" w:hAnsi="Arial"/>
                <w:sz w:val="16"/>
                <w:szCs w:val="16"/>
                <w:color w:val="auto"/>
              </w:rPr>
              <w:t>Deferred</w:t>
            </w: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Fully-vested</w:t>
            </w:r>
          </w:p>
        </w:tc>
        <w:tc>
          <w:tcPr>
            <w:tcW w:w="1160" w:type="dxa"/>
            <w:vAlign w:val="bottom"/>
            <w:gridSpan w:val="2"/>
          </w:tcPr>
          <w:p>
            <w:pPr>
              <w:jc w:val="right"/>
              <w:ind w:right="280"/>
              <w:spacing w:after="0" w:line="158" w:lineRule="exact"/>
              <w:rPr>
                <w:sz w:val="20"/>
                <w:szCs w:val="20"/>
                <w:color w:val="auto"/>
              </w:rPr>
            </w:pPr>
            <w:r>
              <w:rPr>
                <w:rFonts w:ascii="Arial" w:cs="Arial" w:eastAsia="Arial" w:hAnsi="Arial"/>
                <w:sz w:val="16"/>
                <w:szCs w:val="16"/>
                <w:color w:val="auto"/>
                <w:w w:val="91"/>
              </w:rPr>
              <w:t>Total number</w:t>
            </w:r>
          </w:p>
        </w:tc>
        <w:tc>
          <w:tcPr>
            <w:tcW w:w="940" w:type="dxa"/>
            <w:vAlign w:val="bottom"/>
            <w:gridSpan w:val="3"/>
          </w:tcPr>
          <w:p>
            <w:pPr>
              <w:jc w:val="center"/>
              <w:ind w:right="120"/>
              <w:spacing w:after="0" w:line="158" w:lineRule="exact"/>
              <w:rPr>
                <w:sz w:val="20"/>
                <w:szCs w:val="20"/>
                <w:color w:val="auto"/>
              </w:rPr>
            </w:pPr>
            <w:r>
              <w:rPr>
                <w:rFonts w:ascii="Arial" w:cs="Arial" w:eastAsia="Arial" w:hAnsi="Arial"/>
                <w:sz w:val="16"/>
                <w:szCs w:val="16"/>
                <w:color w:val="auto"/>
                <w:w w:val="90"/>
              </w:rPr>
              <w:t>grant-date</w:t>
            </w:r>
          </w:p>
        </w:tc>
        <w:tc>
          <w:tcPr>
            <w:tcW w:w="0" w:type="dxa"/>
            <w:vAlign w:val="bottom"/>
          </w:tcPr>
          <w:p>
            <w:pPr>
              <w:spacing w:after="0"/>
              <w:rPr>
                <w:sz w:val="1"/>
                <w:szCs w:val="1"/>
                <w:color w:val="auto"/>
              </w:rPr>
            </w:pPr>
          </w:p>
        </w:tc>
      </w:tr>
      <w:tr>
        <w:trPr>
          <w:trHeight w:val="95"/>
        </w:trPr>
        <w:tc>
          <w:tcPr>
            <w:tcW w:w="4920" w:type="dxa"/>
            <w:vAlign w:val="bottom"/>
          </w:tcPr>
          <w:p>
            <w:pPr>
              <w:spacing w:after="0"/>
              <w:rPr>
                <w:sz w:val="8"/>
                <w:szCs w:val="8"/>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83"/>
              </w:rPr>
              <w:t>shares</w:t>
            </w:r>
          </w:p>
        </w:tc>
        <w:tc>
          <w:tcPr>
            <w:tcW w:w="1020" w:type="dxa"/>
            <w:vAlign w:val="bottom"/>
            <w:gridSpan w:val="2"/>
          </w:tcPr>
          <w:p>
            <w:pPr>
              <w:jc w:val="center"/>
              <w:ind w:right="200"/>
              <w:spacing w:after="0" w:line="95" w:lineRule="exact"/>
              <w:rPr>
                <w:sz w:val="20"/>
                <w:szCs w:val="20"/>
                <w:color w:val="auto"/>
              </w:rPr>
            </w:pPr>
            <w:r>
              <w:rPr>
                <w:rFonts w:ascii="Arial" w:cs="Arial" w:eastAsia="Arial" w:hAnsi="Arial"/>
                <w:sz w:val="10"/>
                <w:szCs w:val="10"/>
                <w:color w:val="auto"/>
              </w:rPr>
              <w:t>Stock Units</w:t>
            </w:r>
          </w:p>
        </w:tc>
        <w:tc>
          <w:tcPr>
            <w:tcW w:w="1120" w:type="dxa"/>
            <w:vAlign w:val="bottom"/>
            <w:gridSpan w:val="2"/>
            <w:vMerge w:val="restart"/>
          </w:tcPr>
          <w:p>
            <w:pPr>
              <w:jc w:val="right"/>
              <w:ind w:right="380"/>
              <w:spacing w:after="0" w:line="257" w:lineRule="exact"/>
              <w:rPr>
                <w:sz w:val="20"/>
                <w:szCs w:val="20"/>
                <w:color w:val="auto"/>
              </w:rPr>
            </w:pPr>
            <w:r>
              <w:rPr>
                <w:rFonts w:ascii="Arial" w:cs="Arial" w:eastAsia="Arial" w:hAnsi="Arial"/>
                <w:sz w:val="16"/>
                <w:szCs w:val="16"/>
                <w:color w:val="auto"/>
                <w:w w:val="96"/>
              </w:rPr>
              <w:t xml:space="preserve">shares </w:t>
            </w:r>
            <w:r>
              <w:rPr>
                <w:rFonts w:ascii="Arial" w:cs="Arial" w:eastAsia="Arial" w:hAnsi="Arial"/>
                <w:sz w:val="27"/>
                <w:szCs w:val="27"/>
                <w:color w:val="auto"/>
                <w:w w:val="96"/>
                <w:vertAlign w:val="superscript"/>
              </w:rPr>
              <w:t>(2)</w:t>
            </w:r>
          </w:p>
        </w:tc>
        <w:tc>
          <w:tcPr>
            <w:tcW w:w="1140" w:type="dxa"/>
            <w:vAlign w:val="bottom"/>
            <w:gridSpan w:val="2"/>
            <w:vMerge w:val="continue"/>
          </w:tcPr>
          <w:p>
            <w:pPr>
              <w:spacing w:after="0"/>
              <w:rPr>
                <w:sz w:val="8"/>
                <w:szCs w:val="8"/>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6"/>
                <w:szCs w:val="16"/>
                <w:color w:val="auto"/>
              </w:rPr>
              <w:t>of shares</w:t>
            </w:r>
          </w:p>
        </w:tc>
        <w:tc>
          <w:tcPr>
            <w:tcW w:w="940" w:type="dxa"/>
            <w:vAlign w:val="bottom"/>
            <w:gridSpan w:val="3"/>
            <w:vMerge w:val="restart"/>
          </w:tcPr>
          <w:p>
            <w:pPr>
              <w:spacing w:after="0" w:line="257" w:lineRule="exact"/>
              <w:rPr>
                <w:sz w:val="20"/>
                <w:szCs w:val="20"/>
                <w:color w:val="auto"/>
              </w:rPr>
            </w:pPr>
            <w:r>
              <w:rPr>
                <w:rFonts w:ascii="Arial" w:cs="Arial" w:eastAsia="Arial" w:hAnsi="Arial"/>
                <w:sz w:val="16"/>
                <w:szCs w:val="16"/>
                <w:color w:val="auto"/>
              </w:rPr>
              <w:t xml:space="preserve">fair value </w:t>
            </w:r>
            <w:r>
              <w:rPr>
                <w:rFonts w:ascii="Arial" w:cs="Arial" w:eastAsia="Arial" w:hAnsi="Arial"/>
                <w:sz w:val="27"/>
                <w:szCs w:val="27"/>
                <w:color w:val="auto"/>
                <w:vertAlign w:val="superscript"/>
              </w:rPr>
              <w:t>(4)</w:t>
            </w:r>
          </w:p>
        </w:tc>
        <w:tc>
          <w:tcPr>
            <w:tcW w:w="0" w:type="dxa"/>
            <w:vAlign w:val="bottom"/>
          </w:tcPr>
          <w:p>
            <w:pPr>
              <w:spacing w:after="0"/>
              <w:rPr>
                <w:sz w:val="1"/>
                <w:szCs w:val="1"/>
                <w:color w:val="auto"/>
              </w:rPr>
            </w:pPr>
          </w:p>
        </w:tc>
      </w:tr>
      <w:tr>
        <w:trPr>
          <w:trHeight w:val="162"/>
        </w:trPr>
        <w:tc>
          <w:tcPr>
            <w:tcW w:w="4920" w:type="dxa"/>
            <w:vAlign w:val="bottom"/>
            <w:vMerge w:val="restart"/>
          </w:tcPr>
          <w:p>
            <w:pPr>
              <w:spacing w:after="0"/>
              <w:rPr>
                <w:sz w:val="20"/>
                <w:szCs w:val="20"/>
                <w:color w:val="auto"/>
              </w:rPr>
            </w:pPr>
            <w:r>
              <w:rPr>
                <w:rFonts w:ascii="Arial" w:cs="Arial" w:eastAsia="Arial" w:hAnsi="Arial"/>
                <w:sz w:val="16"/>
                <w:szCs w:val="16"/>
                <w:b w:val="1"/>
                <w:bCs w:val="1"/>
                <w:color w:val="auto"/>
              </w:rPr>
              <w:t>Shares</w:t>
            </w:r>
          </w:p>
        </w:tc>
        <w:tc>
          <w:tcPr>
            <w:tcW w:w="11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95"/>
              </w:rPr>
              <w:t>(1)</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(3)</w:t>
            </w:r>
          </w:p>
        </w:tc>
        <w:tc>
          <w:tcPr>
            <w:tcW w:w="116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920" w:type="dxa"/>
            <w:vAlign w:val="bottom"/>
            <w:vMerge w:val="continue"/>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Outstanding non-vested shares at beginning of year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1,048,552</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115,457</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1,200,675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6"/>
                <w:szCs w:val="16"/>
                <w:color w:val="auto"/>
              </w:rPr>
              <w:t>Shares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305,161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21,494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26,080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382,735</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vested/issued</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(171,798)</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(2,613)</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(26,080)</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(200,491)</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Shares canceled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Outstanding non-vested shares at end of quarter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66,666</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1,181,915</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134,338</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1,382,919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760" w:right="360" w:hanging="374"/>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Restricted stock units (“RSUs”) were primarily granted in connection with the partial achievement of performance targets under the 2016-2017 LTIP, see Note 4, </w:t>
      </w:r>
      <w:r>
        <w:rPr>
          <w:rFonts w:ascii="Arial" w:cs="Arial" w:eastAsia="Arial" w:hAnsi="Arial"/>
          <w:sz w:val="18"/>
          <w:szCs w:val="18"/>
          <w:i w:val="1"/>
          <w:iCs w:val="1"/>
          <w:color w:val="auto"/>
        </w:rPr>
        <w:t>Long-Term Incentive Plans</w:t>
      </w:r>
      <w:r>
        <w:rPr>
          <w:rFonts w:ascii="Arial" w:cs="Arial" w:eastAsia="Arial" w:hAnsi="Arial"/>
          <w:sz w:val="18"/>
          <w:szCs w:val="18"/>
          <w:color w:val="auto"/>
        </w:rPr>
        <w:t>. As a result of net share settlement, of the 171,798 time-based RSUs which vested during the first quarter of fiscal 2018, only 165,108 shares of common stock were issued.</w:t>
      </w:r>
    </w:p>
    <w:p>
      <w:pPr>
        <w:spacing w:after="0" w:line="73" w:lineRule="exact"/>
        <w:rPr>
          <w:rFonts w:ascii="Arial" w:cs="Arial" w:eastAsia="Arial" w:hAnsi="Arial"/>
          <w:sz w:val="18"/>
          <w:szCs w:val="18"/>
          <w:color w:val="auto"/>
        </w:rPr>
      </w:pPr>
    </w:p>
    <w:p>
      <w:pPr>
        <w:ind w:left="760" w:right="300" w:hanging="374"/>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21,494 shares of deferred stock, with a fair value of $51,084, represent compensation to certain directors in lieu of cash, in accordance with their irrevocable elections. The shares of deferred stock will vest three years from the date of grant or at separation of service, based on the irrevocable election of each director.</w:t>
      </w:r>
    </w:p>
    <w:p>
      <w:pPr>
        <w:spacing w:after="0" w:line="73" w:lineRule="exact"/>
        <w:rPr>
          <w:rFonts w:ascii="Arial" w:cs="Arial" w:eastAsia="Arial" w:hAnsi="Arial"/>
          <w:sz w:val="18"/>
          <w:szCs w:val="18"/>
          <w:color w:val="auto"/>
        </w:rPr>
      </w:pPr>
    </w:p>
    <w:p>
      <w:pPr>
        <w:ind w:left="760" w:right="60" w:hanging="374"/>
        <w:spacing w:after="0" w:line="279"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first three months of fiscal 2018, the Company granted 26,080 shares of stock, with a fair value of approximately $63,896, to certain directors as compensation in lieu of cash, in accordance with their irrevocable elections. Directors are required to elect 50% of their quarterly retainer in equity. Any shares in excess of the minimum required election are issued from the Company’s Third Amendment to the Third Amended and Restated Non-Employee Director Compensation Plan (“Non-Employee Director Compensation Plan”).</w:t>
      </w:r>
    </w:p>
    <w:p>
      <w:pPr>
        <w:spacing w:after="0" w:line="63" w:lineRule="exact"/>
        <w:rPr>
          <w:rFonts w:ascii="Arial" w:cs="Arial" w:eastAsia="Arial" w:hAnsi="Arial"/>
          <w:sz w:val="17"/>
          <w:szCs w:val="17"/>
          <w:color w:val="auto"/>
        </w:rPr>
      </w:pPr>
    </w:p>
    <w:p>
      <w:pPr>
        <w:ind w:left="760" w:right="40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a restricted share, deferred share and fully-vested share is equal to the Company’s closing stock price on the day immediately preceding the date of grant.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Weighted-</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86"/>
              </w:rPr>
              <w:t>average</w:t>
            </w:r>
          </w:p>
        </w:tc>
        <w:tc>
          <w:tcPr>
            <w:tcW w:w="1540" w:type="dxa"/>
            <w:vAlign w:val="bottom"/>
            <w:gridSpan w:val="3"/>
          </w:tcPr>
          <w:p>
            <w:pPr>
              <w:jc w:val="center"/>
              <w:ind w:right="165"/>
              <w:spacing w:after="0"/>
              <w:rPr>
                <w:sz w:val="20"/>
                <w:szCs w:val="20"/>
                <w:color w:val="auto"/>
              </w:rPr>
            </w:pPr>
            <w:r>
              <w:rPr>
                <w:rFonts w:ascii="Arial" w:cs="Arial" w:eastAsia="Arial" w:hAnsi="Arial"/>
                <w:sz w:val="16"/>
                <w:szCs w:val="16"/>
                <w:color w:val="auto"/>
                <w:w w:val="90"/>
              </w:rPr>
              <w:t>Weighted-average</w:t>
            </w:r>
          </w:p>
        </w:tc>
        <w:tc>
          <w:tcPr>
            <w:tcW w:w="1180" w:type="dxa"/>
            <w:vAlign w:val="bottom"/>
          </w:tcPr>
          <w:p>
            <w:pPr>
              <w:spacing w:after="0"/>
              <w:rPr>
                <w:sz w:val="17"/>
                <w:szCs w:val="17"/>
                <w:color w:val="auto"/>
              </w:rPr>
            </w:pPr>
          </w:p>
        </w:tc>
      </w:tr>
      <w:tr>
        <w:trPr>
          <w:trHeight w:val="203"/>
        </w:trPr>
        <w:tc>
          <w:tcPr>
            <w:tcW w:w="6040" w:type="dxa"/>
            <w:vAlign w:val="bottom"/>
          </w:tcPr>
          <w:p>
            <w:pPr>
              <w:spacing w:after="0"/>
              <w:rPr>
                <w:sz w:val="17"/>
                <w:szCs w:val="17"/>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6"/>
                <w:szCs w:val="16"/>
                <w:color w:val="auto"/>
              </w:rPr>
              <w:t>Number of</w:t>
            </w:r>
          </w:p>
        </w:tc>
        <w:tc>
          <w:tcPr>
            <w:tcW w:w="80" w:type="dxa"/>
            <w:vAlign w:val="bottom"/>
          </w:tcPr>
          <w:p>
            <w:pPr>
              <w:spacing w:after="0"/>
              <w:rPr>
                <w:sz w:val="17"/>
                <w:szCs w:val="17"/>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6"/>
                <w:szCs w:val="16"/>
                <w:color w:val="auto"/>
                <w:w w:val="91"/>
              </w:rPr>
              <w:t>exercise price</w:t>
            </w:r>
          </w:p>
        </w:tc>
        <w:tc>
          <w:tcPr>
            <w:tcW w:w="1540" w:type="dxa"/>
            <w:vAlign w:val="bottom"/>
            <w:gridSpan w:val="3"/>
          </w:tcPr>
          <w:p>
            <w:pPr>
              <w:jc w:val="center"/>
              <w:ind w:right="165"/>
              <w:spacing w:after="0"/>
              <w:rPr>
                <w:sz w:val="20"/>
                <w:szCs w:val="20"/>
                <w:color w:val="auto"/>
              </w:rPr>
            </w:pPr>
            <w:r>
              <w:rPr>
                <w:rFonts w:ascii="Arial" w:cs="Arial" w:eastAsia="Arial" w:hAnsi="Arial"/>
                <w:sz w:val="16"/>
                <w:szCs w:val="16"/>
                <w:color w:val="auto"/>
                <w:w w:val="93"/>
              </w:rPr>
              <w:t>remaining</w:t>
            </w:r>
          </w:p>
        </w:tc>
        <w:tc>
          <w:tcPr>
            <w:tcW w:w="1180" w:type="dxa"/>
            <w:vAlign w:val="bottom"/>
          </w:tcPr>
          <w:p>
            <w:pPr>
              <w:jc w:val="right"/>
              <w:ind w:right="274"/>
              <w:spacing w:after="0"/>
              <w:rPr>
                <w:sz w:val="20"/>
                <w:szCs w:val="20"/>
                <w:color w:val="auto"/>
              </w:rPr>
            </w:pPr>
            <w:r>
              <w:rPr>
                <w:rFonts w:ascii="Arial" w:cs="Arial" w:eastAsia="Arial" w:hAnsi="Arial"/>
                <w:sz w:val="16"/>
                <w:szCs w:val="16"/>
                <w:color w:val="auto"/>
              </w:rPr>
              <w:t>Aggregate</w:t>
            </w:r>
          </w:p>
        </w:tc>
      </w:tr>
      <w:tr>
        <w:trPr>
          <w:trHeight w:val="209"/>
        </w:trPr>
        <w:tc>
          <w:tcPr>
            <w:tcW w:w="60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92"/>
              </w:rPr>
              <w:t>per option</w:t>
            </w:r>
          </w:p>
        </w:tc>
        <w:tc>
          <w:tcPr>
            <w:tcW w:w="1540" w:type="dxa"/>
            <w:vAlign w:val="bottom"/>
            <w:gridSpan w:val="3"/>
          </w:tcPr>
          <w:p>
            <w:pPr>
              <w:jc w:val="center"/>
              <w:ind w:right="165"/>
              <w:spacing w:after="0"/>
              <w:rPr>
                <w:sz w:val="20"/>
                <w:szCs w:val="20"/>
                <w:color w:val="auto"/>
              </w:rPr>
            </w:pPr>
            <w:r>
              <w:rPr>
                <w:rFonts w:ascii="Arial" w:cs="Arial" w:eastAsia="Arial" w:hAnsi="Arial"/>
                <w:sz w:val="16"/>
                <w:szCs w:val="16"/>
                <w:color w:val="auto"/>
                <w:w w:val="92"/>
              </w:rPr>
              <w:t>contractual term</w:t>
            </w:r>
          </w:p>
        </w:tc>
        <w:tc>
          <w:tcPr>
            <w:tcW w:w="1180" w:type="dxa"/>
            <w:vAlign w:val="bottom"/>
          </w:tcPr>
          <w:p>
            <w:pPr>
              <w:jc w:val="right"/>
              <w:ind w:right="154"/>
              <w:spacing w:after="0"/>
              <w:rPr>
                <w:sz w:val="20"/>
                <w:szCs w:val="20"/>
                <w:color w:val="auto"/>
              </w:rPr>
            </w:pPr>
            <w:r>
              <w:rPr>
                <w:rFonts w:ascii="Arial" w:cs="Arial" w:eastAsia="Arial" w:hAnsi="Arial"/>
                <w:sz w:val="16"/>
                <w:szCs w:val="16"/>
                <w:color w:val="auto"/>
                <w:w w:val="94"/>
              </w:rPr>
              <w:t>intrinsic value</w:t>
            </w:r>
          </w:p>
        </w:tc>
      </w:tr>
      <w:tr>
        <w:trPr>
          <w:trHeight w:val="213"/>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Stock Options</w:t>
            </w: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6"/>
                <w:szCs w:val="16"/>
                <w:color w:val="auto"/>
              </w:rPr>
              <w:t>Outstanding options at beginning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1,195,910</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21,750</w:t>
            </w: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 granted</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138,888</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Options expired and canceled</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(93,244)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 exercised</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23"/>
        </w:trPr>
        <w:tc>
          <w:tcPr>
            <w:tcW w:w="6040" w:type="dxa"/>
            <w:vAlign w:val="bottom"/>
          </w:tcPr>
          <w:p>
            <w:pPr>
              <w:ind w:left="260"/>
              <w:spacing w:after="0"/>
              <w:rPr>
                <w:sz w:val="20"/>
                <w:szCs w:val="20"/>
                <w:color w:val="auto"/>
              </w:rPr>
            </w:pPr>
            <w:r>
              <w:rPr>
                <w:rFonts w:ascii="Arial" w:cs="Arial" w:eastAsia="Arial" w:hAnsi="Arial"/>
                <w:sz w:val="16"/>
                <w:szCs w:val="16"/>
                <w:color w:val="auto"/>
              </w:rPr>
              <w:t>Outstanding options at end of quarter</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1,241,554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19"/>
                <w:szCs w:val="19"/>
                <w:color w:val="auto"/>
              </w:rPr>
            </w:pPr>
          </w:p>
        </w:tc>
        <w:tc>
          <w:tcPr>
            <w:tcW w:w="13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6"/>
              </w:rPr>
              <w:t>5.1 years</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 exercisable at end of quarter</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1,082,666</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ind w:left="640"/>
              <w:spacing w:after="0"/>
              <w:rPr>
                <w:sz w:val="20"/>
                <w:szCs w:val="20"/>
                <w:color w:val="auto"/>
              </w:rPr>
            </w:pPr>
            <w:r>
              <w:rPr>
                <w:rFonts w:ascii="Arial" w:cs="Arial" w:eastAsia="Arial" w:hAnsi="Arial"/>
                <w:sz w:val="18"/>
                <w:szCs w:val="18"/>
                <w:color w:val="auto"/>
              </w:rPr>
              <w:t>4.5 years</w:t>
            </w:r>
          </w:p>
        </w:tc>
        <w:tc>
          <w:tcPr>
            <w:tcW w:w="1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first three months of fiscal 2018, the Company granted 138,888 stock options, 56,080 shares of restricted stock, 305,161 RSUs and 21,494 shares of deferred stock. For the first three months of fiscal 2017, the Company granted no stock options, 484,558 shares of restricted stock, 734,268 RSUs and 19,143 shares of deferred stock.</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Unless otherwise specified by the Compensation Committee, RSUs, restricted stock and deferred stock are valued using the closing price of the Company’s common stock on the day immediately preceding the date of grant.</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each option granted is estimated on the date of grant using the Black-Scholes option-pricing model. There were no stock options granted in the first quarter of fiscal 2017. The following assumptions were used for grants for the first quarter of fiscal 2018:</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Borders>
              <w:bottom w:val="single" w:sz="8" w:color="CFF0FC"/>
            </w:tcBorders>
          </w:tcPr>
          <w:p>
            <w:pPr>
              <w:spacing w:after="0"/>
              <w:rPr>
                <w:sz w:val="16"/>
                <w:szCs w:val="16"/>
                <w:color w:val="auto"/>
              </w:rPr>
            </w:pPr>
          </w:p>
        </w:tc>
        <w:tc>
          <w:tcPr>
            <w:tcW w:w="5820" w:type="dxa"/>
            <w:vAlign w:val="bottom"/>
            <w:tcBorders>
              <w:bottom w:val="single" w:sz="8" w:color="CFF0FC"/>
            </w:tcBorders>
          </w:tcPr>
          <w:p>
            <w:pPr>
              <w:spacing w:after="0"/>
              <w:rPr>
                <w:sz w:val="16"/>
                <w:szCs w:val="16"/>
                <w:color w:val="auto"/>
              </w:rPr>
            </w:pPr>
          </w:p>
        </w:tc>
        <w:tc>
          <w:tcPr>
            <w:tcW w:w="19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May 5, 2018</w:t>
            </w:r>
          </w:p>
        </w:tc>
        <w:tc>
          <w:tcPr>
            <w:tcW w:w="18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582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7900" w:type="dxa"/>
            <w:vAlign w:val="bottom"/>
            <w:gridSpan w:val="3"/>
          </w:tcPr>
          <w:p>
            <w:pPr>
              <w:jc w:val="right"/>
              <w:ind w:right="2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Expected life</w:t>
            </w:r>
          </w:p>
        </w:tc>
        <w:tc>
          <w:tcPr>
            <w:tcW w:w="582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 yrs</w:t>
            </w:r>
          </w:p>
        </w:tc>
        <w:tc>
          <w:tcPr>
            <w:tcW w:w="20" w:type="dxa"/>
            <w:vAlign w:val="bottom"/>
          </w:tcPr>
          <w:p>
            <w:pPr>
              <w:spacing w:after="0"/>
              <w:rPr>
                <w:sz w:val="19"/>
                <w:szCs w:val="19"/>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6"/>
                <w:szCs w:val="16"/>
                <w:color w:val="auto"/>
              </w:rPr>
              <w:t>Dividend rate</w:t>
            </w:r>
          </w:p>
        </w:tc>
        <w:tc>
          <w:tcPr>
            <w:tcW w:w="582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438"/>
        </w:trPr>
        <w:tc>
          <w:tcPr>
            <w:tcW w:w="3520" w:type="dxa"/>
            <w:vAlign w:val="bottom"/>
          </w:tcPr>
          <w:p>
            <w:pPr>
              <w:spacing w:after="0"/>
              <w:rPr>
                <w:sz w:val="24"/>
                <w:szCs w:val="24"/>
                <w:color w:val="auto"/>
              </w:rPr>
            </w:pPr>
          </w:p>
        </w:tc>
        <w:tc>
          <w:tcPr>
            <w:tcW w:w="5820" w:type="dxa"/>
            <w:vAlign w:val="bottom"/>
          </w:tcPr>
          <w:p>
            <w:pPr>
              <w:jc w:val="right"/>
              <w:ind w:right="3450"/>
              <w:spacing w:after="0"/>
              <w:rPr>
                <w:sz w:val="20"/>
                <w:szCs w:val="20"/>
                <w:color w:val="auto"/>
              </w:rPr>
            </w:pPr>
            <w:r>
              <w:rPr>
                <w:rFonts w:ascii="Arial" w:cs="Arial" w:eastAsia="Arial" w:hAnsi="Arial"/>
                <w:sz w:val="18"/>
                <w:szCs w:val="18"/>
                <w:color w:val="auto"/>
              </w:rPr>
              <w:t>14</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58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Non-Employee Director Compensation Plan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granted 11,140 shares of common stock, with a fair value of approximately $25,401, to certain of its non-employee directors as compensation in lieu of cash in the first three months of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Company recognized total stock-based compensation expense of $0.4 million and $0.3 million for the first three months of fiscal 2018 and fiscal 2017, respectively. The total compensation cost related to time-vested stock options, restricted stock and RSU awards not yet recognized as of May 5, 2018 was approximately $1.8 million, net of estimated forfeitures, which will be expensed over a weighted average remaining life of 25 months.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43" w:lineRule="exact"/>
        <w:rPr>
          <w:sz w:val="20"/>
          <w:szCs w:val="20"/>
          <w:color w:val="auto"/>
        </w:rPr>
      </w:pPr>
    </w:p>
    <w:p>
      <w:pPr>
        <w:ind w:left="8660"/>
        <w:spacing w:after="0"/>
        <w:rPr>
          <w:sz w:val="20"/>
          <w:szCs w:val="20"/>
          <w:color w:val="auto"/>
        </w:rPr>
      </w:pPr>
      <w:r>
        <w:rPr>
          <w:rFonts w:ascii="Arial" w:cs="Arial" w:eastAsia="Arial" w:hAnsi="Arial"/>
          <w:sz w:val="16"/>
          <w:szCs w:val="16"/>
          <w:color w:val="auto"/>
        </w:rPr>
        <w:t>For the three months ended</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7800" w:type="dxa"/>
            <w:vAlign w:val="bottom"/>
          </w:tcPr>
          <w:p>
            <w:pPr>
              <w:spacing w:after="0"/>
              <w:rPr>
                <w:sz w:val="14"/>
                <w:szCs w:val="14"/>
                <w:color w:val="auto"/>
              </w:rPr>
            </w:pPr>
          </w:p>
        </w:tc>
        <w:tc>
          <w:tcPr>
            <w:tcW w:w="1840" w:type="dxa"/>
            <w:vAlign w:val="bottom"/>
            <w:gridSpan w:val="2"/>
          </w:tcPr>
          <w:p>
            <w:pPr>
              <w:ind w:left="400"/>
              <w:spacing w:after="0"/>
              <w:rPr>
                <w:sz w:val="20"/>
                <w:szCs w:val="20"/>
                <w:color w:val="auto"/>
              </w:rPr>
            </w:pPr>
            <w:r>
              <w:rPr>
                <w:rFonts w:ascii="Arial" w:cs="Arial" w:eastAsia="Arial" w:hAnsi="Arial"/>
                <w:sz w:val="14"/>
                <w:szCs w:val="14"/>
                <w:color w:val="auto"/>
              </w:rPr>
              <w:t>May 5, 2018</w:t>
            </w:r>
          </w:p>
        </w:tc>
        <w:tc>
          <w:tcPr>
            <w:tcW w:w="1680" w:type="dxa"/>
            <w:vAlign w:val="bottom"/>
            <w:gridSpan w:val="2"/>
          </w:tcPr>
          <w:p>
            <w:pPr>
              <w:ind w:left="340"/>
              <w:spacing w:after="0"/>
              <w:rPr>
                <w:sz w:val="20"/>
                <w:szCs w:val="20"/>
                <w:color w:val="auto"/>
              </w:rPr>
            </w:pPr>
            <w:r>
              <w:rPr>
                <w:rFonts w:ascii="Arial" w:cs="Arial" w:eastAsia="Arial" w:hAnsi="Arial"/>
                <w:sz w:val="14"/>
                <w:szCs w:val="14"/>
                <w:color w:val="auto"/>
              </w:rPr>
              <w:t>April 29, 2017</w:t>
            </w:r>
          </w:p>
        </w:tc>
      </w:tr>
      <w:tr>
        <w:trPr>
          <w:trHeight w:val="207"/>
        </w:trPr>
        <w:tc>
          <w:tcPr>
            <w:tcW w:w="7800" w:type="dxa"/>
            <w:vAlign w:val="bottom"/>
          </w:tcPr>
          <w:p>
            <w:pPr>
              <w:spacing w:after="0"/>
              <w:rPr>
                <w:sz w:val="20"/>
                <w:szCs w:val="20"/>
                <w:color w:val="auto"/>
              </w:rPr>
            </w:pPr>
            <w:r>
              <w:rPr>
                <w:rFonts w:ascii="Arial" w:cs="Arial" w:eastAsia="Arial" w:hAnsi="Arial"/>
                <w:sz w:val="16"/>
                <w:szCs w:val="16"/>
                <w:i w:val="1"/>
                <w:iCs w:val="1"/>
                <w:color w:val="auto"/>
              </w:rPr>
              <w:t>(in thousands</w:t>
            </w:r>
            <w:r>
              <w:rPr>
                <w:rFonts w:ascii="Arial" w:cs="Arial" w:eastAsia="Arial" w:hAnsi="Arial"/>
                <w:sz w:val="16"/>
                <w:szCs w:val="16"/>
                <w:b w:val="1"/>
                <w:bCs w:val="1"/>
                <w:i w:val="1"/>
                <w:iCs w:val="1"/>
                <w:color w:val="auto"/>
              </w:rPr>
              <w:t>)</w:t>
            </w:r>
          </w:p>
        </w:tc>
        <w:tc>
          <w:tcPr>
            <w:tcW w:w="15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7800" w:type="dxa"/>
            <w:vAlign w:val="bottom"/>
            <w:shd w:val="clear" w:color="auto" w:fill="CFF0FC"/>
          </w:tcPr>
          <w:p>
            <w:pPr>
              <w:spacing w:after="0"/>
              <w:rPr>
                <w:sz w:val="20"/>
                <w:szCs w:val="20"/>
                <w:color w:val="auto"/>
              </w:rPr>
            </w:pPr>
            <w:r>
              <w:rPr>
                <w:rFonts w:ascii="Arial" w:cs="Arial" w:eastAsia="Arial" w:hAnsi="Arial"/>
                <w:sz w:val="16"/>
                <w:szCs w:val="16"/>
                <w:color w:val="auto"/>
              </w:rPr>
              <w:t>Common Stock Outstanding:</w:t>
            </w: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6"/>
                <w:szCs w:val="16"/>
                <w:color w:val="auto"/>
              </w:rPr>
              <w:t>Basic weighted average common shares outstanding</w:t>
            </w:r>
          </w:p>
        </w:tc>
        <w:tc>
          <w:tcPr>
            <w:tcW w:w="1540" w:type="dxa"/>
            <w:vAlign w:val="bottom"/>
          </w:tcPr>
          <w:p>
            <w:pPr>
              <w:jc w:val="right"/>
              <w:spacing w:after="0"/>
              <w:rPr>
                <w:sz w:val="20"/>
                <w:szCs w:val="20"/>
                <w:color w:val="auto"/>
              </w:rPr>
            </w:pPr>
            <w:r>
              <w:rPr>
                <w:rFonts w:ascii="Arial" w:cs="Arial" w:eastAsia="Arial" w:hAnsi="Arial"/>
                <w:sz w:val="18"/>
                <w:szCs w:val="18"/>
                <w:color w:val="auto"/>
              </w:rPr>
              <w:t>48,791</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49,735</w:t>
            </w:r>
          </w:p>
        </w:tc>
        <w:tc>
          <w:tcPr>
            <w:tcW w:w="120" w:type="dxa"/>
            <w:vAlign w:val="bottom"/>
          </w:tcPr>
          <w:p>
            <w:pPr>
              <w:spacing w:after="0"/>
              <w:rPr>
                <w:sz w:val="19"/>
                <w:szCs w:val="19"/>
                <w:color w:val="auto"/>
              </w:rPr>
            </w:pPr>
          </w:p>
        </w:tc>
      </w:tr>
      <w:tr>
        <w:trPr>
          <w:trHeight w:val="216"/>
        </w:trPr>
        <w:tc>
          <w:tcPr>
            <w:tcW w:w="780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Common stock equivalents – stock options and restricted stock </w:t>
            </w:r>
            <w:r>
              <w:rPr>
                <w:rFonts w:ascii="Arial" w:cs="Arial" w:eastAsia="Arial" w:hAnsi="Arial"/>
                <w:sz w:val="25"/>
                <w:szCs w:val="25"/>
                <w:color w:val="auto"/>
                <w:vertAlign w:val="superscript"/>
              </w:rPr>
              <w:t>(1)</w:t>
            </w: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24"/>
        </w:trPr>
        <w:tc>
          <w:tcPr>
            <w:tcW w:w="7800" w:type="dxa"/>
            <w:vAlign w:val="bottom"/>
          </w:tcPr>
          <w:p>
            <w:pPr>
              <w:spacing w:after="0"/>
              <w:rPr>
                <w:sz w:val="20"/>
                <w:szCs w:val="20"/>
                <w:color w:val="auto"/>
              </w:rPr>
            </w:pPr>
            <w:r>
              <w:rPr>
                <w:rFonts w:ascii="Arial" w:cs="Arial" w:eastAsia="Arial" w:hAnsi="Arial"/>
                <w:sz w:val="16"/>
                <w:szCs w:val="16"/>
                <w:color w:val="auto"/>
              </w:rPr>
              <w:t>Diluted weighted average common shares outstanding</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48,791</w:t>
            </w:r>
          </w:p>
        </w:tc>
        <w:tc>
          <w:tcPr>
            <w:tcW w:w="3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49,735</w:t>
            </w:r>
          </w:p>
        </w:tc>
        <w:tc>
          <w:tcPr>
            <w:tcW w:w="120" w:type="dxa"/>
            <w:vAlign w:val="bottom"/>
          </w:tcPr>
          <w:p>
            <w:pPr>
              <w:spacing w:after="0"/>
              <w:rPr>
                <w:sz w:val="19"/>
                <w:szCs w:val="19"/>
                <w:color w:val="auto"/>
              </w:rPr>
            </w:pPr>
          </w:p>
        </w:tc>
      </w:tr>
    </w:tbl>
    <w:p>
      <w:pPr>
        <w:spacing w:after="0" w:line="201" w:lineRule="exact"/>
        <w:rPr>
          <w:sz w:val="20"/>
          <w:szCs w:val="20"/>
          <w:color w:val="auto"/>
        </w:rPr>
      </w:pPr>
    </w:p>
    <w:p>
      <w:pPr>
        <w:ind w:left="1040" w:right="62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Common stock equivalents of 377 shares and 73 shares for the three months ended May 5, 2018 and April 29, 2017, respectively, were excluded due to the net loss.</w:t>
      </w:r>
    </w:p>
    <w:p>
      <w:pPr>
        <w:spacing w:after="0" w:line="19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7700" w:type="dxa"/>
            <w:vAlign w:val="bottom"/>
          </w:tcPr>
          <w:p>
            <w:pPr>
              <w:spacing w:after="0"/>
              <w:rPr>
                <w:sz w:val="17"/>
                <w:szCs w:val="17"/>
                <w:color w:val="auto"/>
              </w:rPr>
            </w:pPr>
          </w:p>
        </w:tc>
        <w:tc>
          <w:tcPr>
            <w:tcW w:w="3500" w:type="dxa"/>
            <w:vAlign w:val="bottom"/>
            <w:gridSpan w:val="4"/>
          </w:tcPr>
          <w:p>
            <w:pPr>
              <w:ind w:left="780"/>
              <w:spacing w:after="0"/>
              <w:rPr>
                <w:sz w:val="20"/>
                <w:szCs w:val="20"/>
                <w:color w:val="auto"/>
              </w:rPr>
            </w:pPr>
            <w:r>
              <w:rPr>
                <w:rFonts w:ascii="Arial" w:cs="Arial" w:eastAsia="Arial" w:hAnsi="Arial"/>
                <w:sz w:val="16"/>
                <w:szCs w:val="16"/>
                <w:color w:val="auto"/>
              </w:rPr>
              <w:t>For the three months ended</w:t>
            </w:r>
          </w:p>
        </w:tc>
      </w:tr>
      <w:tr>
        <w:trPr>
          <w:trHeight w:val="216"/>
        </w:trPr>
        <w:tc>
          <w:tcPr>
            <w:tcW w:w="7700" w:type="dxa"/>
            <w:vAlign w:val="bottom"/>
          </w:tcPr>
          <w:p>
            <w:pPr>
              <w:spacing w:after="0"/>
              <w:rPr>
                <w:sz w:val="18"/>
                <w:szCs w:val="18"/>
                <w:color w:val="auto"/>
              </w:rPr>
            </w:pPr>
          </w:p>
        </w:tc>
        <w:tc>
          <w:tcPr>
            <w:tcW w:w="1820" w:type="dxa"/>
            <w:vAlign w:val="bottom"/>
            <w:gridSpan w:val="2"/>
          </w:tcPr>
          <w:p>
            <w:pPr>
              <w:ind w:left="340"/>
              <w:spacing w:after="0"/>
              <w:rPr>
                <w:sz w:val="20"/>
                <w:szCs w:val="20"/>
                <w:color w:val="auto"/>
              </w:rPr>
            </w:pPr>
            <w:r>
              <w:rPr>
                <w:rFonts w:ascii="Arial" w:cs="Arial" w:eastAsia="Arial" w:hAnsi="Arial"/>
                <w:sz w:val="16"/>
                <w:szCs w:val="16"/>
                <w:color w:val="auto"/>
              </w:rPr>
              <w:t>May 5, 2018</w:t>
            </w:r>
          </w:p>
        </w:tc>
        <w:tc>
          <w:tcPr>
            <w:tcW w:w="1680" w:type="dxa"/>
            <w:vAlign w:val="bottom"/>
            <w:gridSpan w:val="2"/>
          </w:tcPr>
          <w:p>
            <w:pPr>
              <w:ind w:left="280"/>
              <w:spacing w:after="0"/>
              <w:rPr>
                <w:sz w:val="20"/>
                <w:szCs w:val="20"/>
                <w:color w:val="auto"/>
              </w:rPr>
            </w:pPr>
            <w:r>
              <w:rPr>
                <w:rFonts w:ascii="Arial" w:cs="Arial" w:eastAsia="Arial" w:hAnsi="Arial"/>
                <w:sz w:val="16"/>
                <w:szCs w:val="16"/>
                <w:color w:val="auto"/>
              </w:rPr>
              <w:t>April 29, 2017</w:t>
            </w:r>
          </w:p>
        </w:tc>
      </w:tr>
      <w:tr>
        <w:trPr>
          <w:trHeight w:val="213"/>
        </w:trPr>
        <w:tc>
          <w:tcPr>
            <w:tcW w:w="7700" w:type="dxa"/>
            <w:vAlign w:val="bottom"/>
          </w:tcPr>
          <w:p>
            <w:pPr>
              <w:spacing w:after="0"/>
              <w:rPr>
                <w:sz w:val="20"/>
                <w:szCs w:val="20"/>
                <w:color w:val="auto"/>
              </w:rPr>
            </w:pPr>
            <w:r>
              <w:rPr>
                <w:rFonts w:ascii="Arial" w:cs="Arial" w:eastAsia="Arial" w:hAnsi="Arial"/>
                <w:sz w:val="16"/>
                <w:szCs w:val="16"/>
                <w:i w:val="1"/>
                <w:iCs w:val="1"/>
                <w:color w:val="auto"/>
              </w:rPr>
              <w:t>(in thousands, except exercise prices)</w:t>
            </w:r>
          </w:p>
        </w:tc>
        <w:tc>
          <w:tcPr>
            <w:tcW w:w="1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1,242</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120" w:type="dxa"/>
            <w:vAlign w:val="bottom"/>
            <w:shd w:val="clear" w:color="auto" w:fill="CFF0FC"/>
          </w:tcPr>
          <w:p>
            <w:pPr>
              <w:spacing w:after="0"/>
              <w:rPr>
                <w:sz w:val="19"/>
                <w:szCs w:val="19"/>
                <w:color w:val="auto"/>
              </w:rPr>
            </w:pPr>
          </w:p>
        </w:tc>
      </w:tr>
      <w:tr>
        <w:trPr>
          <w:trHeight w:val="213"/>
        </w:trPr>
        <w:tc>
          <w:tcPr>
            <w:tcW w:w="770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316</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8"/>
                <w:szCs w:val="18"/>
                <w:color w:val="auto"/>
              </w:rPr>
            </w:pPr>
          </w:p>
        </w:tc>
      </w:tr>
      <w:tr>
        <w:trPr>
          <w:trHeight w:val="21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Restricted and deferred stock</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FF0FC"/>
          </w:tcPr>
          <w:p>
            <w:pPr>
              <w:spacing w:after="0"/>
              <w:rPr>
                <w:sz w:val="19"/>
                <w:szCs w:val="19"/>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6"/>
                <w:szCs w:val="16"/>
                <w:color w:val="auto"/>
              </w:rPr>
              <w:t>Range of exercise prices of such options</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$1.85 - $7.02</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$3.20 - $7.52</w:t>
            </w:r>
          </w:p>
        </w:tc>
        <w:tc>
          <w:tcPr>
            <w:tcW w:w="120" w:type="dxa"/>
            <w:vAlign w:val="bottom"/>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May 5, 2018, expire from June 8, 2018 to March 14, 2028.</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Shares of unvested time-based restricted stock of 66,666 at May 5, 2018 and 482,002 shares at April 29, 2017 were excluded from the computation of basic earnings per share and will continue to be excluded until such shares vest.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 66,666 shares of restricted stock outstanding at May 5, 2018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May 5, 2018, the Company had total deferred tax assets of approximately $53.5 million, total deferred tax liabilities of $5.4 million and a corresponding valuation allowance of $48.1 million.</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Since the end of fiscal 2014, the Company has had a full valuation allowance against its net deferred tax assets. While the Company has projected it will return to profitability, generate taxable income and ultimately emerge from a three-year cumulative loss, based on the Company’s forecast for fiscal 2018, the Company believes that a full allowance remains appropriate at this time.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May 5, 2018, for federal income tax purposes, the Company has net operating loss carryforwards of $141.4 million, which will expire from 2022 through 2036 and net operating loss carryforwards of $19.4 million that are not subject to expiration. For state income tax purposes, the Company has $91.1 million of net operating losses that are available to offset future taxable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income. Additionally, the Company has $3.0 million of net operating loss carryforwards related to the Company’s operations in Canada.</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Beginning with the first quarter of fiscal 2018, the Company is calculating its tax provision based on the newly enacted U.S. statutory rate of 21%. The Company’s tax provision for the first quarter of fiscal 2018 and fiscal 2017 was primarily due to current state margin tax. The first quarter of fiscal 2018 included a tax expense of $26,000 in other comprehensive income (loss), which resulted in a tax benefit on the consolidated statement of operations related to the corresponding decrease in valuation allowance.</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will recognize the benefit from a tax position only if it is more likely than not that the position would be sustained upon audit based solely on the technical merits of the tax position. The unrecognized tax benefit at May 5, 2018 was $2.0 million. This amount is directly associated with a prior year tax position related to exiting the Company’s direct business in Europe. The amount of unrecognized tax benefit has been presented as a reduction in the reported amounts of its federal and state net operating loss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Restructuring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16, 2018, the Company committed to a corporate restructuring plan (“Restructuring”) to accelerate the Company's path to profitability by aligning its expense structure with its revenues. The Company plans to eliminate approximately 56 positions, which represents 15% of its corporate work force, or 2% of its total work force, in connection with the Restructuring. Approximately 36 employees were notified of their termination on May 16, 2018 with the remaining 20 positions representing open positions that will not be filled. The Company has offered cash severance benefits to the eligible affected employees. Each affected employee’s eligibility for these severance benefits is contingent upon such employee’s execution (and no revocation) of a separation agreement, which includes a general release of claims against the Company.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to incur aggregate charges in the second quarter of fiscal 2018 of approximately $1.7 million for employee severance and one-time termination benefits, as well as other employee-related costs associated with the Restructuring. Cash expenditures associated with the Restructuring are expected to be approximately $1.3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Credit Facility and Term Loan Prepayment</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On May 24, 2018, the Company entered into the Seventh Amended and Restated Credit Agreement with Bank of America, N.A., as agent, providing for a secured $140 million credit facility. (the “New Credit Facility”). The New Credit Facility replaces the Company’s existing Credit Facility with Bank of America. See Note 3,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New Credit Facility continues to provide maximum committed borrowings of $125 million in revolver loans, with the ability, pursuant to an accordion feature, to increase the New Credit Facility by an additional $50 million upon the request of the Company and the agreement of the lender(s) participating in the increase (the “Revolving Facility”). There were no changes to the sublimit of $20 million for commercial and standby letter of credits or the sublimit of up to $15 million for swingline loans. The Company’s ability to borrow under the New Credit Facility (the “Loan Cap”) is determined using an availability formula based on eligible assets. The New Credit Facility requires the Company to maintain a minimum consolidated fixed charge coverage ratio of 1.0:1.0 if its excess availability under the New Credit Facility fails to be equal to or greater than the greater of 10% of the Loan Cap and $7.5 million.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Credit Facility includes a new $15.0 million “first in, last out” (FILO) term facility (the “FILO Facility”). The total borrowing capacity under the FILO Facility is based on a borrowing base, generally defined as a specified percentage of the value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eligible accounts, including certain trade names, that step down over time, plus a specified percentage of the value of eligible inventory that steps down over time. There can be no voluntary prepayments on the FILO Facility during the first year. After its one-year anniversary, the FILO Facility can be repaid, in whole or in part, subject to certain payment conditions.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Borrowings made pursuant to the Revolving Facility will bear interest, calculated under either the Federal Funds rate or the LIBOR rate, at a rate equal to the following: (a) the Federal Funds rate plus a varying percentage based on the Company’s excess availability, of either 0.25% or </w:t>
      </w:r>
      <w:r>
        <w:rPr>
          <w:rFonts w:ascii="Arial" w:cs="Arial" w:eastAsia="Arial" w:hAnsi="Arial"/>
          <w:sz w:val="17"/>
          <w:szCs w:val="17"/>
          <w:color w:val="000033"/>
        </w:rPr>
        <w:t>0.50%,</w:t>
      </w:r>
      <w:r>
        <w:rPr>
          <w:rFonts w:ascii="Arial" w:cs="Arial" w:eastAsia="Arial" w:hAnsi="Arial"/>
          <w:sz w:val="17"/>
          <w:szCs w:val="17"/>
          <w:color w:val="auto"/>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7"/>
          <w:szCs w:val="17"/>
          <w:color w:val="000033"/>
        </w:rPr>
        <w:t>1.25% or 1.50%. Borrowing made under the FILO Facility will bear interest,</w:t>
      </w:r>
      <w:r>
        <w:rPr>
          <w:rFonts w:ascii="Arial" w:cs="Arial" w:eastAsia="Arial" w:hAnsi="Arial"/>
          <w:sz w:val="17"/>
          <w:szCs w:val="17"/>
          <w:color w:val="auto"/>
        </w:rPr>
        <w:t xml:space="preserve"> calculated under either the Federal Funds rate or the LIBOR rate, at a rate equal to the following: (a) the Federal Funds rate plus a varying percentage based on the Company’s excess availability, of either </w:t>
      </w:r>
      <w:r>
        <w:rPr>
          <w:rFonts w:ascii="Arial" w:cs="Arial" w:eastAsia="Arial" w:hAnsi="Arial"/>
          <w:sz w:val="17"/>
          <w:szCs w:val="17"/>
          <w:color w:val="000033"/>
        </w:rPr>
        <w:t>1.75%</w:t>
      </w:r>
      <w:r>
        <w:rPr>
          <w:rFonts w:ascii="Arial" w:cs="Arial" w:eastAsia="Arial" w:hAnsi="Arial"/>
          <w:sz w:val="17"/>
          <w:szCs w:val="17"/>
          <w:color w:val="auto"/>
        </w:rPr>
        <w:t xml:space="preserve"> </w:t>
      </w:r>
      <w:r>
        <w:rPr>
          <w:rFonts w:ascii="Arial" w:cs="Arial" w:eastAsia="Arial" w:hAnsi="Arial"/>
          <w:sz w:val="17"/>
          <w:szCs w:val="17"/>
          <w:color w:val="000033"/>
        </w:rPr>
        <w:t xml:space="preserve">or 2.00% </w:t>
      </w:r>
      <w:r>
        <w:rPr>
          <w:rFonts w:ascii="Arial" w:cs="Arial" w:eastAsia="Arial" w:hAnsi="Arial"/>
          <w:sz w:val="17"/>
          <w:szCs w:val="17"/>
          <w:color w:val="000000"/>
        </w:rPr>
        <w:t>or (b) the LIBOR rate (the Company being able to select interest periods of 1 week, 1 month, 2 months, 3 months or 6 months) plus a varying</w:t>
      </w:r>
      <w:r>
        <w:rPr>
          <w:rFonts w:ascii="Arial" w:cs="Arial" w:eastAsia="Arial" w:hAnsi="Arial"/>
          <w:sz w:val="17"/>
          <w:szCs w:val="17"/>
          <w:color w:val="000033"/>
        </w:rPr>
        <w:t xml:space="preserve"> </w:t>
      </w:r>
      <w:r>
        <w:rPr>
          <w:rFonts w:ascii="Arial" w:cs="Arial" w:eastAsia="Arial" w:hAnsi="Arial"/>
          <w:sz w:val="17"/>
          <w:szCs w:val="17"/>
          <w:color w:val="000000"/>
        </w:rPr>
        <w:t xml:space="preserve">percentage based on the Company’s excess availability, of either </w:t>
      </w:r>
      <w:r>
        <w:rPr>
          <w:rFonts w:ascii="Arial" w:cs="Arial" w:eastAsia="Arial" w:hAnsi="Arial"/>
          <w:sz w:val="17"/>
          <w:szCs w:val="17"/>
          <w:color w:val="000033"/>
        </w:rPr>
        <w:t>2.75% or 3.00%</w:t>
      </w:r>
      <w:r>
        <w:rPr>
          <w:rFonts w:ascii="Arial" w:cs="Arial" w:eastAsia="Arial" w:hAnsi="Arial"/>
          <w:sz w:val="17"/>
          <w:szCs w:val="17"/>
          <w:color w:val="000000"/>
        </w:rPr>
        <w:t xml:space="preserve"> .</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00033"/>
        </w:rPr>
        <w:t xml:space="preserve">The maturity date of the New Credit Facility was extended from October 29, 2019 to May 24, 2023. </w:t>
      </w:r>
      <w:r>
        <w:rPr>
          <w:rFonts w:ascii="Arial" w:cs="Arial" w:eastAsia="Arial" w:hAnsi="Arial"/>
          <w:sz w:val="18"/>
          <w:szCs w:val="18"/>
          <w:color w:val="000000"/>
        </w:rPr>
        <w:t>The Company’s obligations under the New Credit</w:t>
      </w:r>
      <w:r>
        <w:rPr>
          <w:rFonts w:ascii="Arial" w:cs="Arial" w:eastAsia="Arial" w:hAnsi="Arial"/>
          <w:sz w:val="18"/>
          <w:szCs w:val="18"/>
          <w:color w:val="000033"/>
        </w:rPr>
        <w:t xml:space="preserve"> </w:t>
      </w:r>
      <w:r>
        <w:rPr>
          <w:rFonts w:ascii="Arial" w:cs="Arial" w:eastAsia="Arial" w:hAnsi="Arial"/>
          <w:sz w:val="18"/>
          <w:szCs w:val="18"/>
          <w:color w:val="000000"/>
        </w:rPr>
        <w:t>Facility are secured by a lien on substantially all of its assets.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000033"/>
        </w:rPr>
        <w:t xml:space="preserve">The Revolving Facility will be used for </w:t>
      </w:r>
      <w:r>
        <w:rPr>
          <w:rFonts w:ascii="Arial" w:cs="Arial" w:eastAsia="Arial" w:hAnsi="Arial"/>
          <w:sz w:val="17"/>
          <w:szCs w:val="17"/>
          <w:color w:val="000000"/>
        </w:rPr>
        <w:t>working capital, capital expenditures and other general corporate purposes of the Company. The FILO Facility will</w:t>
      </w:r>
      <w:r>
        <w:rPr>
          <w:rFonts w:ascii="Arial" w:cs="Arial" w:eastAsia="Arial" w:hAnsi="Arial"/>
          <w:sz w:val="17"/>
          <w:szCs w:val="17"/>
          <w:color w:val="000033"/>
        </w:rPr>
        <w:t xml:space="preserve"> </w:t>
      </w:r>
      <w:r>
        <w:rPr>
          <w:rFonts w:ascii="Arial" w:cs="Arial" w:eastAsia="Arial" w:hAnsi="Arial"/>
          <w:sz w:val="17"/>
          <w:szCs w:val="17"/>
          <w:color w:val="000000"/>
        </w:rPr>
        <w:t>be used primarily to repay, in full and without penalty, the outstanding balance of $11.5 million under the Company’s existing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gross profit margins, merchandise margins, marketing costs, restructuring charges, selling, general and administrative expenses, store counts, inventory levels, capital expenditures, borrowings, interest costs, sales and earnings expectations for fiscal 2018 and beyond, the expected impact of investments in marketing on 2018 sales and longer term impact on customer acquisition and brand awareness, and the anticipated number of store openings and closings in fiscal 2018.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3, 2018, included in our Annual Report on Form 10-K for the year ended February 3, 2018, as filed with the Securities and Exchange Commission on March 23, 2018 (our “Fiscal 2017 Annual Report”).</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Numerous factors could cause our actual results to differ materially from such forward-looking statements. We encourage readers to refer to the “Risk Factors” section in Part I, Item 1A of our Fiscal 2017 Annual Report, that sets forth certain risks and uncertainties that may have an impact on future results and direction of our Company, including, without limitations, risks relating to the execution of our corporate strategy, and our ability to grow our market share, predict customer tastes and fashion trends, forecast sales growth trends, maintain and build our brand awareness and compete successfully in our market.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Destination XL Group, Inc., together with our consolidated subsidiaries (the “Company”), is the largest specialty retailer of big &amp; tall men’s apparel with retail and direct operations in the United States, Canada and London, England. We operate under the trade names of Destination XL</w:t>
      </w:r>
      <w:r>
        <w:rPr>
          <w:rFonts w:ascii="Arial" w:cs="Arial" w:eastAsia="Arial" w:hAnsi="Arial"/>
          <w:sz w:val="26"/>
          <w:szCs w:val="26"/>
          <w:color w:val="auto"/>
          <w:vertAlign w:val="superscript"/>
        </w:rPr>
        <w:t>®</w:t>
      </w:r>
      <w:r>
        <w:rPr>
          <w:rFonts w:ascii="Arial" w:cs="Arial" w:eastAsia="Arial" w:hAnsi="Arial"/>
          <w:sz w:val="18"/>
          <w:szCs w:val="18"/>
          <w:color w:val="auto"/>
        </w:rPr>
        <w:t>, DXL</w:t>
      </w:r>
      <w:r>
        <w:rPr>
          <w:rFonts w:ascii="Arial" w:cs="Arial" w:eastAsia="Arial" w:hAnsi="Arial"/>
          <w:sz w:val="26"/>
          <w:szCs w:val="26"/>
          <w:color w:val="auto"/>
          <w:vertAlign w:val="superscript"/>
        </w:rPr>
        <w:t>®</w:t>
      </w:r>
      <w:r>
        <w:rPr>
          <w:rFonts w:ascii="Arial" w:cs="Arial" w:eastAsia="Arial" w:hAnsi="Arial"/>
          <w:sz w:val="18"/>
          <w:szCs w:val="18"/>
          <w:color w:val="auto"/>
        </w:rPr>
        <w:t>, DXL Outlets, Casual Male XL</w:t>
      </w:r>
      <w:r>
        <w:rPr>
          <w:rFonts w:ascii="Arial" w:cs="Arial" w:eastAsia="Arial" w:hAnsi="Arial"/>
          <w:sz w:val="26"/>
          <w:szCs w:val="26"/>
          <w:color w:val="auto"/>
          <w:vertAlign w:val="superscript"/>
        </w:rPr>
        <w:t>®</w:t>
      </w:r>
      <w:r>
        <w:rPr>
          <w:rFonts w:ascii="Arial" w:cs="Arial" w:eastAsia="Arial" w:hAnsi="Arial"/>
          <w:sz w:val="18"/>
          <w:szCs w:val="18"/>
          <w:color w:val="auto"/>
        </w:rPr>
        <w:t>, Casual Male XL Outlets, Rochester Clothing, ShoesXL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LivingXL</w:t>
      </w:r>
      <w:r>
        <w:rPr>
          <w:rFonts w:ascii="Arial" w:cs="Arial" w:eastAsia="Arial" w:hAnsi="Arial"/>
          <w:sz w:val="26"/>
          <w:szCs w:val="26"/>
          <w:color w:val="auto"/>
          <w:vertAlign w:val="superscript"/>
        </w:rPr>
        <w:t>®</w:t>
      </w:r>
      <w:r>
        <w:rPr>
          <w:rFonts w:ascii="Arial" w:cs="Arial" w:eastAsia="Arial" w:hAnsi="Arial"/>
          <w:sz w:val="18"/>
          <w:szCs w:val="18"/>
          <w:color w:val="auto"/>
        </w:rPr>
        <w:t>. At May 5, 2018, we operated 216 Destination XL stores, 15 DXL outlet stores, 72 Casual Male XL retail stores, 31 Casual Male XL outlet stores and 5 Rochester Clothing stores. Our e-commerce site, DestinationXL.com, supports our stores, brands and product extensions.</w:t>
      </w:r>
    </w:p>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February 2, 2019 and February 3, 2018 as “fiscal 2018” and “fiscal 2017,” respectively. Fiscal 2018 is a 52-week period and fiscal 2017 was a 53-week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(e-commerce) businesses, especially in our growing omni-channel environment, to be similar in terms of economic characteristics, production processes and operations, and have, therefore, aggregated them into a single reporting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In addition, our customer’s shopping experience continues to evolve across multiple channels and we are continually changing to meet his needs. As part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omni-channel initiatives, the majority of our retail stores have the capability of fulfilling online orders if merchandise is not available in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warehouse. As a result, we continue to see more transactions that begin online but are ultimately completed at the store level. Similarly, if a customer visits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store and the item is out of stock, the associate can order the item through our website. A customer also has the ability to order online and pick-up in</w:t>
      </w:r>
    </w:p>
    <w:p>
      <w:pPr>
        <w:spacing w:after="0" w:line="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store. Because this omni-channel approach to retailing is changing the boundaries of where a sale originates and where a sale is ultimately settled, we do not report comparable sales separately for our retail and e-commerce businesses. However, as we invest in building our e-commerce platform, bringing a heightened digital focus to our Company, additional disclosure on our e-commerce growth as it relates to our current initiatives is important. We define store sales as sales that originate and are fulfilled directly at the store level. E-commerce sales are defined as sales that originate online, including those initiated online at the store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summary of results for the first three months of fiscal 2018 as compared to the prior year’s first three months, including EBITDA, which is a non-GAAP measure. Please see “Non-GAAP Financial Measures” below for a reconciliation of Net Loss to EBITDA.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460" w:type="dxa"/>
            <w:vAlign w:val="bottom"/>
            <w:vMerge w:val="restart"/>
          </w:tcPr>
          <w:p>
            <w:pPr>
              <w:jc w:val="right"/>
              <w:ind w:right="3"/>
              <w:spacing w:after="0"/>
              <w:rPr>
                <w:sz w:val="20"/>
                <w:szCs w:val="20"/>
                <w:color w:val="auto"/>
              </w:rPr>
            </w:pPr>
            <w:r>
              <w:rPr>
                <w:rFonts w:ascii="Arial" w:cs="Arial" w:eastAsia="Arial" w:hAnsi="Arial"/>
                <w:sz w:val="14"/>
                <w:szCs w:val="14"/>
                <w:color w:val="auto"/>
              </w:rPr>
              <w:t>May 5, 2018</w:t>
            </w:r>
          </w:p>
        </w:tc>
        <w:tc>
          <w:tcPr>
            <w:tcW w:w="1660" w:type="dxa"/>
            <w:vAlign w:val="bottom"/>
            <w:gridSpan w:val="4"/>
          </w:tcPr>
          <w:p>
            <w:pPr>
              <w:jc w:val="right"/>
              <w:ind w:right="20"/>
              <w:spacing w:after="0"/>
              <w:rPr>
                <w:sz w:val="20"/>
                <w:szCs w:val="20"/>
                <w:color w:val="auto"/>
              </w:rPr>
            </w:pPr>
            <w:r>
              <w:rPr>
                <w:rFonts w:ascii="Arial" w:cs="Arial" w:eastAsia="Arial" w:hAnsi="Arial"/>
                <w:sz w:val="14"/>
                <w:szCs w:val="14"/>
                <w:color w:val="auto"/>
                <w:w w:val="93"/>
              </w:rPr>
              <w:t>For the three months ended</w:t>
            </w:r>
          </w:p>
        </w:tc>
        <w:tc>
          <w:tcPr>
            <w:tcW w:w="1800" w:type="dxa"/>
            <w:vAlign w:val="bottom"/>
            <w:gridSpan w:val="2"/>
            <w:vMerge w:val="restart"/>
          </w:tcPr>
          <w:p>
            <w:pPr>
              <w:jc w:val="right"/>
              <w:ind w:right="940"/>
              <w:spacing w:after="0"/>
              <w:rPr>
                <w:sz w:val="20"/>
                <w:szCs w:val="20"/>
                <w:color w:val="auto"/>
              </w:rPr>
            </w:pPr>
            <w:r>
              <w:rPr>
                <w:rFonts w:ascii="Arial" w:cs="Arial" w:eastAsia="Arial" w:hAnsi="Arial"/>
                <w:sz w:val="14"/>
                <w:szCs w:val="14"/>
                <w:color w:val="auto"/>
                <w:w w:val="97"/>
              </w:rPr>
              <w:t>April 29, 2017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CFF0FC"/>
            </w:tcBorders>
            <w:gridSpan w:val="3"/>
            <w:shd w:val="clear" w:color="auto" w:fill="CFF0FC"/>
          </w:tcPr>
          <w:p>
            <w:pPr>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14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loss</w:t>
            </w:r>
          </w:p>
        </w:tc>
        <w:tc>
          <w:tcPr>
            <w:tcW w:w="4480" w:type="dxa"/>
            <w:vAlign w:val="bottom"/>
            <w:tcBorders>
              <w:top w:val="single" w:sz="8" w:color="CFF0FC"/>
            </w:tcBorders>
          </w:tcPr>
          <w:p>
            <w:pPr>
              <w:spacing w:after="0"/>
              <w:rPr>
                <w:sz w:val="13"/>
                <w:szCs w:val="13"/>
                <w:color w:val="auto"/>
              </w:rPr>
            </w:pPr>
          </w:p>
        </w:tc>
        <w:tc>
          <w:tcPr>
            <w:tcW w:w="1460" w:type="dxa"/>
            <w:vAlign w:val="bottom"/>
            <w:tcBorders>
              <w:top w:val="single" w:sz="8" w:color="CFF0FC"/>
            </w:tcBorders>
          </w:tcPr>
          <w:p>
            <w:pPr>
              <w:jc w:val="right"/>
              <w:ind w:right="1343"/>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CFF0FC"/>
            </w:tcBorders>
            <w:gridSpan w:val="2"/>
          </w:tcPr>
          <w:p>
            <w:pPr>
              <w:jc w:val="right"/>
              <w:ind w:right="160"/>
              <w:spacing w:after="0" w:line="155" w:lineRule="exact"/>
              <w:rPr>
                <w:sz w:val="20"/>
                <w:szCs w:val="20"/>
                <w:color w:val="auto"/>
              </w:rPr>
            </w:pPr>
            <w:r>
              <w:rPr>
                <w:rFonts w:ascii="Arial" w:cs="Arial" w:eastAsia="Arial" w:hAnsi="Arial"/>
                <w:sz w:val="14"/>
                <w:szCs w:val="14"/>
                <w:color w:val="auto"/>
              </w:rPr>
              <w:t>(3.1)</w:t>
            </w:r>
          </w:p>
        </w:tc>
        <w:tc>
          <w:tcPr>
            <w:tcW w:w="820" w:type="dxa"/>
            <w:vAlign w:val="bottom"/>
            <w:tcBorders>
              <w:top w:val="single" w:sz="8" w:color="CFF0FC"/>
            </w:tcBorders>
            <w:gridSpan w:val="2"/>
          </w:tcPr>
          <w:p>
            <w:pPr>
              <w:jc w:val="right"/>
              <w:ind w:right="580"/>
              <w:spacing w:after="0" w:line="155" w:lineRule="exact"/>
              <w:rPr>
                <w:sz w:val="20"/>
                <w:szCs w:val="20"/>
                <w:color w:val="auto"/>
              </w:rPr>
            </w:pPr>
            <w:r>
              <w:rPr>
                <w:rFonts w:ascii="Arial" w:cs="Arial" w:eastAsia="Arial" w:hAnsi="Arial"/>
                <w:sz w:val="14"/>
                <w:szCs w:val="14"/>
                <w:color w:val="auto"/>
              </w:rPr>
              <w:t>$</w:t>
            </w:r>
          </w:p>
        </w:tc>
        <w:tc>
          <w:tcPr>
            <w:tcW w:w="1800" w:type="dxa"/>
            <w:vAlign w:val="bottom"/>
            <w:tcBorders>
              <w:top w:val="single" w:sz="8" w:color="CFF0FC"/>
            </w:tcBorders>
            <w:gridSpan w:val="2"/>
          </w:tcPr>
          <w:p>
            <w:pPr>
              <w:jc w:val="right"/>
              <w:ind w:right="220"/>
              <w:spacing w:after="0" w:line="155"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EBITDA (Non-GAAP basis)</w:t>
            </w:r>
          </w:p>
        </w:tc>
        <w:tc>
          <w:tcPr>
            <w:tcW w:w="1460" w:type="dxa"/>
            <w:vAlign w:val="bottom"/>
            <w:shd w:val="clear" w:color="auto" w:fill="CFF0FC"/>
          </w:tcPr>
          <w:p>
            <w:pPr>
              <w:jc w:val="right"/>
              <w:ind w:right="1343"/>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5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89"/>
              </w:rPr>
              <w:t>Per diluted share:</w:t>
            </w:r>
          </w:p>
        </w:tc>
        <w:tc>
          <w:tcPr>
            <w:tcW w:w="5480" w:type="dxa"/>
            <w:vAlign w:val="bottom"/>
            <w:tcBorders>
              <w:bottom w:val="single" w:sz="8" w:color="CFF0FC"/>
            </w:tcBorders>
            <w:gridSpan w:val="2"/>
            <w:shd w:val="clear" w:color="auto" w:fill="CFF0FC"/>
          </w:tcPr>
          <w:p>
            <w:pPr>
              <w:spacing w:after="0"/>
              <w:rPr>
                <w:sz w:val="12"/>
                <w:szCs w:val="12"/>
                <w:color w:val="auto"/>
              </w:rPr>
            </w:pPr>
          </w:p>
        </w:tc>
        <w:tc>
          <w:tcPr>
            <w:tcW w:w="14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5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Arial" w:cs="Arial" w:eastAsia="Arial" w:hAnsi="Arial"/>
                <w:sz w:val="14"/>
                <w:szCs w:val="14"/>
                <w:color w:val="auto"/>
              </w:rPr>
              <w:t>Net loss</w:t>
            </w:r>
          </w:p>
        </w:tc>
        <w:tc>
          <w:tcPr>
            <w:tcW w:w="1460" w:type="dxa"/>
            <w:vAlign w:val="bottom"/>
          </w:tcPr>
          <w:p>
            <w:pPr>
              <w:jc w:val="right"/>
              <w:ind w:right="1343"/>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(0.06)</w:t>
            </w:r>
          </w:p>
        </w:tc>
        <w:tc>
          <w:tcPr>
            <w:tcW w:w="8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were pleased with our performance in the first quarter of fiscal 2018, with a net loss of $(0.06) per diluted share, as compared to a net loss of $(0.12) per diluted share in the first quarter of fiscal 2017 and a $2.6 million increase in EBITDA. This improvement in earnings was driven by an increase in sales of $5.7 million, which consisted of a comparable sales increase of 2.2% and non-comparable sales of $3.2 million, as well as reduced SG&amp;A, primarily driven by a decrease in our marketing costs. As discussed in more detail below, subsequent to the end of the first quarter of fiscal 2018, we reduced our corporate workforce by approximately 15%, to accelerate further this path to profitability. Given that our transformation to the DXL concept is essentially complete and our current strategy includes growing our brands and building our customer base, this corporate restructuring better aligns us with those objectives.</w:t>
      </w:r>
    </w:p>
    <w:p>
      <w:pPr>
        <w:spacing w:after="0" w:line="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the first quarter of fiscal 2018, we saw positive results with store productivity and direct business growth. Store productivity improved with increases in dollar per transaction, conversion rate, and number of transactions all up in the first quarter of fiscal 2018 as compared to last year’s first quarter. For the first three months of fiscal 2018, sales from our direct business increased 60 basis points to 21.2% of total sales. On a trailing 12-month basis, our direct business represented 21.1% of our sales at end of the first quarter of fiscal 2018 as compared to 20.2% at the end of the first quarter of fiscal 2017. Furthermore, our sales performance in April did not have the benefit of our national advertising campaign, which did not launch until April 26. In the prior year, our national advertising campaign launched on April 2, providing a strong boost to awareness in April 2017. Despite the shift in advertising, our sales for the quarter were positive. Since our Spring campaign launched at the end of April, we have seen a reacceleration of the business, coinciding with the improvement in weather. Our merchandise margins for the first quarter of fiscal 2018 were down approximately 120 basis points from the first quarter of fiscal 2017, primarily due to increased promotional activity in our direct business as well as increased shipping costs. For the full year, we are expecting our gross margin rate, which includes occupancy costs, to be approximately 50 basis points lower than fiscal 2017.</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a liquidity perspective, for fiscal 2018 we are focused on improving cash flow and reducing our debt levels. During the first quarter of fiscal 2018, our cash flow improved over the prior year first quarter as a result of improved earnings and reduced capital spending, partially offset by the timing of our working capital accounts. For the year, we expect to generate positive cash flow, which we will use to reduce debt levels. In addition, subsequent to the end of the first quarter of fiscal 2018, and as discussed below, we amended our credit facility with Bank of America, N.A., which extended our term from October 2019 to May 2023, reduced borrowing rates under the revolver and added a $15.0 million “first in last out” (FILO) facility. This facility will replace our existing term loan at substantially lower borrowing rates. On an annualized basis, we believe that this refinancing will enable us to reduce interest costs by approximately $0.7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Campaign ~ Spring 2018</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the end of the first quarter of fiscal 2018, we launched our Spring media campaign “</w:t>
      </w:r>
      <w:r>
        <w:rPr>
          <w:rFonts w:ascii="Arial" w:cs="Arial" w:eastAsia="Arial" w:hAnsi="Arial"/>
          <w:sz w:val="18"/>
          <w:szCs w:val="18"/>
          <w:i w:val="1"/>
          <w:iCs w:val="1"/>
          <w:color w:val="auto"/>
        </w:rPr>
        <w:t>Built XL</w:t>
      </w:r>
      <w:r>
        <w:rPr>
          <w:rFonts w:ascii="Arial" w:cs="Arial" w:eastAsia="Arial" w:hAnsi="Arial"/>
          <w:sz w:val="18"/>
          <w:szCs w:val="18"/>
          <w:color w:val="auto"/>
        </w:rPr>
        <w:t>”, which will run up to Father’s Day. Our new advertising campaign emphasizes fit, expertise, clothing brands, in-store experience, and one-stop shopping. We are highlighting our key differentiators and working to make an emotional connection with our core consumer. As mentioned above, 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440"/>
        <w:spacing w:after="0" w:line="264" w:lineRule="auto"/>
        <w:rPr>
          <w:sz w:val="20"/>
          <w:szCs w:val="20"/>
          <w:color w:val="auto"/>
        </w:rPr>
      </w:pPr>
      <w:r>
        <w:rPr>
          <w:rFonts w:ascii="Arial" w:cs="Arial" w:eastAsia="Arial" w:hAnsi="Arial"/>
          <w:sz w:val="18"/>
          <w:szCs w:val="18"/>
          <w:color w:val="auto"/>
        </w:rPr>
        <w:t>reduced the number of weeks for our Spring campaign as compared to fiscal 2017, but we saw a strong increase in store and web traffic once our Spring campaign launched. In addition to our Spring media campaign, during the first quarter of fiscal 2018, we also increased our investment in our loyalty program, to strengthen our connections to our existing customer base.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Restructuring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Subsequent to the end of the first quarter of fiscal 2018, we committed to a restructuring plan (“Restructuring”) to accelerate the Company's path to profitability by aligning its expense structure with its revenues. On May 16, 2018, we eliminated approximately 56 positions, which represented 15% of our corporate workforce, or 2% of our total work force. Approximately 36 employees were notified of their termination on May 16, 2018 with the remaining 20 positions representing open positions that will not be filled. In connection with the Restructuring, we expect to incur aggregate charges in the second quarter of fiscal 2018 of approximately $1.7 million for employee severance and one-time termination benefits, as well as other employee-related costs associated with the Restructuring. Cash expenditures associated with the Restructuring are expected to be approximately $1.3 million.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this Restructuring, we expect to realize savings of approximately $5.6 million in SG&amp;A (selling, general and administrative) expenses in fiscal 2018, of which $2.4 million was previously identified by the Company and factored into fiscal 2018 earnings expectations, resulting in incremental savings this year of $3.2 million. The savings primarily related to payroll, travel, benefits and non-essential project expenses, with expected annualized savings of approximately $10.3 million. Of the $10.3 million, we expect $6.6 million to come from corporate staffing changes, $2.0 million from changes to defined contribution plans and $1.7 million from other non-essential general and administrative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Credit Facility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Subsequent to the end of the first quarter of fiscal 2018, on May 24, 2018, we entered into a $140 million amended and restated credit agreement with Bank of America, N.A., as agent (“New Credit Facility”). This New Credit Facility amended our existing Credit Facility, and extended the term from October 2019 to May 2023. The revolving credit facility component under the New Credit Facility remains unchanged at $125.0 million, with a $50.0 million accordion feature, a sublimit of $20.0 million for commercial and standby letters of credit and a sublimit of up to $15.0 million for swingline loans (“Revolving Credit Facility”). Interest on borrowings under this Revolving Credit Facility are 25 basis points lower than our existing Credit Facility. In addition, the New Credit Facility also has a FILO term loan facility of $15.0 million (“FILO Facility”). The proceeds from the FILO Facility will be used to repay, without penalty, our outstanding Term Loan Facility. The interest rates on the FILO Facility are more favorable than the existing interest rates on the Term Loan Facility by approximately 350-450 basis points.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Outlook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revising our earnings guidance for fiscal 2018 to reflect the $3.2 million expense savings that we expect from the Restructuring. We expect to incur approximately $1.7 million in the second quarter for severance and other restructuring charges, and we expect to incur approximately $4.2 million before the end of fiscal 2018 associated with CEO transition costs.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for fiscal 2018 remains focused on customer acquisition, customer retention, and customer re-activation. Our marketing spend for the year is expected to be approximately $24.0 million, which is less than the fiscal 2017 spend of approximately $29.5 million, but greater than the fiscal 2016 spend of $18.0 million. Compared to fiscal 2017, we are projecting that our total sales for the year will be negatively impacted by one less week of sales and a net decrease in store count of nine stores, worth approximately $5.3 million in sales. Fiscal 2017 included a 53rd week, with sales of $6.9 million and operating income of $1.6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revised guidance for fiscal 2018 is as follows:</w:t>
      </w:r>
    </w:p>
    <w:p>
      <w:pPr>
        <w:spacing w:after="0" w:line="117" w:lineRule="exact"/>
        <w:rPr>
          <w:sz w:val="20"/>
          <w:szCs w:val="20"/>
          <w:color w:val="auto"/>
        </w:rPr>
      </w:pPr>
    </w:p>
    <w:p>
      <w:pPr>
        <w:ind w:left="780" w:right="560" w:hanging="259"/>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$462.0 million to $472.0 million, with a total company comparable sales increase of approximately 1.0% to 3.0% (unchanged from previous guidance).</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rate of approximately 44.5% (a decrease from previous guidance of 45.0%).</w:t>
      </w:r>
    </w:p>
    <w:p>
      <w:pPr>
        <w:spacing w:after="0" w:line="117" w:lineRule="exact"/>
        <w:rPr>
          <w:rFonts w:ascii="Arial" w:cs="Arial" w:eastAsia="Arial" w:hAnsi="Arial"/>
          <w:sz w:val="18"/>
          <w:szCs w:val="18"/>
          <w:color w:val="auto"/>
        </w:rPr>
      </w:pPr>
    </w:p>
    <w:p>
      <w:pPr>
        <w:ind w:left="780" w:right="480" w:hanging="259"/>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on a GAAP basis, of $(13.2) million to $(18.2) million, or $(0.27) to $(0.37) per diluted share (an increase in net loss from previous guidance of $(8.3) million to $(14.3) million, or $(0.17) to $(0.29) per diluted share).</w:t>
      </w:r>
    </w:p>
    <w:p>
      <w:pPr>
        <w:spacing w:after="0" w:line="62" w:lineRule="exact"/>
        <w:rPr>
          <w:rFonts w:ascii="Arial" w:cs="Arial" w:eastAsia="Arial" w:hAnsi="Arial"/>
          <w:sz w:val="18"/>
          <w:szCs w:val="18"/>
          <w:color w:val="auto"/>
        </w:rPr>
      </w:pPr>
    </w:p>
    <w:p>
      <w:pPr>
        <w:ind w:left="780" w:right="320" w:hanging="259"/>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adjusted for the Restructuring charges and CEO transition costs (“Adjusted EBITDA”), of $20.0 million to $25.0 million (an increase from previous EBITDA guidance of $18.0 to $24.0 million).</w:t>
      </w:r>
    </w:p>
    <w:p>
      <w:pPr>
        <w:spacing w:after="0" w:line="62" w:lineRule="exact"/>
        <w:rPr>
          <w:rFonts w:ascii="Arial" w:cs="Arial" w:eastAsia="Arial" w:hAnsi="Arial"/>
          <w:sz w:val="18"/>
          <w:szCs w:val="18"/>
          <w:color w:val="auto"/>
        </w:rPr>
      </w:pPr>
    </w:p>
    <w:p>
      <w:pPr>
        <w:ind w:left="780" w:right="160" w:hanging="259"/>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net loss of $(0.11) to $(0.18) per diluted share (a decrease in net loss from previous guidance of $(0.12) to $(0.22) per diluted share). Because we expect to continue providing a full valuation allowance against our deferred tax assets, we do not expect to recognize any income tax benefit in fiscal 2018. This non-GAAP adjusted net loss was calculated, before Restructuring charges and CEO transition costs and assumes a tax benefit of 26%.</w:t>
      </w:r>
    </w:p>
    <w:p>
      <w:pPr>
        <w:spacing w:after="0" w:line="78" w:lineRule="exact"/>
        <w:rPr>
          <w:rFonts w:ascii="Arial" w:cs="Arial" w:eastAsia="Arial" w:hAnsi="Arial"/>
          <w:sz w:val="18"/>
          <w:szCs w:val="18"/>
          <w:color w:val="auto"/>
        </w:rPr>
      </w:pPr>
    </w:p>
    <w:p>
      <w:pPr>
        <w:ind w:left="780" w:right="320" w:hanging="259"/>
        <w:spacing w:after="0" w:line="26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of approximately $11.4 million, $2.1 million of which will be for new and remodeled stores to the DXL format and $9.3 million for digital and infrastructure projects, partially offset by approximately $1.1 million in tenant allowances. We expect to fund our capital expenditures from our operating cash flow (unchanged from previous guidance).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ind w:left="780" w:hanging="259"/>
        <w:spacing w:after="0" w:line="26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end of fiscal 2018, we expect cash flow from operating activities of $20.5 million to $26.5 million (including tenant allowances), resulting in positive free cash flow of approximately $9.1 million to $15.1 million (unchanged from previous guidance, after taking into costs associated with restructuring and CEO transition).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2"/>
          </w:tcPr>
          <w:p>
            <w:pPr>
              <w:jc w:val="right"/>
              <w:ind w:right="760"/>
              <w:spacing w:after="0" w:line="155" w:lineRule="exact"/>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for fiscal 2017</w:t>
            </w:r>
          </w:p>
        </w:tc>
        <w:tc>
          <w:tcPr>
            <w:tcW w:w="23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Less 2017 sales for stores that have closed /converted</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Plus additional sales from change in weeks</w:t>
            </w:r>
          </w:p>
        </w:tc>
        <w:tc>
          <w:tcPr>
            <w:tcW w:w="20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108.4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4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Increase in comparable sales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Non-comparable sales, primarily DXL stores open less than 13 months</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net</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Sales for fiscal 2018</w:t>
            </w: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113.3</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Total sales for the first quarter of fiscal 2018 increased 5.3% to $113.3 million from $107.6 million from the first quarter of fiscal 2017. The increase of $5.7 million in total sales was primarily due to a comparable sales increase of $2.3 million, or 2.2%, and an increase in non-comparable sales of $3.2 million, partially offset by a decrease in other revenue of $(0.6) million. Comparable sales for the first quarter started out strong against the prior year, but due to a change in the Spring marketing campaign that included three less weeks, coupled with the unseasonably cold weather, we did see a temporary negative impact to April sales. However, once the Spring campaign launched and weather started to improve, sales rebounded with a 7.5% increase in comparable sales in the last week of the first quarter.</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focus in fiscal 2018 is on topline growth by growing our customer base through acquisition, retention and capturing a greater share of wallet by providing a great guest experience in our stores and online, where ever and how ever the customer decides to shop. We are enhancing our digital presence and providing our customers with improved functionality and increased touchpoints across all of our e-commerce platforms with the objective of growing and retaining our customer base. On a trailing twelve-month basis, direct sales as a percentage of total sales were 21.1% at the end of the first quarter of fiscal 2018 as compared to 20.2% at the end of the first quarter of the prior year. For the three months of fiscal 2018, our direct sales were 21.2%, up from 20.6% for the first three months of the prior year. We also saw increases in conversion, transactions and dollars per transactions during the first quarter, which contributed to top-line growth.</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end-of-rack customer represented 45.2% of our bottoms business, up from 44.8% in the first quarter of fiscal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first quarter of fiscal 2018, our gross margin rate, inclusive of occupancy costs, was 44.7% as compared to a gross margin rate of 45.2% for the first quarter of fiscal 2017. The decrease of 50 basis points was due to a decrease in merchandise margins of 120 basis points partially offset by a 70 basis point improvement in occupancy costs as a percent of sales. The decrease in merchandise margin was related to an increase in promotional markdowns, specifically in our direct business, as well as an increase in shipping costs. Occupancy costs, as a percentage of sales, improved as a result of the leveraging of the sales base. On a dollar basis, occupancy costs increased $0.2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a percentage of sales, SG&amp;A expenses for the first quarter of fiscal 2018 were 40.2% as compared to 42.9% for the first quarter of fiscal 2017. On a dollar basis, SG&amp;A decreased by $0.6 million for the first quarter of fiscal 2018. The decrease was due to a decrease of $1.6 million in marketing costs during the first quarter as a result of a reduction in the number of weeks in the Spring campaign as compared to fiscal 2017. This reduction was partially offset by an increase in store payroll and other supporting costs associated with our stores and e-commerce initiatives.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line="273" w:lineRule="auto"/>
        <w:rPr>
          <w:sz w:val="20"/>
          <w:szCs w:val="20"/>
          <w:color w:val="auto"/>
        </w:rPr>
      </w:pPr>
      <w:r>
        <w:rPr>
          <w:rFonts w:ascii="Arial" w:cs="Arial" w:eastAsia="Arial" w:hAnsi="Arial"/>
          <w:sz w:val="17"/>
          <w:szCs w:val="17"/>
          <w:color w:val="auto"/>
        </w:rPr>
        <w:t>SG&amp;A expenses are managed through two primary cost centers: Customer Facing Costs and Corporate Supporting Costs. Customer Facing Costs, which include store payroll, marketing, and other store operating costs, represented 22.9% of sales in the first quarter of fiscal 2018 as compared to 24.6% of sales in the first quarter of last year. On an annual basis, management targets marketing expenses to be at approximately 5% of sales. Corporate Supporting Costs, which include the distribution center, support, and other corporate overhead costs, represented 17.3% of sales in the first quarter of fiscal 2018 compared to 18.3% of sales in the first quarter of last year. The Company continues to examine and rationalize its entire SG&amp;A cost structure to improve its EBITDA margins and overall profitability. See our discussion above under “Subsequent Event - Corporate Restructuring”.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Depreciation and amortization for the first quarter of fiscal 2018 decreased $0.4 million to $7.3 million as compared to $7.7 million for the first quarter of fiscal 2017. With the DXL store growth substantially complete, we expect our depreciation costs will start to decrease.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interest expense for the first quarter of fiscal 2018 of $0.9 million increased slightly from $0.8 million for the first quarter of fiscal 2017. In connection with the New Credit Facility and the repayment of our existing Term Loan Facility, as discussed above, we expect to realize, on an annualized basis, savings of approximately $0.7 million due to more favorable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May 5, 2018, we had total deferred tax assets of $53.5 million, total deferred tax liabilities of $5.4 million and a corresponding valuation allowance of $48.1 million. The deferred tax assets included approximately $39.7 million of net operating loss carryforwards and approximately $2.9 million of deferred gain on our sale-leaseback and, to a lesser extent, other book/tax timing differences.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the end of fiscal 2014, we established a full valuation allowance against our deferred tax assets. Based on our earnings guidance for fiscal 2018, we believe that a full valuation allowance continues to remain appropriate at this time.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Beginning with the first quarter of fiscal 2018, we are calculating our tax provision based on the newly enacted U.S. statutory rate of 21%. Our tax provision for the first quarter of fiscal 2018 and fiscal 2017 was primarily due to current state margin tax. The first quarter of fiscal 2018 included a tax expense of $26,000 in other comprehensive income (loss), which resulted in a tax benefit on the consolidated statement of operations related to the corresponding decrease in valuation allowance.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first quarter of fiscal 2018, we had a net loss of $(3.1) million, or $(0.06) per diluted share, compared with a net loss of $(6.1) million, or $(0.12) per diluted share, for the first quarter of fiscal 2018.</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 non-GAAP basis, assuming a normalized tax rate of 26% for both periods, adjusted net loss per share for the first quarter of fiscal 2018 was $(0.05) per diluted share, as compared to adjusted net loss of $(0.09) per diluted share for the first quarter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At May 5, 2018, total inventory was $106.2 million compared to $103.3 million at February 3, 2018 and $121.4 million at April 29, 2017. The 12.5% decrease of $15.2 million from April 29, 2017 was due to inventory initiatives that began in fiscal 2016 to improve timing of receipts and reduce weeks of supply on hand. At May 5, 2018, our clearance inventory represented 9.7% of our total inventory, as compared to 8.2% at April 29, 2017. This increased percentage of clearance is primarily due to the lower inventory base, as a result of the inventory productivity initiatives which has reduced total inventory by 12.5%.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with Bank of America, N.A., (“Credit Facility”), which was most recently amended in May 2018 (“New Credit Facility”). Our current cash needs are primarily for working capital (essentially inventory requirements), capital expenditures and growth initiatives. We plan to manage our working capital and it is expected that excess cash from operations will be directed toward our growth initiatives and debt reductions.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 w:name="page23"/>
    <w:bookmarkEnd w:id="22"/>
    <w:p>
      <w:pPr>
        <w:ind w:right="160"/>
        <w:spacing w:after="0" w:line="259" w:lineRule="auto"/>
        <w:rPr>
          <w:sz w:val="20"/>
          <w:szCs w:val="20"/>
          <w:color w:val="auto"/>
        </w:rPr>
      </w:pPr>
      <w:r>
        <w:rPr>
          <w:rFonts w:ascii="Arial" w:cs="Arial" w:eastAsia="Arial" w:hAnsi="Arial"/>
          <w:sz w:val="18"/>
          <w:szCs w:val="18"/>
          <w:color w:val="auto"/>
        </w:rPr>
        <w:t>Our capital expenditures are expected to be approximately $11.4 million, and while capital expenditures may have to be funded periodically during the year from our Credit Facility, by the end of fiscal 2018 all capital expenditures are expected to be funded from cash flow from operations. We currently believe that our existing cash generated by operations together with our New Credit Facility will be sufficient within current forecasts for us to meet our foreseeable liquidity requirements.</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fiscal 2018, we expect cash flow from operating activities of $20.5 million to $26.5 million (including tenant allowances), and positive free cash flow of $9.1 to $15.1 million that will be used to reduce outstanding debt.</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the first quarter of fiscal 2018, cash flow from operations decreased by approximately $1.3 million, primarily due to timing of working capital. Free cash flow, a non-GAAP measure, improved by $2.4 million to $(9.1) million from $(11.5) million for the first quarter of fiscal 2017. The improvement in free cash flow was primarily due to the lower capital expenditures associated with fewer store openings.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May 5, 2018 with the associated unamortized debt issuance costs: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color w:val="auto"/>
              </w:rPr>
              <w:t>Gross 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Less Debt Issuance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Net Debt</w:t>
            </w:r>
          </w:p>
        </w:tc>
      </w:tr>
      <w:tr>
        <w:trPr>
          <w:trHeight w:val="167"/>
        </w:trPr>
        <w:tc>
          <w:tcPr>
            <w:tcW w:w="6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Outstanding</w:t>
            </w:r>
          </w:p>
        </w:tc>
      </w:tr>
      <w:tr>
        <w:trPr>
          <w:trHeight w:val="223"/>
        </w:trPr>
        <w:tc>
          <w:tcPr>
            <w:tcW w:w="6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59,063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Equipment financing notes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11,338</w:t>
            </w:r>
          </w:p>
        </w:tc>
        <w:tc>
          <w:tcPr>
            <w:tcW w:w="100" w:type="dxa"/>
            <w:vAlign w:val="bottom"/>
            <w:shd w:val="clear" w:color="auto" w:fill="CFF0FC"/>
          </w:tcPr>
          <w:p>
            <w:pPr>
              <w:spacing w:after="0"/>
              <w:rPr>
                <w:sz w:val="19"/>
                <w:szCs w:val="19"/>
                <w:color w:val="auto"/>
              </w:rPr>
            </w:pPr>
          </w:p>
        </w:tc>
      </w:tr>
      <w:tr>
        <w:trPr>
          <w:trHeight w:val="224"/>
        </w:trPr>
        <w:tc>
          <w:tcPr>
            <w:tcW w:w="69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70,634</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70,287</w:t>
            </w:r>
          </w:p>
        </w:tc>
        <w:tc>
          <w:tcPr>
            <w:tcW w:w="100" w:type="dxa"/>
            <w:vAlign w:val="bottom"/>
          </w:tcPr>
          <w:p>
            <w:pPr>
              <w:spacing w:after="0"/>
              <w:rPr>
                <w:sz w:val="19"/>
                <w:szCs w:val="1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credit facility with Bank of America, N.A., effective October 29, 2014 (our “Credit Facility”) provided for a maximum committed borrowing of $125.0 million, which, pursuant to an accordion feature, could be increased to $175.0 million upon our request and the agreement of the lender(s) participating in the increase. The Credit Facility included a sublimit of $20.0 million for commercial and standby letters of credit and a sublimit of up to $15.0 million for swingline loans. Borrowings made pursuant to the Credit Facility bore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6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had outstanding borrowings of $59.1 million under the Credit Facility at May 5, 2018. At May 5, 2018, outstanding standby letters of credit were $3.6 million and outstanding documentary letters of credit were $1.5 million. The average monthly borrowing outstanding under the Credit Facility during the first three months ended May 5, 2018 was approximately $60.8 million, resulting in an average unused excess availability of approximately $30.4 million. Unused excess availability at May 5, 2018 was $32.7 million.</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discussed above, subsequent to the end of the first quarter of fiscal 2018, we amended this Credit Facility. The New Credit Facility with Bank of America, N.A. will extend the maturity date from October 29, 2019 to May 24, 2023. In addition, as a result of adding a FILO facility for $15.0 million to the New Credit Facility, we were able to repay in full, without penalty our existing Term Loan. The interest rates under the New Credit Facility for the Revolver decreased by 25 basis points and interest rates under the FILO facility are 350-450 basis points less than the existing Term Loan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had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were secured by a security interest in all of our rights, title and interest in and to certain equipment. The Notes accrued interest at fixed rates ranging from 3.07% to 3.50%. Subsequent to the end of first quarter of fiscal 2018, the Company repaid in full the remaining balance on these Notes of $71,000, without penalty.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Due 2019</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Through the end of the first quarter of fiscal 2018, we had a $15.0 million senior secured term loan facility with Wells Fargo Bank, National Association as administrative and collateral agent (the “Term Loan Facility”). The interest rate on the Term Loan Facility was equal to the greater of (a) 1.00% and (b) the one month LIBOR rate, plus 6.50%. Interest payments were payable on the first business day of each calendar month. The Term Loan Facility, with a maturity date of October 29, 2019, was repaid in full, without penalty, subsequent to the end of the first quarter of fiscal 2018 in connection with the New Credit Facility.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May 5, 2018 and April 29, 2017, respectively: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ind w:left="900"/>
              <w:spacing w:after="0"/>
              <w:rPr>
                <w:sz w:val="20"/>
                <w:szCs w:val="20"/>
                <w:color w:val="auto"/>
              </w:rPr>
            </w:pPr>
            <w:r>
              <w:rPr>
                <w:rFonts w:ascii="Arial" w:cs="Arial" w:eastAsia="Arial" w:hAnsi="Arial"/>
                <w:sz w:val="14"/>
                <w:szCs w:val="14"/>
                <w:color w:val="auto"/>
                <w:w w:val="98"/>
              </w:rPr>
              <w:t>May 5, 2018</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ind w:left="860"/>
              <w:spacing w:after="0"/>
              <w:rPr>
                <w:sz w:val="20"/>
                <w:szCs w:val="20"/>
                <w:color w:val="auto"/>
              </w:rPr>
            </w:pPr>
            <w:r>
              <w:rPr>
                <w:rFonts w:ascii="Arial" w:cs="Arial" w:eastAsia="Arial" w:hAnsi="Arial"/>
                <w:sz w:val="14"/>
                <w:szCs w:val="14"/>
                <w:color w:val="auto"/>
                <w:w w:val="97"/>
              </w:rPr>
              <w:t>April 29, 2017</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97"/>
              </w:rPr>
              <w:t>Number of</w:t>
            </w: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8"/>
              </w:rPr>
              <w:t>Square</w:t>
            </w:r>
          </w:p>
        </w:tc>
        <w:tc>
          <w:tcPr>
            <w:tcW w:w="172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97"/>
              </w:rPr>
              <w:t>Number of</w:t>
            </w: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8"/>
              </w:rPr>
              <w:t>Square</w:t>
            </w:r>
          </w:p>
        </w:tc>
        <w:tc>
          <w:tcPr>
            <w:tcW w:w="0" w:type="dxa"/>
            <w:vAlign w:val="bottom"/>
          </w:tcPr>
          <w:p>
            <w:pPr>
              <w:spacing w:after="0"/>
              <w:rPr>
                <w:sz w:val="1"/>
                <w:szCs w:val="1"/>
                <w:color w:val="auto"/>
              </w:rPr>
            </w:pPr>
          </w:p>
        </w:tc>
      </w:tr>
      <w:tr>
        <w:trPr>
          <w:trHeight w:val="167"/>
        </w:trPr>
        <w:tc>
          <w:tcPr>
            <w:tcW w:w="5960" w:type="dxa"/>
            <w:vAlign w:val="bottom"/>
            <w:gridSpan w:val="3"/>
          </w:tcPr>
          <w:p>
            <w:pPr>
              <w:spacing w:after="0"/>
              <w:rPr>
                <w:sz w:val="20"/>
                <w:szCs w:val="20"/>
                <w:color w:val="auto"/>
              </w:rPr>
            </w:pPr>
            <w:r>
              <w:rPr>
                <w:rFonts w:ascii="Arial" w:cs="Arial" w:eastAsia="Arial" w:hAnsi="Arial"/>
                <w:sz w:val="14"/>
                <w:szCs w:val="14"/>
                <w:color w:val="auto"/>
              </w:rPr>
              <w:t>Store Concept</w:t>
            </w:r>
          </w:p>
        </w:tc>
        <w:tc>
          <w:tcPr>
            <w:tcW w:w="1680" w:type="dxa"/>
            <w:vAlign w:val="bottom"/>
            <w:gridSpan w:val="3"/>
          </w:tcPr>
          <w:p>
            <w:pPr>
              <w:jc w:val="center"/>
              <w:ind w:right="560"/>
              <w:spacing w:after="0"/>
              <w:rPr>
                <w:sz w:val="20"/>
                <w:szCs w:val="20"/>
                <w:color w:val="auto"/>
              </w:rPr>
            </w:pPr>
            <w:r>
              <w:rPr>
                <w:rFonts w:ascii="Arial" w:cs="Arial" w:eastAsia="Arial" w:hAnsi="Arial"/>
                <w:sz w:val="14"/>
                <w:szCs w:val="14"/>
                <w:color w:val="auto"/>
                <w:w w:val="88"/>
              </w:rPr>
              <w:t>Stores</w:t>
            </w: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color w:val="auto"/>
                <w:w w:val="89"/>
              </w:rPr>
              <w:t>Footage</w:t>
            </w:r>
          </w:p>
        </w:tc>
        <w:tc>
          <w:tcPr>
            <w:tcW w:w="1720" w:type="dxa"/>
            <w:vAlign w:val="bottom"/>
            <w:gridSpan w:val="3"/>
          </w:tcPr>
          <w:p>
            <w:pPr>
              <w:jc w:val="center"/>
              <w:ind w:right="560"/>
              <w:spacing w:after="0"/>
              <w:rPr>
                <w:sz w:val="20"/>
                <w:szCs w:val="20"/>
                <w:color w:val="auto"/>
              </w:rPr>
            </w:pPr>
            <w:r>
              <w:rPr>
                <w:rFonts w:ascii="Arial" w:cs="Arial" w:eastAsia="Arial" w:hAnsi="Arial"/>
                <w:sz w:val="14"/>
                <w:szCs w:val="14"/>
                <w:color w:val="auto"/>
                <w:w w:val="88"/>
              </w:rPr>
              <w:t>Stores</w:t>
            </w:r>
          </w:p>
        </w:tc>
        <w:tc>
          <w:tcPr>
            <w:tcW w:w="96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Footage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60" w:type="dxa"/>
            <w:vAlign w:val="bottom"/>
            <w:gridSpan w:val="3"/>
          </w:tcPr>
          <w:p>
            <w:pPr>
              <w:spacing w:after="0"/>
              <w:rPr>
                <w:sz w:val="20"/>
                <w:szCs w:val="20"/>
                <w:color w:val="auto"/>
              </w:rPr>
            </w:pPr>
            <w:r>
              <w:rPr>
                <w:rFonts w:ascii="Arial" w:cs="Arial" w:eastAsia="Arial" w:hAnsi="Arial"/>
                <w:sz w:val="14"/>
                <w:szCs w:val="14"/>
                <w:i w:val="1"/>
                <w:iCs w:val="1"/>
                <w:color w:val="auto"/>
              </w:rPr>
              <w:t>(square footage in thousands)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Casual Male Outlets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60" w:type="dxa"/>
            <w:vAlign w:val="bottom"/>
            <w:gridSpan w:val="3"/>
          </w:tcPr>
          <w:p>
            <w:pPr>
              <w:spacing w:after="0"/>
              <w:rPr>
                <w:sz w:val="20"/>
                <w:szCs w:val="20"/>
                <w:color w:val="auto"/>
              </w:rPr>
            </w:pPr>
            <w:r>
              <w:rPr>
                <w:rFonts w:ascii="Arial" w:cs="Arial" w:eastAsia="Arial" w:hAnsi="Arial"/>
                <w:sz w:val="18"/>
                <w:szCs w:val="18"/>
                <w:color w:val="auto"/>
              </w:rPr>
              <w:t>Total Stores</w:t>
            </w: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from February 3, 2018 to May 5,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Casual Male</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Casual Male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Rochester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800" w:type="dxa"/>
            <w:vAlign w:val="bottom"/>
            <w:gridSpan w:val="2"/>
          </w:tcPr>
          <w:p>
            <w:pPr>
              <w:spacing w:after="0"/>
              <w:rPr>
                <w:sz w:val="20"/>
                <w:szCs w:val="20"/>
                <w:color w:val="auto"/>
              </w:rPr>
            </w:pPr>
            <w:r>
              <w:rPr>
                <w:rFonts w:ascii="Arial" w:cs="Arial" w:eastAsia="Arial" w:hAnsi="Arial"/>
                <w:sz w:val="14"/>
                <w:szCs w:val="14"/>
                <w:color w:val="auto"/>
              </w:rPr>
              <w:t>Number of Stores:</w:t>
            </w:r>
          </w:p>
        </w:tc>
        <w:tc>
          <w:tcPr>
            <w:tcW w:w="1100" w:type="dxa"/>
            <w:vAlign w:val="bottom"/>
            <w:gridSpan w:val="2"/>
          </w:tcPr>
          <w:p>
            <w:pPr>
              <w:ind w:left="300"/>
              <w:spacing w:after="0"/>
              <w:rPr>
                <w:sz w:val="20"/>
                <w:szCs w:val="20"/>
                <w:color w:val="auto"/>
              </w:rPr>
            </w:pPr>
            <w:r>
              <w:rPr>
                <w:rFonts w:ascii="Arial" w:cs="Arial" w:eastAsia="Arial" w:hAnsi="Arial"/>
                <w:sz w:val="14"/>
                <w:szCs w:val="14"/>
                <w:color w:val="auto"/>
              </w:rPr>
              <w:t>DXL</w:t>
            </w: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DXL Outlets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XL Retail</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XL Outlets</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Clothing</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Total Stores</w:t>
            </w:r>
          </w:p>
        </w:tc>
      </w:tr>
      <w:tr>
        <w:trPr>
          <w:trHeight w:val="223"/>
        </w:trPr>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February 3, 2018</w:t>
            </w: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50"/>
        </w:trPr>
        <w:tc>
          <w:tcPr>
            <w:tcW w:w="4800" w:type="dxa"/>
            <w:vAlign w:val="bottom"/>
            <w:gridSpan w:val="2"/>
          </w:tcPr>
          <w:p>
            <w:pPr>
              <w:ind w:left="26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36"/>
        </w:trPr>
        <w:tc>
          <w:tcPr>
            <w:tcW w:w="4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50"/>
        </w:trPr>
        <w:tc>
          <w:tcPr>
            <w:tcW w:w="4800" w:type="dxa"/>
            <w:vAlign w:val="bottom"/>
            <w:gridSpan w:val="2"/>
          </w:tcPr>
          <w:p>
            <w:pPr>
              <w:ind w:left="26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4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At May 5, 2018</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top w:val="single" w:sz="8" w:color="CFF0FC"/>
            </w:tcBorders>
            <w:shd w:val="clear" w:color="auto" w:fill="CFF0FC"/>
          </w:tcPr>
          <w:p>
            <w:pPr>
              <w:spacing w:after="0"/>
              <w:rPr>
                <w:sz w:val="19"/>
                <w:szCs w:val="19"/>
                <w:color w:val="auto"/>
              </w:rPr>
            </w:pPr>
          </w:p>
        </w:tc>
      </w:tr>
    </w:tbl>
    <w:p>
      <w:pPr>
        <w:ind w:left="520" w:hanging="512"/>
        <w:spacing w:after="0" w:line="233" w:lineRule="auto"/>
        <w:tabs>
          <w:tab w:leader="none" w:pos="5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Represents stores opened in new markets.</w:t>
      </w:r>
    </w:p>
    <w:p>
      <w:pPr>
        <w:spacing w:after="0" w:line="2" w:lineRule="exact"/>
        <w:rPr>
          <w:rFonts w:ascii="Arial" w:cs="Arial" w:eastAsia="Arial" w:hAnsi="Arial"/>
          <w:sz w:val="29"/>
          <w:szCs w:val="29"/>
          <w:color w:val="auto"/>
          <w:vertAlign w:val="superscript"/>
        </w:rPr>
      </w:pPr>
    </w:p>
    <w:p>
      <w:pPr>
        <w:ind w:left="520" w:right="200" w:hanging="512"/>
        <w:spacing w:after="0" w:line="199" w:lineRule="auto"/>
        <w:tabs>
          <w:tab w:leader="none" w:pos="52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Represents the total number of DXL stores opened in existing markets with the corresponding total number of Casual Male XL stores closed in such markets in connection with those DXL store openings. Also includes Casual Male XL stores that were remodeled to a DXL store.</w:t>
      </w:r>
    </w:p>
    <w:p>
      <w:pPr>
        <w:spacing w:after="0" w:line="1" w:lineRule="exact"/>
        <w:rPr>
          <w:rFonts w:ascii="Arial" w:cs="Arial" w:eastAsia="Arial" w:hAnsi="Arial"/>
          <w:sz w:val="28"/>
          <w:szCs w:val="28"/>
          <w:color w:val="auto"/>
          <w:vertAlign w:val="superscript"/>
        </w:rPr>
      </w:pPr>
    </w:p>
    <w:p>
      <w:pPr>
        <w:ind w:left="520" w:hanging="512"/>
        <w:spacing w:after="0" w:line="180" w:lineRule="auto"/>
        <w:tabs>
          <w:tab w:leader="none" w:pos="52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Represents closed stores for which there were no corresponding openings of a DXL store in the same market.</w:t>
      </w:r>
    </w:p>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capital expenditures for the first three months of fiscal 2018 were $3.3 million as compared to $6.9 million for the first three months of fiscal 2017. We have opened 4 DXL retail stores and 1 DXL outlet during the first three months of fiscal 2018 as compared to 10 DXL retail stores and 1 DXL outlets for the first three months of fiscal 2017.</w:t>
      </w:r>
    </w:p>
    <w:p>
      <w:pPr>
        <w:spacing w:after="0" w:line="181"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For fiscal 2018, our capital expenditures are expected to be approximately $11.4 million and we expect to receive approximately $1.1 million in tenant allowances to offset these expenditures. Our budget includes approximately $2.1 million, excluding any allowance, related to the opening of 2 new DXL retail stores, the remodeling of 2 Casual Male XL to DXL retail stores and 1 DXL outlet store, and approximately $9.3 million for continued information technology projects and general overhead projects. In addition, we expect to close approximately 7 Casual Male XL stores and 4 Casual Male XL outlet stores (two of which will close in connection with the opening of two DXL stores).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There have been no material changes to the critical accounting policies and estimates disclosed in our Fiscal 2017 Annual Report. See Note 1 to the Consolidated Financial Statements included in this report for information on recent accounting pronouncements and changes in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Adjusted net loss, adjusted net loss per diluted share, free cash flow, EBITDA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Arial" w:cs="Arial" w:eastAsia="Arial" w:hAnsi="Arial"/>
          <w:sz w:val="18"/>
          <w:szCs w:val="18"/>
          <w:i w:val="1"/>
          <w:iCs w:val="1"/>
          <w:color w:val="auto"/>
        </w:rPr>
        <w:t>(certain columns may not foot due to</w:t>
      </w:r>
      <w:r>
        <w:rPr>
          <w:rFonts w:ascii="Arial" w:cs="Arial" w:eastAsia="Arial" w:hAnsi="Arial"/>
          <w:sz w:val="18"/>
          <w:szCs w:val="18"/>
          <w:color w:val="auto"/>
        </w:rPr>
        <w:t xml:space="preserve"> </w:t>
      </w:r>
      <w:r>
        <w:rPr>
          <w:rFonts w:ascii="Arial" w:cs="Arial" w:eastAsia="Arial" w:hAnsi="Arial"/>
          <w:sz w:val="18"/>
          <w:szCs w:val="18"/>
          <w:i w:val="1"/>
          <w:iCs w:val="1"/>
          <w:color w:val="auto"/>
        </w:rPr>
        <w:t>rounding)</w:t>
      </w:r>
      <w:r>
        <w:rPr>
          <w:rFonts w:ascii="Arial" w:cs="Arial" w:eastAsia="Arial" w:hAnsi="Arial"/>
          <w:sz w:val="18"/>
          <w:szCs w:val="18"/>
          <w:color w:val="auto"/>
        </w:rPr>
        <w:t>:</w:t>
      </w:r>
    </w:p>
    <w:p>
      <w:pPr>
        <w:spacing w:after="0" w:line="19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u w:val="single" w:color="auto"/>
          <w:color w:val="auto"/>
        </w:rPr>
        <w:t>Adjusted net loss and adjusted net loss per diluted share</w:t>
      </w:r>
      <w:r>
        <w:rPr>
          <w:rFonts w:ascii="Arial" w:cs="Arial" w:eastAsia="Arial" w:hAnsi="Arial"/>
          <w:sz w:val="17"/>
          <w:szCs w:val="17"/>
          <w:color w:val="auto"/>
        </w:rPr>
        <w:t>. The above discussion includes an adjusted net loss for the first three months of fiscal 2018 and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2017 on a non-GAAP basis, which reflected an adjustment assuming a normal tax rate of 26%. We have fully reserved against our deferred tax assets and, therefore, net loss is not reflective of earnings assuming a “normal” tax position. Adjusted net income (loss) provides investors with a useful indication of the financial performance of the business, on a comparative basis, assuming a normalized effective tax rate of 26%.</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is a reconciliation of the net loss to adjusted net loss, assuming a normal tax rate of 26% for the first three months of fiscal 2018 and fiscal 2017: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0" w:type="dxa"/>
            <w:vAlign w:val="bottom"/>
            <w:gridSpan w:val="5"/>
          </w:tcPr>
          <w:p>
            <w:pPr>
              <w:jc w:val="right"/>
              <w:ind w:right="1200"/>
              <w:spacing w:after="0"/>
              <w:rPr>
                <w:sz w:val="20"/>
                <w:szCs w:val="20"/>
                <w:color w:val="auto"/>
              </w:rPr>
            </w:pPr>
            <w:r>
              <w:rPr>
                <w:rFonts w:ascii="Arial" w:cs="Arial" w:eastAsia="Arial" w:hAnsi="Arial"/>
                <w:sz w:val="14"/>
                <w:szCs w:val="14"/>
                <w:color w:val="auto"/>
              </w:rPr>
              <w:t>May 5, 2018</w:t>
            </w:r>
          </w:p>
        </w:tc>
        <w:tc>
          <w:tcPr>
            <w:tcW w:w="640" w:type="dxa"/>
            <w:vAlign w:val="bottom"/>
          </w:tcPr>
          <w:p>
            <w:pPr>
              <w:spacing w:after="0"/>
              <w:rPr>
                <w:sz w:val="14"/>
                <w:szCs w:val="14"/>
                <w:color w:val="auto"/>
              </w:rPr>
            </w:pPr>
          </w:p>
        </w:tc>
        <w:tc>
          <w:tcPr>
            <w:tcW w:w="1900" w:type="dxa"/>
            <w:vAlign w:val="bottom"/>
            <w:gridSpan w:val="5"/>
          </w:tcPr>
          <w:p>
            <w:pPr>
              <w:jc w:val="right"/>
              <w:ind w:right="920"/>
              <w:spacing w:after="0"/>
              <w:rPr>
                <w:sz w:val="20"/>
                <w:szCs w:val="20"/>
                <w:color w:val="auto"/>
              </w:rPr>
            </w:pPr>
            <w:r>
              <w:rPr>
                <w:rFonts w:ascii="Arial" w:cs="Arial" w:eastAsia="Arial" w:hAnsi="Arial"/>
                <w:sz w:val="14"/>
                <w:szCs w:val="14"/>
                <w:color w:val="auto"/>
              </w:rPr>
              <w:t>April 29, 2017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88"/>
              <w:spacing w:after="0" w:line="137" w:lineRule="exact"/>
              <w:rPr>
                <w:sz w:val="20"/>
                <w:szCs w:val="20"/>
                <w:color w:val="auto"/>
              </w:rPr>
            </w:pPr>
            <w:r>
              <w:rPr>
                <w:rFonts w:ascii="Arial" w:cs="Arial" w:eastAsia="Arial" w:hAnsi="Arial"/>
                <w:sz w:val="14"/>
                <w:szCs w:val="14"/>
                <w:color w:val="auto"/>
              </w:rPr>
              <w:t>Per diluted</w:t>
            </w:r>
          </w:p>
        </w:tc>
        <w:tc>
          <w:tcPr>
            <w:tcW w:w="3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48"/>
              <w:spacing w:after="0" w:line="137" w:lineRule="exact"/>
              <w:rPr>
                <w:sz w:val="20"/>
                <w:szCs w:val="20"/>
                <w:color w:val="auto"/>
              </w:rPr>
            </w:pPr>
            <w:r>
              <w:rPr>
                <w:rFonts w:ascii="Arial" w:cs="Arial" w:eastAsia="Arial" w:hAnsi="Arial"/>
                <w:sz w:val="14"/>
                <w:szCs w:val="14"/>
                <w:color w:val="auto"/>
                <w:w w:val="98"/>
              </w:rPr>
              <w:t>Per diluted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0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4"/>
                <w:szCs w:val="14"/>
                <w:color w:val="auto"/>
              </w:rPr>
              <w:t>share</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42"/>
        </w:trPr>
        <w:tc>
          <w:tcPr>
            <w:tcW w:w="6080" w:type="dxa"/>
            <w:vAlign w:val="bottom"/>
            <w:gridSpan w:val="3"/>
            <w:vMerge w:val="continue"/>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394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280"/>
              <w:spacing w:after="0" w:line="155" w:lineRule="exact"/>
              <w:rPr>
                <w:sz w:val="20"/>
                <w:szCs w:val="20"/>
                <w:color w:val="auto"/>
              </w:rPr>
            </w:pPr>
            <w:r>
              <w:rPr>
                <w:rFonts w:ascii="Arial" w:cs="Arial" w:eastAsia="Arial" w:hAnsi="Arial"/>
                <w:sz w:val="14"/>
                <w:szCs w:val="14"/>
                <w:color w:val="auto"/>
              </w:rPr>
              <w:t>(3,110)</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280"/>
              <w:spacing w:after="0" w:line="155" w:lineRule="exact"/>
              <w:rPr>
                <w:sz w:val="20"/>
                <w:szCs w:val="20"/>
                <w:color w:val="auto"/>
              </w:rPr>
            </w:pPr>
            <w:r>
              <w:rPr>
                <w:rFonts w:ascii="Arial" w:cs="Arial" w:eastAsia="Arial" w:hAnsi="Arial"/>
                <w:sz w:val="14"/>
                <w:szCs w:val="14"/>
                <w:color w:val="auto"/>
              </w:rPr>
              <w:t>(0.06)</w:t>
            </w:r>
          </w:p>
        </w:tc>
        <w:tc>
          <w:tcPr>
            <w:tcW w:w="640" w:type="dxa"/>
            <w:vAlign w:val="bottom"/>
            <w:shd w:val="clear" w:color="auto" w:fill="CFF0FC"/>
          </w:tcPr>
          <w:p>
            <w:pPr>
              <w:jc w:val="right"/>
              <w:ind w:right="48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FF0FC"/>
          </w:tcPr>
          <w:p>
            <w:pPr>
              <w:jc w:val="right"/>
              <w:ind w:right="280"/>
              <w:spacing w:after="0" w:line="155" w:lineRule="exact"/>
              <w:rPr>
                <w:sz w:val="20"/>
                <w:szCs w:val="20"/>
                <w:color w:val="auto"/>
              </w:rPr>
            </w:pPr>
            <w:r>
              <w:rPr>
                <w:rFonts w:ascii="Arial" w:cs="Arial" w:eastAsia="Arial" w:hAnsi="Arial"/>
                <w:sz w:val="14"/>
                <w:szCs w:val="14"/>
                <w:color w:val="auto"/>
                <w:w w:val="99"/>
              </w:rPr>
              <w:t>(6,065)</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Adjust:</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 (benefit)</w:t>
            </w:r>
          </w:p>
        </w:tc>
        <w:tc>
          <w:tcPr>
            <w:tcW w:w="6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Add income tax benefit, assuming a normal tax rate of 26%</w:t>
            </w:r>
          </w:p>
        </w:tc>
        <w:tc>
          <w:tcPr>
            <w:tcW w:w="6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809</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1,569</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394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gridSpan w:val="3"/>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600" w:type="dxa"/>
            <w:vAlign w:val="bottom"/>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4"/>
              </w:rPr>
              <w:t>(2,303)</w:t>
            </w:r>
          </w:p>
        </w:tc>
        <w:tc>
          <w:tcPr>
            <w:tcW w:w="32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(0.05)</w:t>
            </w:r>
          </w:p>
        </w:tc>
        <w:tc>
          <w:tcPr>
            <w:tcW w:w="320" w:type="dxa"/>
            <w:vAlign w:val="bottom"/>
          </w:tcPr>
          <w:p>
            <w:pPr>
              <w:spacing w:after="0"/>
              <w:rPr>
                <w:sz w:val="13"/>
                <w:szCs w:val="13"/>
                <w:color w:val="auto"/>
              </w:rPr>
            </w:pPr>
          </w:p>
        </w:tc>
        <w:tc>
          <w:tcPr>
            <w:tcW w:w="640" w:type="dxa"/>
            <w:vAlign w:val="bottom"/>
          </w:tcPr>
          <w:p>
            <w:pPr>
              <w:jc w:val="right"/>
              <w:ind w:right="48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0"/>
              </w:rPr>
              <w:t>(4,467)</w:t>
            </w:r>
          </w:p>
        </w:tc>
        <w:tc>
          <w:tcPr>
            <w:tcW w:w="32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39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Weighted average number of common shares</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outstanding on a diluted basis</w:t>
            </w:r>
          </w:p>
        </w:tc>
        <w:tc>
          <w:tcPr>
            <w:tcW w:w="6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48,791</w:t>
            </w: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49,735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u w:val="single" w:color="auto"/>
          <w:color w:val="auto"/>
        </w:rPr>
        <w:t>Free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We define free cash flow as cash flow from operating activities less capital expenditures. Free cash flow excludes the mandatory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repayment of debt. Free cash flow is a metric that management uses to monitor liquidity. We expect to fund our ongoing capital expenditures with cash flow from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gridSpan w:val="4"/>
          </w:tcPr>
          <w:p>
            <w:pPr>
              <w:ind w:left="1160"/>
              <w:spacing w:after="0"/>
              <w:rPr>
                <w:sz w:val="20"/>
                <w:szCs w:val="20"/>
                <w:color w:val="auto"/>
              </w:rPr>
            </w:pPr>
            <w:r>
              <w:rPr>
                <w:rFonts w:ascii="Arial" w:cs="Arial" w:eastAsia="Arial" w:hAnsi="Arial"/>
                <w:sz w:val="14"/>
                <w:szCs w:val="14"/>
                <w:color w:val="auto"/>
                <w:w w:val="91"/>
              </w:rPr>
              <w:t>For the three months ended</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4"/>
                <w:szCs w:val="14"/>
                <w:color w:val="auto"/>
              </w:rPr>
            </w:pPr>
          </w:p>
        </w:tc>
        <w:tc>
          <w:tcPr>
            <w:tcW w:w="2140" w:type="dxa"/>
            <w:vAlign w:val="bottom"/>
            <w:gridSpan w:val="2"/>
          </w:tcPr>
          <w:p>
            <w:pPr>
              <w:ind w:left="320"/>
              <w:spacing w:after="0"/>
              <w:rPr>
                <w:sz w:val="20"/>
                <w:szCs w:val="20"/>
                <w:color w:val="auto"/>
              </w:rPr>
            </w:pPr>
            <w:r>
              <w:rPr>
                <w:rFonts w:ascii="Arial" w:cs="Arial" w:eastAsia="Arial" w:hAnsi="Arial"/>
                <w:sz w:val="14"/>
                <w:szCs w:val="14"/>
                <w:color w:val="auto"/>
              </w:rPr>
              <w:t>May 5, 2018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color w:val="auto"/>
                <w:w w:val="97"/>
              </w:rPr>
              <w:t>April 29, 2017</w:t>
            </w: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8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tcBorders>
            <w:shd w:val="clear" w:color="auto" w:fill="CFF0FC"/>
          </w:tcPr>
          <w:p>
            <w:pPr>
              <w:ind w:left="1540"/>
              <w:spacing w:after="0" w:line="155" w:lineRule="exact"/>
              <w:rPr>
                <w:sz w:val="20"/>
                <w:szCs w:val="20"/>
                <w:color w:val="auto"/>
              </w:rPr>
            </w:pPr>
            <w:r>
              <w:rPr>
                <w:rFonts w:ascii="Arial" w:cs="Arial" w:eastAsia="Arial" w:hAnsi="Arial"/>
                <w:sz w:val="14"/>
                <w:szCs w:val="14"/>
                <w:color w:val="auto"/>
                <w:w w:val="76"/>
              </w:rPr>
              <w:t>(5.8)</w:t>
            </w:r>
          </w:p>
        </w:tc>
        <w:tc>
          <w:tcPr>
            <w:tcW w:w="3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ind w:right="534"/>
              <w:spacing w:after="0"/>
              <w:rPr>
                <w:sz w:val="20"/>
                <w:szCs w:val="20"/>
                <w:color w:val="auto"/>
              </w:rPr>
            </w:pPr>
            <w:r>
              <w:rPr>
                <w:rFonts w:ascii="Arial" w:cs="Arial" w:eastAsia="Arial" w:hAnsi="Arial"/>
                <w:sz w:val="5"/>
                <w:szCs w:val="5"/>
                <w:color w:val="auto"/>
                <w:w w:val="70"/>
              </w:rPr>
              <w:t>$</w:t>
            </w: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80" w:type="dxa"/>
            <w:vAlign w:val="bottom"/>
          </w:tcPr>
          <w:p>
            <w:pPr>
              <w:spacing w:after="0"/>
              <w:rPr>
                <w:sz w:val="14"/>
                <w:szCs w:val="14"/>
                <w:color w:val="auto"/>
              </w:rPr>
            </w:pPr>
          </w:p>
        </w:tc>
        <w:tc>
          <w:tcPr>
            <w:tcW w:w="2140" w:type="dxa"/>
            <w:vAlign w:val="bottom"/>
            <w:gridSpan w:val="2"/>
          </w:tcPr>
          <w:p>
            <w:pPr>
              <w:ind w:left="1540"/>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80" w:type="dxa"/>
            <w:vAlign w:val="bottom"/>
            <w:shd w:val="clear" w:color="auto" w:fill="CFF0FC"/>
          </w:tcPr>
          <w:p>
            <w:pPr>
              <w:spacing w:after="0"/>
              <w:rPr>
                <w:sz w:val="14"/>
                <w:szCs w:val="14"/>
                <w:color w:val="auto"/>
              </w:rPr>
            </w:pPr>
          </w:p>
        </w:tc>
        <w:tc>
          <w:tcPr>
            <w:tcW w:w="2140" w:type="dxa"/>
            <w:vAlign w:val="bottom"/>
            <w:gridSpan w:val="2"/>
            <w:shd w:val="clear" w:color="auto" w:fill="CFF0FC"/>
          </w:tcPr>
          <w:p>
            <w:pPr>
              <w:ind w:left="1540"/>
              <w:spacing w:after="0"/>
              <w:rPr>
                <w:sz w:val="20"/>
                <w:szCs w:val="20"/>
                <w:color w:val="auto"/>
              </w:rPr>
            </w:pPr>
            <w:r>
              <w:rPr>
                <w:rFonts w:ascii="Arial" w:cs="Arial" w:eastAsia="Arial" w:hAnsi="Arial"/>
                <w:sz w:val="14"/>
                <w:szCs w:val="14"/>
                <w:color w:val="auto"/>
              </w:rPr>
              <w:t>(1.4)</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(5.8)</w:t>
            </w:r>
          </w:p>
        </w:tc>
      </w:tr>
      <w:tr>
        <w:trPr>
          <w:trHeight w:val="156"/>
        </w:trPr>
        <w:tc>
          <w:tcPr>
            <w:tcW w:w="6640" w:type="dxa"/>
            <w:vAlign w:val="bottom"/>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bottom w:val="single" w:sz="8" w:color="auto"/>
            </w:tcBorders>
          </w:tcPr>
          <w:p>
            <w:pPr>
              <w:ind w:left="1540"/>
              <w:spacing w:after="0" w:line="155" w:lineRule="exact"/>
              <w:rPr>
                <w:sz w:val="20"/>
                <w:szCs w:val="20"/>
                <w:color w:val="auto"/>
              </w:rPr>
            </w:pPr>
            <w:r>
              <w:rPr>
                <w:rFonts w:ascii="Arial" w:cs="Arial" w:eastAsia="Arial" w:hAnsi="Arial"/>
                <w:sz w:val="14"/>
                <w:szCs w:val="14"/>
                <w:color w:val="auto"/>
                <w:w w:val="76"/>
              </w:rPr>
              <w:t>(9.1)</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5"/>
                <w:szCs w:val="5"/>
                <w:color w:val="auto"/>
                <w:w w:val="70"/>
              </w:rPr>
              <w:t>$</w:t>
            </w:r>
          </w:p>
        </w:tc>
        <w:tc>
          <w:tcPr>
            <w:tcW w:w="1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1040" w:hanging="654"/>
        <w:spacing w:after="0"/>
        <w:tabs>
          <w:tab w:leader="none" w:pos="10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Cash flow from operating activities includes lease incentives received against our capital expenditures, which are deferred and amortized into earnings over the lease term.</w:t>
      </w:r>
    </w:p>
    <w:p>
      <w:pPr>
        <w:spacing w:after="0" w:line="22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u w:val="single" w:color="auto"/>
          <w:color w:val="auto"/>
        </w:rPr>
        <w:t>EBITDA and 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EBITDA is calculated as earnings before interest, taxes, depreciation and amortization. Adjusted EBITDA is calculated as</w:t>
      </w:r>
      <w:r>
        <w:rPr>
          <w:rFonts w:ascii="Arial" w:cs="Arial" w:eastAsia="Arial" w:hAnsi="Arial"/>
          <w:sz w:val="18"/>
          <w:szCs w:val="18"/>
          <w:i w:val="1"/>
          <w:iCs w:val="1"/>
          <w:color w:val="auto"/>
        </w:rPr>
        <w:t xml:space="preserve"> </w:t>
      </w:r>
      <w:r>
        <w:rPr>
          <w:rFonts w:ascii="Arial" w:cs="Arial" w:eastAsia="Arial" w:hAnsi="Arial"/>
          <w:sz w:val="18"/>
          <w:szCs w:val="18"/>
          <w:color w:val="auto"/>
        </w:rPr>
        <w:t>EBITDA before Restructuring charges and CEO transition costs. We believe that EBITDA and Adjusted EBITDA are useful to investors in evaluating our performance. With the significant capital investment we have made over the past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25" w:name="page26"/>
    <w:bookmarkEnd w:id="25"/>
    <w:p>
      <w:pPr>
        <w:ind w:right="280"/>
        <w:spacing w:after="0" w:line="277" w:lineRule="auto"/>
        <w:rPr>
          <w:sz w:val="20"/>
          <w:szCs w:val="20"/>
          <w:color w:val="auto"/>
        </w:rPr>
      </w:pPr>
      <w:r>
        <w:rPr>
          <w:rFonts w:ascii="Arial" w:cs="Arial" w:eastAsia="Arial" w:hAnsi="Arial"/>
          <w:sz w:val="18"/>
          <w:szCs w:val="18"/>
          <w:color w:val="auto"/>
        </w:rPr>
        <w:t>several years in connection with DXL store openings, we have increased levels of depreciation and interest, and therefore, management uses EBITDA as a key metric to measure profitability and economic productivity.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net income (loss) to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4"/>
                <w:szCs w:val="14"/>
                <w:color w:val="auto"/>
              </w:rPr>
              <w:t>May 5, 2018</w:t>
            </w: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w w:val="93"/>
              </w:rPr>
              <w:t>For the three months ended</w:t>
            </w:r>
          </w:p>
        </w:tc>
        <w:tc>
          <w:tcPr>
            <w:tcW w:w="1520" w:type="dxa"/>
            <w:vAlign w:val="bottom"/>
            <w:vMerge w:val="restart"/>
          </w:tcPr>
          <w:p>
            <w:pPr>
              <w:jc w:val="right"/>
              <w:ind w:right="608"/>
              <w:spacing w:after="0"/>
              <w:rPr>
                <w:sz w:val="20"/>
                <w:szCs w:val="20"/>
                <w:color w:val="auto"/>
              </w:rPr>
            </w:pPr>
            <w:r>
              <w:rPr>
                <w:rFonts w:ascii="Arial" w:cs="Arial" w:eastAsia="Arial" w:hAnsi="Arial"/>
                <w:sz w:val="14"/>
                <w:szCs w:val="14"/>
                <w:color w:val="auto"/>
                <w:w w:val="94"/>
              </w:rPr>
              <w:t>April 29, 2017</w:t>
            </w:r>
          </w:p>
        </w:tc>
        <w:tc>
          <w:tcPr>
            <w:tcW w:w="2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5800" w:type="dxa"/>
            <w:vAlign w:val="bottom"/>
          </w:tcPr>
          <w:p>
            <w:pPr>
              <w:spacing w:after="0"/>
              <w:rPr>
                <w:sz w:val="13"/>
                <w:szCs w:val="13"/>
                <w:color w:val="auto"/>
              </w:rPr>
            </w:pPr>
          </w:p>
        </w:tc>
        <w:tc>
          <w:tcPr>
            <w:tcW w:w="1460" w:type="dxa"/>
            <w:vAlign w:val="bottom"/>
            <w:vMerge w:val="restart"/>
          </w:tcPr>
          <w:p>
            <w:pPr>
              <w:jc w:val="right"/>
              <w:ind w:right="1342"/>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(3.1)</w:t>
            </w:r>
          </w:p>
        </w:tc>
        <w:tc>
          <w:tcPr>
            <w:tcW w:w="660" w:type="dxa"/>
            <w:vAlign w:val="bottom"/>
            <w:vMerge w:val="restart"/>
          </w:tcPr>
          <w:p>
            <w:pPr>
              <w:jc w:val="right"/>
              <w:ind w:right="549"/>
              <w:spacing w:after="0"/>
              <w:rPr>
                <w:sz w:val="20"/>
                <w:szCs w:val="20"/>
                <w:color w:val="auto"/>
              </w:rPr>
            </w:pPr>
            <w:r>
              <w:rPr>
                <w:rFonts w:ascii="Arial" w:cs="Arial" w:eastAsia="Arial" w:hAnsi="Arial"/>
                <w:sz w:val="10"/>
                <w:szCs w:val="10"/>
                <w:color w:val="auto"/>
                <w:w w:val="71"/>
              </w:rPr>
              <w:t>$</w:t>
            </w:r>
          </w:p>
        </w:tc>
        <w:tc>
          <w:tcPr>
            <w:tcW w:w="1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56"/>
        </w:trPr>
        <w:tc>
          <w:tcPr>
            <w:tcW w:w="6520" w:type="dxa"/>
            <w:vAlign w:val="bottom"/>
            <w:gridSpan w:val="2"/>
          </w:tcPr>
          <w:p>
            <w:pPr>
              <w:spacing w:after="0" w:line="155" w:lineRule="exact"/>
              <w:rPr>
                <w:sz w:val="20"/>
                <w:szCs w:val="20"/>
                <w:color w:val="auto"/>
              </w:rPr>
            </w:pPr>
            <w:r>
              <w:rPr>
                <w:rFonts w:ascii="Arial" w:cs="Arial" w:eastAsia="Arial" w:hAnsi="Arial"/>
                <w:sz w:val="14"/>
                <w:szCs w:val="14"/>
                <w:color w:val="auto"/>
              </w:rPr>
              <w:t>Net loss (GAAP basis)</w:t>
            </w:r>
          </w:p>
        </w:tc>
        <w:tc>
          <w:tcPr>
            <w:tcW w:w="146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4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4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1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3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2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EBITDA (non-GAAP basis)</w:t>
            </w:r>
          </w:p>
        </w:tc>
        <w:tc>
          <w:tcPr>
            <w:tcW w:w="1460" w:type="dxa"/>
            <w:vAlign w:val="bottom"/>
            <w:tcBorders>
              <w:bottom w:val="single" w:sz="8" w:color="auto"/>
            </w:tcBorders>
            <w:shd w:val="clear" w:color="auto" w:fill="CFF0FC"/>
          </w:tcPr>
          <w:p>
            <w:pPr>
              <w:jc w:val="right"/>
              <w:ind w:right="134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w:t>
            </w:r>
          </w:p>
        </w:tc>
        <w:tc>
          <w:tcPr>
            <w:tcW w:w="3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54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w:t>
            </w:r>
          </w:p>
        </w:tc>
        <w:tc>
          <w:tcPr>
            <w:tcW w:w="2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2018 Outlook - GAAP to Non-GAAP Reconciliations.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non-GAAP measures used in our Fiscal 2018 Outlook: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color w:val="auto"/>
                <w:w w:val="91"/>
              </w:rPr>
              <w:t>Projected</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9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Fiscal 2018</w:t>
            </w:r>
          </w:p>
        </w:tc>
        <w:tc>
          <w:tcPr>
            <w:tcW w:w="1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jc w:val="right"/>
              <w:ind w:right="62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456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$(13.2)-$(18.2)</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Restructuring charge and CEO transition costs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tcPr>
          <w:p>
            <w:pPr>
              <w:jc w:val="right"/>
              <w:spacing w:after="0"/>
              <w:rPr>
                <w:sz w:val="20"/>
                <w:szCs w:val="20"/>
                <w:color w:val="auto"/>
              </w:rPr>
            </w:pPr>
            <w:r>
              <w:rPr>
                <w:rFonts w:ascii="Arial" w:cs="Arial" w:eastAsia="Arial" w:hAnsi="Arial"/>
                <w:sz w:val="14"/>
                <w:szCs w:val="14"/>
                <w:color w:val="auto"/>
              </w:rPr>
              <w:t>0.1</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84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2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$20.0-$25.0</w:t>
            </w:r>
          </w:p>
        </w:tc>
        <w:tc>
          <w:tcPr>
            <w:tcW w:w="840" w:type="dxa"/>
            <w:vAlign w:val="bottom"/>
            <w:tcBorders>
              <w:bottom w:val="single" w:sz="8" w:color="CFF0FC"/>
            </w:tcBorders>
            <w:shd w:val="clear" w:color="auto" w:fill="CFF0FC"/>
          </w:tcPr>
          <w:p>
            <w:pPr>
              <w:spacing w:after="0"/>
              <w:rPr>
                <w:sz w:val="13"/>
                <w:szCs w:val="13"/>
                <w:color w:val="auto"/>
              </w:rPr>
            </w:pPr>
          </w:p>
        </w:tc>
        <w:tc>
          <w:tcPr>
            <w:tcW w:w="18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loss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$(13.2)-$(18.2)</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$(0.27)-$(0.37)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Add back restructuring charge and CEO transition costs</w:t>
            </w:r>
          </w:p>
        </w:tc>
        <w:tc>
          <w:tcPr>
            <w:tcW w:w="2120" w:type="dxa"/>
            <w:vAlign w:val="bottom"/>
          </w:tcPr>
          <w:p>
            <w:pPr>
              <w:jc w:val="right"/>
              <w:spacing w:after="0"/>
              <w:rPr>
                <w:sz w:val="20"/>
                <w:szCs w:val="20"/>
                <w:color w:val="auto"/>
              </w:rPr>
            </w:pPr>
            <w:r>
              <w:rPr>
                <w:rFonts w:ascii="Arial" w:cs="Arial" w:eastAsia="Arial" w:hAnsi="Arial"/>
                <w:sz w:val="14"/>
                <w:szCs w:val="14"/>
                <w:color w:val="auto"/>
              </w:rPr>
              <w:t>5.9</w:t>
            </w:r>
          </w:p>
        </w:tc>
        <w:tc>
          <w:tcPr>
            <w:tcW w:w="8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tax provision and record benefit assuming 26%</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2.0 - 3.2</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$0.04-$0.07</w:t>
            </w:r>
          </w:p>
        </w:tc>
        <w:tc>
          <w:tcPr>
            <w:tcW w:w="0" w:type="dxa"/>
            <w:vAlign w:val="bottom"/>
          </w:tcPr>
          <w:p>
            <w:pPr>
              <w:spacing w:after="0"/>
              <w:rPr>
                <w:sz w:val="1"/>
                <w:szCs w:val="1"/>
                <w:color w:val="auto"/>
              </w:rPr>
            </w:pPr>
          </w:p>
        </w:tc>
      </w:tr>
      <w:tr>
        <w:trPr>
          <w:trHeight w:val="196"/>
        </w:trPr>
        <w:tc>
          <w:tcPr>
            <w:tcW w:w="6580" w:type="dxa"/>
            <w:vAlign w:val="bottom"/>
            <w:gridSpan w:val="3"/>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 -$(9.1)</w:t>
            </w:r>
          </w:p>
        </w:tc>
        <w:tc>
          <w:tcPr>
            <w:tcW w:w="840" w:type="dxa"/>
            <w:vAlign w:val="bottom"/>
          </w:tcPr>
          <w:p>
            <w:pPr>
              <w:spacing w:after="0"/>
              <w:rPr>
                <w:sz w:val="17"/>
                <w:szCs w:val="17"/>
                <w:color w:val="auto"/>
              </w:rPr>
            </w:pPr>
          </w:p>
        </w:tc>
        <w:tc>
          <w:tcPr>
            <w:tcW w:w="1880" w:type="dxa"/>
            <w:vAlign w:val="bottom"/>
          </w:tcPr>
          <w:p>
            <w:pPr>
              <w:jc w:val="right"/>
              <w:spacing w:after="0" w:line="155" w:lineRule="exact"/>
              <w:rPr>
                <w:sz w:val="20"/>
                <w:szCs w:val="20"/>
                <w:color w:val="auto"/>
              </w:rPr>
            </w:pPr>
            <w:r>
              <w:rPr>
                <w:rFonts w:ascii="Arial" w:cs="Arial" w:eastAsia="Arial" w:hAnsi="Arial"/>
                <w:sz w:val="14"/>
                <w:szCs w:val="14"/>
                <w:color w:val="auto"/>
              </w:rPr>
              <w:t>$(0.11)-$(0.18)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56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49.1</w:t>
            </w:r>
          </w:p>
        </w:tc>
        <w:tc>
          <w:tcPr>
            <w:tcW w:w="840" w:type="dxa"/>
            <w:vAlign w:val="bottom"/>
            <w:tcBorders>
              <w:top w:val="single" w:sz="8" w:color="CFF0FC"/>
            </w:tcBorders>
            <w:shd w:val="clear" w:color="auto" w:fill="CFF0FC"/>
          </w:tcPr>
          <w:p>
            <w:pPr>
              <w:spacing w:after="0"/>
              <w:rPr>
                <w:sz w:val="12"/>
                <w:szCs w:val="12"/>
                <w:color w:val="auto"/>
              </w:rPr>
            </w:pPr>
          </w:p>
        </w:tc>
        <w:tc>
          <w:tcPr>
            <w:tcW w:w="18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$20.5 -$26.5</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2960" w:type="dxa"/>
            <w:vAlign w:val="bottom"/>
            <w:gridSpan w:val="2"/>
          </w:tcPr>
          <w:p>
            <w:pPr>
              <w:jc w:val="right"/>
              <w:ind w:right="728"/>
              <w:spacing w:after="0"/>
              <w:rPr>
                <w:sz w:val="20"/>
                <w:szCs w:val="20"/>
                <w:color w:val="auto"/>
              </w:rPr>
            </w:pPr>
            <w:r>
              <w:rPr>
                <w:rFonts w:ascii="Arial" w:cs="Arial" w:eastAsia="Arial" w:hAnsi="Arial"/>
                <w:sz w:val="14"/>
                <w:szCs w:val="14"/>
                <w:color w:val="auto"/>
              </w:rPr>
              <w:t>(9.3)</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2960" w:type="dxa"/>
            <w:vAlign w:val="bottom"/>
            <w:gridSpan w:val="2"/>
            <w:shd w:val="clear" w:color="auto" w:fill="CFF0FC"/>
          </w:tcPr>
          <w:p>
            <w:pPr>
              <w:jc w:val="right"/>
              <w:ind w:right="728"/>
              <w:spacing w:after="0"/>
              <w:rPr>
                <w:sz w:val="20"/>
                <w:szCs w:val="20"/>
                <w:color w:val="auto"/>
              </w:rPr>
            </w:pPr>
            <w:r>
              <w:rPr>
                <w:rFonts w:ascii="Arial" w:cs="Arial" w:eastAsia="Arial" w:hAnsi="Arial"/>
                <w:sz w:val="14"/>
                <w:szCs w:val="14"/>
                <w:color w:val="auto"/>
              </w:rPr>
              <w:t>(2.1)</w:t>
            </w: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Free Cash Flow (non-GAAP basis)</w:t>
            </w:r>
          </w:p>
        </w:tc>
        <w:tc>
          <w:tcPr>
            <w:tcW w:w="2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$9.1-$15.1</w:t>
            </w: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May 5, 2018, the interest rate on our prime based borrowings was 5.25%. At May 5, 2018, approximately $56.0 million of our outstanding borrowings were in LIBOR contracts with an interest rate of 3.25%. At May 5, 2018, we also had $11.5 million outstanding under a term loan, which bears interest at a variable rate based on one-month LIBOR rates plus 6.5%.</w:t>
      </w:r>
    </w:p>
    <w:p>
      <w:pPr>
        <w:spacing w:after="0" w:line="8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Based upon a sensitivity analysis as of May 5, 2018, assuming average outstanding borrowing during the first three months of fiscal 2018 of $60.8 million under our Credit Facility and $11.5 million outstanding under our term loan, a 50 basis point increase in interest rates would have resulted in a potential increase in interest expense of approximately $360,000 on an annualized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Rochester Clothing store located in London, England conducts business in British pounds and our two DXL stores located in Ontario, Canada conduct business in Canadian dollars. As of May 5, 2018, sales from these stores were immaterial to consolidated sales. As such, we believe that movement in foreign currency exchange rates will not have a material adverse effect on our financial position or results of operations.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5, 2018.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5, 2018, our disclosure controls and procedures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May 5, 2018 that has materially affected, or is reasonably likely to materially affect, our internal control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have been no material changes to the risk factors as previously disclosed in Part I, Item 1A of our Fiscal 2017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2" w:lineRule="exact"/>
        <w:rPr>
          <w:sz w:val="20"/>
          <w:szCs w:val="20"/>
          <w:color w:val="auto"/>
        </w:rPr>
      </w:pPr>
    </w:p>
    <w:p>
      <w:pPr>
        <w:ind w:left="540" w:right="240" w:hanging="539"/>
        <w:spacing w:after="0" w:line="277" w:lineRule="auto"/>
        <w:tabs>
          <w:tab w:leader="none" w:pos="5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45">
        <w:r>
          <w:rPr>
            <w:rFonts w:ascii="Arial" w:cs="Arial" w:eastAsia="Arial" w:hAnsi="Arial"/>
            <w:sz w:val="18"/>
            <w:szCs w:val="18"/>
            <w:u w:val="single" w:color="auto"/>
            <w:color w:val="0000EE"/>
          </w:rPr>
          <w:t>Transition Agreement, dated as of March 20, 2018, between the Company and David A. Levin (Included as Exhibit 10.1 to the Company’s Current</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Report on Form 8-K filed on March 23, 2018, and incorporated herein by reference)</w:t>
        </w:r>
      </w:hyperlink>
    </w:p>
    <w:p>
      <w:pPr>
        <w:spacing w:after="0" w:line="170" w:lineRule="exact"/>
        <w:rPr>
          <w:sz w:val="20"/>
          <w:szCs w:val="20"/>
          <w:color w:val="auto"/>
        </w:rPr>
      </w:pPr>
    </w:p>
    <w:p>
      <w:pPr>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30">
        <w:r>
          <w:rPr>
            <w:rFonts w:ascii="Arial" w:cs="Arial" w:eastAsia="Arial" w:hAnsi="Arial"/>
            <w:sz w:val="16"/>
            <w:szCs w:val="16"/>
            <w:u w:val="single" w:color="auto"/>
            <w:color w:val="0000EE"/>
          </w:rPr>
          <w:t>Employment Agreement between Jim Davey and the Company dated March 14, 2018.</w:t>
        </w:r>
      </w:hyperlink>
    </w:p>
    <w:p>
      <w:pPr>
        <w:spacing w:after="0" w:line="225" w:lineRule="exact"/>
        <w:rPr>
          <w:sz w:val="20"/>
          <w:szCs w:val="20"/>
          <w:color w:val="auto"/>
        </w:rPr>
      </w:pPr>
    </w:p>
    <w:p>
      <w:pPr>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46">
        <w:r>
          <w:rPr>
            <w:rFonts w:ascii="Arial" w:cs="Arial" w:eastAsia="Arial" w:hAnsi="Arial"/>
            <w:sz w:val="16"/>
            <w:szCs w:val="16"/>
            <w:u w:val="single" w:color="auto"/>
            <w:color w:val="0000EE"/>
          </w:rPr>
          <w:t>Certification of the Chief Executive Officer of the Company pursuant to Rule 13a-14(a) under the Securities Exchange Act of 1934.</w:t>
        </w:r>
      </w:hyperlink>
    </w:p>
    <w:p>
      <w:pPr>
        <w:spacing w:after="0" w:line="131" w:lineRule="exact"/>
        <w:rPr>
          <w:sz w:val="20"/>
          <w:szCs w:val="20"/>
          <w:color w:val="auto"/>
        </w:rPr>
      </w:pPr>
    </w:p>
    <w:p>
      <w:pPr>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47">
        <w:r>
          <w:rPr>
            <w:rFonts w:ascii="Arial" w:cs="Arial" w:eastAsia="Arial" w:hAnsi="Arial"/>
            <w:sz w:val="16"/>
            <w:szCs w:val="16"/>
            <w:u w:val="single" w:color="auto"/>
            <w:color w:val="0000EE"/>
          </w:rPr>
          <w:t>Certification of the Chief Financial Officer of the Company pursuant to Rule 13a-14(a) under the Securities Exchange Act of 1934.</w:t>
        </w:r>
      </w:hyperlink>
    </w:p>
    <w:p>
      <w:pPr>
        <w:spacing w:after="0" w:line="131" w:lineRule="exact"/>
        <w:rPr>
          <w:sz w:val="20"/>
          <w:szCs w:val="20"/>
          <w:color w:val="auto"/>
        </w:rPr>
      </w:pPr>
    </w:p>
    <w:p>
      <w:pPr>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48">
        <w:r>
          <w:rPr>
            <w:rFonts w:ascii="Arial" w:cs="Arial" w:eastAsia="Arial" w:hAnsi="Arial"/>
            <w:sz w:val="16"/>
            <w:szCs w:val="16"/>
            <w:u w:val="single" w:color="auto"/>
            <w:color w:val="0000EE"/>
          </w:rPr>
          <w:t>Certification of Chief Executive Officer pursuant to 18 U.S.C. Section 1350, as adopted pursuant to Section 906 of the Sarbanes-Oxley Act of 2002.</w:t>
        </w:r>
      </w:hyperlink>
    </w:p>
    <w:p>
      <w:pPr>
        <w:spacing w:after="0" w:line="117" w:lineRule="exact"/>
        <w:rPr>
          <w:sz w:val="20"/>
          <w:szCs w:val="20"/>
          <w:color w:val="auto"/>
        </w:rPr>
      </w:pPr>
    </w:p>
    <w:p>
      <w:pPr>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49">
        <w:r>
          <w:rPr>
            <w:rFonts w:ascii="Arial" w:cs="Arial" w:eastAsia="Arial" w:hAnsi="Arial"/>
            <w:sz w:val="16"/>
            <w:szCs w:val="16"/>
            <w:u w:val="single" w:color="auto"/>
            <w:color w:val="0000EE"/>
          </w:rPr>
          <w:t>Certification of Chief Financial Officer pursuant to 18 U.S.C. Section 1350, as adopted pursuant to Section 906 of the Sarbanes-Oxley Act of 2002.</w:t>
        </w:r>
      </w:hyperlink>
    </w:p>
    <w:p>
      <w:pPr>
        <w:spacing w:after="0" w:line="131" w:lineRule="exact"/>
        <w:rPr>
          <w:sz w:val="20"/>
          <w:szCs w:val="20"/>
          <w:color w:val="auto"/>
        </w:rPr>
      </w:pPr>
    </w:p>
    <w:p>
      <w:pPr>
        <w:ind w:left="540" w:hanging="532"/>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May 5, 2018,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60" w:type="dxa"/>
            <w:vAlign w:val="bottom"/>
            <w:gridSpan w:val="2"/>
          </w:tcPr>
          <w:p>
            <w:pPr>
              <w:ind w:left="2520"/>
              <w:spacing w:after="0"/>
              <w:rPr>
                <w:sz w:val="20"/>
                <w:szCs w:val="20"/>
                <w:color w:val="auto"/>
              </w:rPr>
            </w:pPr>
            <w:r>
              <w:rPr>
                <w:rFonts w:ascii="Arial" w:cs="Arial" w:eastAsia="Arial" w:hAnsi="Arial"/>
                <w:sz w:val="18"/>
                <w:szCs w:val="18"/>
                <w:color w:val="auto"/>
              </w:rPr>
              <w:t>DESTINATION XL GROUP, INC.</w:t>
            </w: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Date: May 30, 2018</w:t>
            </w:r>
          </w:p>
        </w:tc>
        <w:tc>
          <w:tcPr>
            <w:tcW w:w="7460" w:type="dxa"/>
            <w:vAlign w:val="bottom"/>
            <w:gridSpan w:val="2"/>
          </w:tcPr>
          <w:p>
            <w:pPr>
              <w:ind w:left="2520"/>
              <w:spacing w:after="0"/>
              <w:rPr>
                <w:sz w:val="20"/>
                <w:szCs w:val="20"/>
                <w:color w:val="auto"/>
              </w:rPr>
            </w:pPr>
            <w:r>
              <w:rPr>
                <w:rFonts w:ascii="Arial" w:cs="Arial" w:eastAsia="Arial" w:hAnsi="Arial"/>
                <w:sz w:val="18"/>
                <w:szCs w:val="18"/>
                <w:color w:val="auto"/>
              </w:rPr>
              <w:t>By:  /S/ John F. Cooney</w:t>
            </w:r>
          </w:p>
        </w:tc>
      </w:tr>
      <w:tr>
        <w:trPr>
          <w:trHeight w:val="195"/>
        </w:trPr>
        <w:tc>
          <w:tcPr>
            <w:tcW w:w="3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F. Cooney</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Vice President, Managing Director, Chief Accounting Officer</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and Corporate Controller (Duly Authorized Officer and Chief</w:t>
            </w:r>
          </w:p>
        </w:tc>
      </w:tr>
      <w:tr>
        <w:trPr>
          <w:trHeight w:val="230"/>
        </w:trPr>
        <w:tc>
          <w:tcPr>
            <w:tcW w:w="3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u w:val="single" w:color="auto"/>
          <w:color w:val="auto"/>
        </w:rPr>
        <w:t>Exh. 10.2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0" w:lineRule="exact"/>
        <w:rPr>
          <w:sz w:val="20"/>
          <w:szCs w:val="20"/>
          <w:color w:val="auto"/>
        </w:rPr>
      </w:pPr>
    </w:p>
    <w:p>
      <w:pPr>
        <w:spacing w:after="0" w:line="25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This Employment Agreement ("Agreement") is made effective as of March 14, 2018 (the “Effective Date”) between CMRG APPAREL, LLC, (the “Company”), a “Related Entity” as defined in the 2016 Incentive Compensation Plan, of Destination XL Group, Inc., a Delaware corporation with an office at 555 Turnpike Street, Canton, Massachusetts 02021 (“DXLG” which term includes any affiliates and subsidiaries), and James Davey (the “Executive”) having an address at 135 E. Emerson Road, Lexington, MA 02420.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33" w:lineRule="exact"/>
        <w:rPr>
          <w:sz w:val="20"/>
          <w:szCs w:val="20"/>
          <w:color w:val="auto"/>
        </w:rPr>
      </w:pPr>
    </w:p>
    <w:p>
      <w:pPr>
        <w:ind w:right="440" w:firstLine="527"/>
        <w:spacing w:after="0" w:line="251" w:lineRule="auto"/>
        <w:rPr>
          <w:sz w:val="20"/>
          <w:szCs w:val="20"/>
          <w:color w:val="auto"/>
        </w:rPr>
      </w:pPr>
      <w:r>
        <w:rPr>
          <w:rFonts w:ascii="Arial" w:cs="Arial" w:eastAsia="Arial" w:hAnsi="Arial"/>
          <w:sz w:val="22"/>
          <w:szCs w:val="22"/>
          <w:color w:val="auto"/>
        </w:rPr>
        <w:t>WHEREAS, the Company desires that Executive work for the Company and Executive desires to be so employed by the Company as its Executive Vice President, Chief Marketing Officer.</w:t>
      </w:r>
    </w:p>
    <w:p>
      <w:pPr>
        <w:spacing w:after="0" w:line="200" w:lineRule="exact"/>
        <w:rPr>
          <w:sz w:val="20"/>
          <w:szCs w:val="20"/>
          <w:color w:val="auto"/>
        </w:rPr>
      </w:pPr>
    </w:p>
    <w:p>
      <w:pPr>
        <w:ind w:right="1060" w:firstLine="527"/>
        <w:spacing w:after="0" w:line="251" w:lineRule="auto"/>
        <w:rPr>
          <w:sz w:val="20"/>
          <w:szCs w:val="20"/>
          <w:color w:val="auto"/>
        </w:rPr>
      </w:pPr>
      <w:r>
        <w:rPr>
          <w:rFonts w:ascii="Arial" w:cs="Arial" w:eastAsia="Arial" w:hAnsi="Arial"/>
          <w:sz w:val="22"/>
          <w:szCs w:val="22"/>
          <w:color w:val="auto"/>
        </w:rPr>
        <w:t>WHEREAS, Executive and the Company desire to set forth in writing the terms and conditions of the Executive's employment with the Company from the date hereof.</w:t>
      </w:r>
    </w:p>
    <w:p>
      <w:pPr>
        <w:spacing w:after="0" w:line="200" w:lineRule="exact"/>
        <w:rPr>
          <w:sz w:val="20"/>
          <w:szCs w:val="20"/>
          <w:color w:val="auto"/>
        </w:rPr>
      </w:pPr>
    </w:p>
    <w:p>
      <w:pPr>
        <w:ind w:right="700" w:firstLine="512"/>
        <w:spacing w:after="0" w:line="251" w:lineRule="auto"/>
        <w:rPr>
          <w:sz w:val="20"/>
          <w:szCs w:val="20"/>
          <w:color w:val="auto"/>
        </w:rPr>
      </w:pPr>
      <w:r>
        <w:rPr>
          <w:rFonts w:ascii="Arial" w:cs="Arial" w:eastAsia="Arial" w:hAnsi="Arial"/>
          <w:sz w:val="22"/>
          <w:szCs w:val="22"/>
          <w:color w:val="auto"/>
        </w:rPr>
        <w:t>NOW, THEREFORE, in consideration of the promises and the mutual promises, representations and covenants herein contained, the parties hereto agree as follows:</w:t>
      </w:r>
    </w:p>
    <w:p>
      <w:pPr>
        <w:spacing w:after="0" w:line="200" w:lineRule="exact"/>
        <w:rPr>
          <w:sz w:val="20"/>
          <w:szCs w:val="20"/>
          <w:color w:val="auto"/>
        </w:rPr>
      </w:pPr>
    </w:p>
    <w:p>
      <w:pPr>
        <w:ind w:left="1440" w:hanging="587"/>
        <w:spacing w:after="0"/>
        <w:tabs>
          <w:tab w:leader="none" w:pos="144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EMPLOYMENT</w:t>
      </w:r>
    </w:p>
    <w:p>
      <w:pPr>
        <w:spacing w:after="0" w:line="233" w:lineRule="exact"/>
        <w:rPr>
          <w:sz w:val="20"/>
          <w:szCs w:val="20"/>
          <w:color w:val="auto"/>
        </w:rPr>
      </w:pPr>
    </w:p>
    <w:p>
      <w:pPr>
        <w:ind w:right="480" w:firstLine="987"/>
        <w:spacing w:after="0" w:line="251" w:lineRule="auto"/>
        <w:rPr>
          <w:sz w:val="20"/>
          <w:szCs w:val="20"/>
          <w:color w:val="auto"/>
        </w:rPr>
      </w:pPr>
      <w:r>
        <w:rPr>
          <w:rFonts w:ascii="Arial" w:cs="Arial" w:eastAsia="Arial" w:hAnsi="Arial"/>
          <w:sz w:val="22"/>
          <w:szCs w:val="22"/>
          <w:color w:val="auto"/>
        </w:rPr>
        <w:t>The Company hereby employs Executive and Executive hereby accepts such employment, subject to the terms and conditions herein set forth.</w:t>
      </w:r>
    </w:p>
    <w:p>
      <w:pPr>
        <w:spacing w:after="0" w:line="200" w:lineRule="exact"/>
        <w:rPr>
          <w:sz w:val="20"/>
          <w:szCs w:val="20"/>
          <w:color w:val="auto"/>
        </w:rPr>
      </w:pPr>
    </w:p>
    <w:p>
      <w:pPr>
        <w:ind w:left="2120" w:hanging="1464"/>
        <w:spacing w:after="0"/>
        <w:tabs>
          <w:tab w:leader="none" w:pos="212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TERM</w:t>
      </w:r>
    </w:p>
    <w:p>
      <w:pPr>
        <w:spacing w:after="0" w:line="233" w:lineRule="exact"/>
        <w:rPr>
          <w:sz w:val="20"/>
          <w:szCs w:val="20"/>
          <w:color w:val="auto"/>
        </w:rPr>
      </w:pPr>
    </w:p>
    <w:p>
      <w:pPr>
        <w:ind w:right="60" w:firstLine="987"/>
        <w:spacing w:after="0" w:line="251" w:lineRule="auto"/>
        <w:rPr>
          <w:sz w:val="20"/>
          <w:szCs w:val="20"/>
          <w:color w:val="auto"/>
        </w:rPr>
      </w:pPr>
      <w:r>
        <w:rPr>
          <w:rFonts w:ascii="Arial" w:cs="Arial" w:eastAsia="Arial" w:hAnsi="Arial"/>
          <w:sz w:val="22"/>
          <w:szCs w:val="22"/>
          <w:color w:val="auto"/>
        </w:rPr>
        <w:t>The term of employment under this Agreement (the “Term of Employment”) shall begin on the Effective Date and shall continue until terminated by either party as hereinafter set forth.</w:t>
      </w:r>
    </w:p>
    <w:p>
      <w:pPr>
        <w:spacing w:after="0" w:line="200"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33" w:lineRule="exact"/>
        <w:rPr>
          <w:rFonts w:ascii="Arial" w:cs="Arial" w:eastAsia="Arial" w:hAnsi="Arial"/>
          <w:sz w:val="22"/>
          <w:szCs w:val="22"/>
          <w:color w:val="auto"/>
        </w:rPr>
      </w:pPr>
    </w:p>
    <w:p>
      <w:pPr>
        <w:ind w:firstLine="1048"/>
        <w:spacing w:after="0" w:line="235" w:lineRule="auto"/>
        <w:tabs>
          <w:tab w:leader="none" w:pos="1927" w:val="left"/>
        </w:tabs>
        <w:numPr>
          <w:ilvl w:val="2"/>
          <w:numId w:val="14"/>
        </w:numPr>
        <w:rPr>
          <w:rFonts w:ascii="Arial" w:cs="Arial" w:eastAsia="Arial" w:hAnsi="Arial"/>
          <w:sz w:val="22"/>
          <w:szCs w:val="22"/>
          <w:color w:val="auto"/>
        </w:rPr>
      </w:pPr>
      <w:r>
        <w:rPr>
          <w:rFonts w:ascii="Arial" w:cs="Arial" w:eastAsia="Arial" w:hAnsi="Arial"/>
          <w:sz w:val="22"/>
          <w:szCs w:val="22"/>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Four Hundred Fifty Thousand Dollars and 00/100 Cents ($450,000.00)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215" w:lineRule="exact"/>
        <w:rPr>
          <w:rFonts w:ascii="Arial" w:cs="Arial" w:eastAsia="Arial" w:hAnsi="Arial"/>
          <w:sz w:val="22"/>
          <w:szCs w:val="22"/>
          <w:color w:val="auto"/>
        </w:rPr>
      </w:pPr>
    </w:p>
    <w:p>
      <w:pPr>
        <w:jc w:val="both"/>
        <w:ind w:firstLine="939"/>
        <w:spacing w:after="0" w:line="236" w:lineRule="auto"/>
        <w:tabs>
          <w:tab w:leader="none" w:pos="1242" w:val="left"/>
        </w:tabs>
        <w:numPr>
          <w:ilvl w:val="1"/>
          <w:numId w:val="14"/>
        </w:numPr>
        <w:rPr>
          <w:rFonts w:ascii="Arial" w:cs="Arial" w:eastAsia="Arial" w:hAnsi="Arial"/>
          <w:sz w:val="22"/>
          <w:szCs w:val="22"/>
          <w:color w:val="auto"/>
        </w:rPr>
      </w:pPr>
      <w:r>
        <w:rPr>
          <w:rFonts w:ascii="Arial" w:cs="Arial" w:eastAsia="Arial" w:hAnsi="Arial"/>
          <w:sz w:val="22"/>
          <w:szCs w:val="22"/>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55% of Executive’s actual annual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0" w:name="page31"/>
    <w:bookmarkEnd w:id="30"/>
    <w:p>
      <w:pPr>
        <w:jc w:val="both"/>
        <w:spacing w:after="0" w:line="234" w:lineRule="auto"/>
        <w:rPr>
          <w:sz w:val="20"/>
          <w:szCs w:val="20"/>
          <w:color w:val="auto"/>
        </w:rPr>
      </w:pPr>
      <w:r>
        <w:rPr>
          <w:rFonts w:ascii="Arial" w:cs="Arial" w:eastAsia="Arial" w:hAnsi="Arial"/>
          <w:sz w:val="22"/>
          <w:szCs w:val="22"/>
          <w:color w:val="auto"/>
        </w:rPr>
        <w:t>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 If under the Fiscal Year 2018 Annual Incentive Plan the Executive does not receive a minimum payout of $150,000.00, the Company shall pay Executive a discretionary award to meet the minimum award amount of $150,000.00. Award payout will be paid to Executive in Fiscal Year 2019 in accordance with and subject to the terms and conditions of the incentive program then in effect.</w:t>
      </w:r>
    </w:p>
    <w:p>
      <w:pPr>
        <w:spacing w:after="0" w:line="219" w:lineRule="exact"/>
        <w:rPr>
          <w:sz w:val="20"/>
          <w:szCs w:val="20"/>
          <w:color w:val="auto"/>
        </w:rPr>
      </w:pPr>
    </w:p>
    <w:p>
      <w:pPr>
        <w:jc w:val="both"/>
        <w:ind w:firstLine="1115"/>
        <w:spacing w:after="0" w:line="279" w:lineRule="auto"/>
        <w:tabs>
          <w:tab w:leader="none" w:pos="1995" w:val="left"/>
        </w:tabs>
        <w:numPr>
          <w:ilvl w:val="2"/>
          <w:numId w:val="15"/>
        </w:numPr>
        <w:rPr>
          <w:rFonts w:ascii="Arial" w:cs="Arial" w:eastAsia="Arial" w:hAnsi="Arial"/>
          <w:sz w:val="19"/>
          <w:szCs w:val="19"/>
          <w:color w:val="auto"/>
        </w:rPr>
      </w:pPr>
      <w:r>
        <w:rPr>
          <w:rFonts w:ascii="Arial" w:cs="Arial" w:eastAsia="Arial" w:hAnsi="Arial"/>
          <w:sz w:val="19"/>
          <w:szCs w:val="19"/>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177" w:lineRule="exact"/>
        <w:rPr>
          <w:rFonts w:ascii="Arial" w:cs="Arial" w:eastAsia="Arial" w:hAnsi="Arial"/>
          <w:sz w:val="19"/>
          <w:szCs w:val="19"/>
          <w:color w:val="auto"/>
        </w:rPr>
      </w:pPr>
    </w:p>
    <w:p>
      <w:pPr>
        <w:jc w:val="both"/>
        <w:ind w:right="20" w:firstLine="885"/>
        <w:spacing w:after="0" w:line="287" w:lineRule="auto"/>
        <w:tabs>
          <w:tab w:leader="none" w:pos="14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Executive will receive the value of $75,000 of a restricted stock award of the Common Stock of DXLG upon the Effective Date. The restricted stock shall vest over a three-year period, with the first 1/3 of the grant becoming exercisable on the first anniversary of the Effective Date and an additional 1/3 becoming exercisable on each of the second and third anniversaries of the Effective Date thereafter. Details will be provided in a formal Restricted Stock Award Agreement.</w:t>
      </w:r>
    </w:p>
    <w:p>
      <w:pPr>
        <w:spacing w:after="0" w:line="170" w:lineRule="exact"/>
        <w:rPr>
          <w:rFonts w:ascii="Arial" w:cs="Arial" w:eastAsia="Arial" w:hAnsi="Arial"/>
          <w:sz w:val="19"/>
          <w:szCs w:val="19"/>
          <w:color w:val="auto"/>
        </w:rPr>
      </w:pPr>
    </w:p>
    <w:p>
      <w:pPr>
        <w:jc w:val="both"/>
        <w:ind w:firstLine="885"/>
        <w:spacing w:after="0" w:line="236" w:lineRule="auto"/>
        <w:tabs>
          <w:tab w:leader="none" w:pos="1765" w:val="left"/>
        </w:tabs>
        <w:numPr>
          <w:ilvl w:val="0"/>
          <w:numId w:val="16"/>
        </w:numPr>
        <w:rPr>
          <w:rFonts w:ascii="Arial" w:cs="Arial" w:eastAsia="Arial" w:hAnsi="Arial"/>
          <w:sz w:val="22"/>
          <w:szCs w:val="22"/>
          <w:color w:val="auto"/>
        </w:rPr>
      </w:pPr>
      <w:r>
        <w:rPr>
          <w:rFonts w:ascii="Arial" w:cs="Arial" w:eastAsia="Arial" w:hAnsi="Arial"/>
          <w:sz w:val="22"/>
          <w:szCs w:val="22"/>
          <w:color w:val="auto"/>
        </w:rPr>
        <w:t>Executive will also be granted the value of $150,000 of DXLG Non-Qualified Stock Options at market price at the close of trading on the last business date prior to the Effective Date. These shares will vest over a three year period, with the first 1/3 of the grant becoming exercisable on the first anniversary of the Effective Date and an additional 1/3 becoming exercisable on each of the second and third anniversaries of the Effective Date thereafter. Details will be provided in a formal Non-Qualified Stock Option Agreement.</w:t>
      </w:r>
    </w:p>
    <w:p>
      <w:pPr>
        <w:spacing w:after="0" w:line="214" w:lineRule="exact"/>
        <w:rPr>
          <w:rFonts w:ascii="Arial" w:cs="Arial" w:eastAsia="Arial" w:hAnsi="Arial"/>
          <w:sz w:val="22"/>
          <w:szCs w:val="22"/>
          <w:color w:val="auto"/>
        </w:rPr>
      </w:pPr>
    </w:p>
    <w:p>
      <w:pPr>
        <w:ind w:left="1860" w:hanging="812"/>
        <w:spacing w:after="0"/>
        <w:tabs>
          <w:tab w:leader="none" w:pos="1860"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EXPENSES</w:t>
      </w:r>
    </w:p>
    <w:p>
      <w:pPr>
        <w:spacing w:after="0" w:line="233" w:lineRule="exact"/>
        <w:rPr>
          <w:sz w:val="20"/>
          <w:szCs w:val="20"/>
          <w:color w:val="auto"/>
        </w:rPr>
      </w:pPr>
    </w:p>
    <w:p>
      <w:pPr>
        <w:jc w:val="both"/>
        <w:ind w:firstLine="1049"/>
        <w:spacing w:after="0" w:line="282" w:lineRule="auto"/>
        <w:rPr>
          <w:sz w:val="20"/>
          <w:szCs w:val="20"/>
          <w:color w:val="auto"/>
        </w:rPr>
      </w:pPr>
      <w:r>
        <w:rPr>
          <w:rFonts w:ascii="Arial" w:cs="Arial" w:eastAsia="Arial" w:hAnsi="Arial"/>
          <w:sz w:val="19"/>
          <w:szCs w:val="19"/>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ind w:left="880"/>
        <w:spacing w:after="0"/>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OTHER BENEFITS</w:t>
      </w:r>
    </w:p>
    <w:p>
      <w:pPr>
        <w:spacing w:after="0" w:line="234" w:lineRule="exact"/>
        <w:rPr>
          <w:sz w:val="20"/>
          <w:szCs w:val="20"/>
          <w:color w:val="auto"/>
        </w:rPr>
      </w:pPr>
    </w:p>
    <w:p>
      <w:pPr>
        <w:jc w:val="both"/>
        <w:ind w:firstLine="1061"/>
        <w:spacing w:after="0" w:line="249" w:lineRule="auto"/>
        <w:tabs>
          <w:tab w:leader="none" w:pos="2067" w:val="left"/>
        </w:tabs>
        <w:numPr>
          <w:ilvl w:val="0"/>
          <w:numId w:val="17"/>
        </w:numPr>
        <w:rPr>
          <w:rFonts w:ascii="Arial" w:cs="Arial" w:eastAsia="Arial" w:hAnsi="Arial"/>
          <w:sz w:val="21"/>
          <w:szCs w:val="21"/>
          <w:color w:val="auto"/>
        </w:rPr>
      </w:pPr>
      <w:r>
        <w:rPr>
          <w:rFonts w:ascii="Arial" w:cs="Arial" w:eastAsia="Arial" w:hAnsi="Arial"/>
          <w:sz w:val="21"/>
          <w:szCs w:val="21"/>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205" w:lineRule="exact"/>
        <w:rPr>
          <w:rFonts w:ascii="Arial" w:cs="Arial" w:eastAsia="Arial" w:hAnsi="Arial"/>
          <w:sz w:val="21"/>
          <w:szCs w:val="21"/>
          <w:color w:val="auto"/>
        </w:rPr>
      </w:pPr>
    </w:p>
    <w:p>
      <w:pPr>
        <w:jc w:val="both"/>
        <w:ind w:firstLine="1061"/>
        <w:spacing w:after="0" w:line="236" w:lineRule="auto"/>
        <w:tabs>
          <w:tab w:leader="none" w:pos="1953"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215" w:lineRule="exact"/>
        <w:rPr>
          <w:sz w:val="20"/>
          <w:szCs w:val="20"/>
          <w:color w:val="auto"/>
        </w:rPr>
      </w:pPr>
    </w:p>
    <w:p>
      <w:pPr>
        <w:ind w:left="2080" w:hanging="1019"/>
        <w:spacing w:after="0"/>
        <w:tabs>
          <w:tab w:leader="none" w:pos="2080" w:val="left"/>
        </w:tabs>
        <w:numPr>
          <w:ilvl w:val="2"/>
          <w:numId w:val="18"/>
        </w:numPr>
        <w:rPr>
          <w:rFonts w:ascii="Arial" w:cs="Arial" w:eastAsia="Arial" w:hAnsi="Arial"/>
          <w:sz w:val="22"/>
          <w:szCs w:val="22"/>
          <w:color w:val="auto"/>
        </w:rPr>
      </w:pPr>
      <w:r>
        <w:rPr>
          <w:rFonts w:ascii="Arial" w:cs="Arial" w:eastAsia="Arial" w:hAnsi="Arial"/>
          <w:sz w:val="22"/>
          <w:szCs w:val="22"/>
          <w:color w:val="auto"/>
        </w:rPr>
        <w:t>Executive will be eligible to participate in the Company’s annual performance appraisal process.</w:t>
      </w:r>
    </w:p>
    <w:p>
      <w:pPr>
        <w:spacing w:after="0" w:line="233" w:lineRule="exact"/>
        <w:rPr>
          <w:rFonts w:ascii="Arial" w:cs="Arial" w:eastAsia="Arial" w:hAnsi="Arial"/>
          <w:sz w:val="22"/>
          <w:szCs w:val="22"/>
          <w:color w:val="auto"/>
        </w:rPr>
      </w:pPr>
    </w:p>
    <w:p>
      <w:pPr>
        <w:ind w:left="1740" w:hanging="868"/>
        <w:spacing w:after="0"/>
        <w:tabs>
          <w:tab w:leader="none" w:pos="174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DUTIES</w:t>
      </w:r>
    </w:p>
    <w:p>
      <w:pPr>
        <w:spacing w:after="0" w:line="233" w:lineRule="exact"/>
        <w:rPr>
          <w:rFonts w:ascii="Arial" w:cs="Arial" w:eastAsia="Arial" w:hAnsi="Arial"/>
          <w:sz w:val="22"/>
          <w:szCs w:val="22"/>
          <w:color w:val="auto"/>
        </w:rPr>
      </w:pPr>
    </w:p>
    <w:p>
      <w:pPr>
        <w:jc w:val="both"/>
        <w:ind w:firstLine="885"/>
        <w:spacing w:after="0"/>
        <w:tabs>
          <w:tab w:leader="none" w:pos="1765" w:val="left"/>
        </w:tabs>
        <w:numPr>
          <w:ilvl w:val="1"/>
          <w:numId w:val="19"/>
        </w:numPr>
        <w:rPr>
          <w:rFonts w:ascii="Arial" w:cs="Arial" w:eastAsia="Arial" w:hAnsi="Arial"/>
          <w:sz w:val="22"/>
          <w:szCs w:val="22"/>
          <w:color w:val="auto"/>
        </w:rPr>
      </w:pPr>
      <w:r>
        <w:rPr>
          <w:rFonts w:ascii="Arial" w:cs="Arial" w:eastAsia="Arial" w:hAnsi="Arial"/>
          <w:sz w:val="22"/>
          <w:szCs w:val="22"/>
          <w:color w:val="auto"/>
        </w:rPr>
        <w:t>Executive shall perform such duties and functions consistent with the position of Executive Vice President and Chief Marketing Officer and/or as the Company shall from time to time determine and Executive shall comply in the performance of his duties with the policies of, and be subject to the direction of the Company.</w:t>
      </w:r>
    </w:p>
    <w:p>
      <w:pPr>
        <w:spacing w:after="0" w:line="213" w:lineRule="exact"/>
        <w:rPr>
          <w:rFonts w:ascii="Arial" w:cs="Arial" w:eastAsia="Arial" w:hAnsi="Arial"/>
          <w:sz w:val="22"/>
          <w:szCs w:val="22"/>
          <w:color w:val="auto"/>
        </w:rPr>
      </w:pPr>
    </w:p>
    <w:p>
      <w:pPr>
        <w:jc w:val="both"/>
        <w:ind w:firstLine="885"/>
        <w:spacing w:after="0" w:line="235" w:lineRule="auto"/>
        <w:tabs>
          <w:tab w:leader="none" w:pos="1634" w:val="left"/>
        </w:tabs>
        <w:numPr>
          <w:ilvl w:val="1"/>
          <w:numId w:val="19"/>
        </w:numPr>
        <w:rPr>
          <w:rFonts w:ascii="Arial" w:cs="Arial" w:eastAsia="Arial" w:hAnsi="Arial"/>
          <w:sz w:val="22"/>
          <w:szCs w:val="22"/>
          <w:color w:val="auto"/>
        </w:rPr>
      </w:pPr>
      <w:r>
        <w:rPr>
          <w:rFonts w:ascii="Arial" w:cs="Arial" w:eastAsia="Arial" w:hAnsi="Arial"/>
          <w:sz w:val="22"/>
          <w:szCs w:val="22"/>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his duties hereunder and do not violate paragraph 10 hereof.</w:t>
      </w:r>
    </w:p>
    <w:p>
      <w:pPr>
        <w:spacing w:after="0" w:line="215" w:lineRule="exact"/>
        <w:rPr>
          <w:rFonts w:ascii="Arial" w:cs="Arial" w:eastAsia="Arial" w:hAnsi="Arial"/>
          <w:sz w:val="22"/>
          <w:szCs w:val="22"/>
          <w:color w:val="auto"/>
        </w:rPr>
      </w:pPr>
    </w:p>
    <w:p>
      <w:pPr>
        <w:ind w:right="80" w:firstLine="885"/>
        <w:spacing w:after="0" w:line="287" w:lineRule="auto"/>
        <w:tabs>
          <w:tab w:leader="none" w:pos="1819"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ind w:left="1040" w:hanging="168"/>
        <w:spacing w:after="0"/>
        <w:tabs>
          <w:tab w:leader="none" w:pos="104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EFFECT OF TERMINATION</w:t>
      </w:r>
    </w:p>
    <w:p>
      <w:pPr>
        <w:spacing w:after="0" w:line="268" w:lineRule="exact"/>
        <w:rPr>
          <w:rFonts w:ascii="Arial" w:cs="Arial" w:eastAsia="Arial" w:hAnsi="Arial"/>
          <w:sz w:val="19"/>
          <w:szCs w:val="19"/>
          <w:color w:val="auto"/>
        </w:rPr>
      </w:pPr>
    </w:p>
    <w:p>
      <w:pPr>
        <w:ind w:left="1580" w:hanging="532"/>
        <w:spacing w:after="0"/>
        <w:tabs>
          <w:tab w:leader="none" w:pos="1580"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Term of Employment may be terminated by the Company at any time:</w:t>
      </w:r>
    </w:p>
    <w:p>
      <w:pPr>
        <w:spacing w:after="0" w:line="233" w:lineRule="exact"/>
        <w:rPr>
          <w:rFonts w:ascii="Arial" w:cs="Arial" w:eastAsia="Arial" w:hAnsi="Arial"/>
          <w:sz w:val="22"/>
          <w:szCs w:val="22"/>
          <w:color w:val="auto"/>
        </w:rPr>
      </w:pPr>
    </w:p>
    <w:p>
      <w:pPr>
        <w:jc w:val="both"/>
        <w:ind w:firstLine="1589"/>
        <w:spacing w:after="0" w:line="238" w:lineRule="auto"/>
        <w:tabs>
          <w:tab w:leader="none" w:pos="2937" w:val="left"/>
        </w:tabs>
        <w:numPr>
          <w:ilvl w:val="4"/>
          <w:numId w:val="20"/>
        </w:numPr>
        <w:rPr>
          <w:rFonts w:ascii="Arial" w:cs="Arial" w:eastAsia="Arial" w:hAnsi="Arial"/>
          <w:sz w:val="22"/>
          <w:szCs w:val="22"/>
          <w:color w:val="auto"/>
        </w:rPr>
      </w:pPr>
      <w:r>
        <w:rPr>
          <w:rFonts w:ascii="Arial" w:cs="Arial" w:eastAsia="Arial" w:hAnsi="Arial"/>
          <w:sz w:val="22"/>
          <w:szCs w:val="22"/>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212" w:lineRule="exact"/>
        <w:rPr>
          <w:rFonts w:ascii="Arial" w:cs="Arial" w:eastAsia="Arial" w:hAnsi="Arial"/>
          <w:sz w:val="22"/>
          <w:szCs w:val="22"/>
          <w:color w:val="auto"/>
        </w:rPr>
      </w:pPr>
    </w:p>
    <w:p>
      <w:pPr>
        <w:ind w:left="3000" w:hanging="1411"/>
        <w:spacing w:after="0"/>
        <w:tabs>
          <w:tab w:leader="none" w:pos="3000" w:val="left"/>
        </w:tabs>
        <w:numPr>
          <w:ilvl w:val="4"/>
          <w:numId w:val="20"/>
        </w:numPr>
        <w:rPr>
          <w:rFonts w:ascii="Arial" w:cs="Arial" w:eastAsia="Arial" w:hAnsi="Arial"/>
          <w:sz w:val="19"/>
          <w:szCs w:val="19"/>
          <w:color w:val="auto"/>
        </w:rPr>
      </w:pPr>
      <w:r>
        <w:rPr>
          <w:rFonts w:ascii="Arial" w:cs="Arial" w:eastAsia="Arial" w:hAnsi="Arial"/>
          <w:sz w:val="19"/>
          <w:szCs w:val="19"/>
          <w:color w:val="auto"/>
        </w:rPr>
        <w:t>upon the determination of the Company that there is justifiable cause (as hereinafter defined)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termination.</w:t>
      </w:r>
    </w:p>
    <w:p>
      <w:pPr>
        <w:spacing w:after="0" w:line="215" w:lineRule="exact"/>
        <w:rPr>
          <w:rFonts w:ascii="Arial" w:cs="Arial" w:eastAsia="Arial" w:hAnsi="Arial"/>
          <w:sz w:val="19"/>
          <w:szCs w:val="19"/>
          <w:color w:val="auto"/>
        </w:rPr>
      </w:pPr>
    </w:p>
    <w:p>
      <w:pPr>
        <w:ind w:left="1580" w:hanging="532"/>
        <w:spacing w:after="0"/>
        <w:tabs>
          <w:tab w:leader="none" w:pos="1580"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Term of Employment shall terminate upon:</w:t>
      </w:r>
    </w:p>
    <w:p>
      <w:pPr>
        <w:spacing w:after="0" w:line="233" w:lineRule="exact"/>
        <w:rPr>
          <w:rFonts w:ascii="Arial" w:cs="Arial" w:eastAsia="Arial" w:hAnsi="Arial"/>
          <w:sz w:val="22"/>
          <w:szCs w:val="22"/>
          <w:color w:val="auto"/>
        </w:rPr>
      </w:pPr>
    </w:p>
    <w:p>
      <w:pPr>
        <w:ind w:left="2120" w:hanging="532"/>
        <w:spacing w:after="0"/>
        <w:tabs>
          <w:tab w:leader="none" w:pos="2120" w:val="left"/>
        </w:tabs>
        <w:numPr>
          <w:ilvl w:val="4"/>
          <w:numId w:val="20"/>
        </w:numPr>
        <w:rPr>
          <w:rFonts w:ascii="Arial" w:cs="Arial" w:eastAsia="Arial" w:hAnsi="Arial"/>
          <w:sz w:val="22"/>
          <w:szCs w:val="22"/>
          <w:color w:val="auto"/>
        </w:rPr>
      </w:pPr>
      <w:r>
        <w:rPr>
          <w:rFonts w:ascii="Arial" w:cs="Arial" w:eastAsia="Arial" w:hAnsi="Arial"/>
          <w:sz w:val="22"/>
          <w:szCs w:val="22"/>
          <w:color w:val="auto"/>
        </w:rPr>
        <w:t>the death of Executive;</w:t>
      </w:r>
    </w:p>
    <w:p>
      <w:pPr>
        <w:spacing w:after="0" w:line="233" w:lineRule="exact"/>
        <w:rPr>
          <w:rFonts w:ascii="Arial" w:cs="Arial" w:eastAsia="Arial" w:hAnsi="Arial"/>
          <w:sz w:val="22"/>
          <w:szCs w:val="22"/>
          <w:color w:val="auto"/>
        </w:rPr>
      </w:pPr>
    </w:p>
    <w:p>
      <w:pPr>
        <w:ind w:left="2120" w:right="160" w:hanging="532"/>
        <w:spacing w:after="0" w:line="328" w:lineRule="auto"/>
        <w:tabs>
          <w:tab w:leader="none" w:pos="2120" w:val="left"/>
        </w:tabs>
        <w:numPr>
          <w:ilvl w:val="4"/>
          <w:numId w:val="20"/>
        </w:numPr>
        <w:rPr>
          <w:rFonts w:ascii="Arial" w:cs="Arial" w:eastAsia="Arial" w:hAnsi="Arial"/>
          <w:sz w:val="19"/>
          <w:szCs w:val="19"/>
          <w:color w:val="auto"/>
        </w:rPr>
      </w:pPr>
      <w:r>
        <w:rPr>
          <w:rFonts w:ascii="Arial" w:cs="Arial" w:eastAsia="Arial" w:hAnsi="Arial"/>
          <w:sz w:val="19"/>
          <w:szCs w:val="19"/>
          <w:color w:val="auto"/>
        </w:rPr>
        <w:t>the date on which the Company elects to terminate the Term of Employment by reason of the "disability" of Executive (as hereinafter defined in subsection (c) herein) pursuant to subsection (g) hereof; or</w:t>
      </w:r>
    </w:p>
    <w:p>
      <w:pPr>
        <w:spacing w:after="0" w:line="132" w:lineRule="exact"/>
        <w:rPr>
          <w:rFonts w:ascii="Arial" w:cs="Arial" w:eastAsia="Arial" w:hAnsi="Arial"/>
          <w:sz w:val="19"/>
          <w:szCs w:val="19"/>
          <w:color w:val="auto"/>
        </w:rPr>
      </w:pPr>
    </w:p>
    <w:p>
      <w:pPr>
        <w:ind w:left="2120" w:hanging="532"/>
        <w:spacing w:after="0"/>
        <w:tabs>
          <w:tab w:leader="none" w:pos="2120" w:val="left"/>
        </w:tabs>
        <w:numPr>
          <w:ilvl w:val="4"/>
          <w:numId w:val="20"/>
        </w:numPr>
        <w:rPr>
          <w:rFonts w:ascii="Arial" w:cs="Arial" w:eastAsia="Arial" w:hAnsi="Arial"/>
          <w:sz w:val="22"/>
          <w:szCs w:val="22"/>
          <w:color w:val="auto"/>
        </w:rPr>
      </w:pPr>
      <w:r>
        <w:rPr>
          <w:rFonts w:ascii="Arial" w:cs="Arial" w:eastAsia="Arial" w:hAnsi="Arial"/>
          <w:sz w:val="22"/>
          <w:szCs w:val="22"/>
          <w:color w:val="auto"/>
        </w:rPr>
        <w:t>Executive’s resignation of employment.</w:t>
      </w:r>
    </w:p>
    <w:p>
      <w:pPr>
        <w:spacing w:after="0" w:line="233" w:lineRule="exact"/>
        <w:rPr>
          <w:rFonts w:ascii="Arial" w:cs="Arial" w:eastAsia="Arial" w:hAnsi="Arial"/>
          <w:sz w:val="22"/>
          <w:szCs w:val="22"/>
          <w:color w:val="auto"/>
        </w:rPr>
      </w:pPr>
    </w:p>
    <w:p>
      <w:pPr>
        <w:jc w:val="both"/>
        <w:ind w:firstLine="1106"/>
        <w:spacing w:after="0" w:line="258" w:lineRule="auto"/>
        <w:tabs>
          <w:tab w:leader="none" w:pos="1986" w:val="left"/>
        </w:tabs>
        <w:numPr>
          <w:ilvl w:val="3"/>
          <w:numId w:val="20"/>
        </w:numPr>
        <w:rPr>
          <w:rFonts w:ascii="Arial" w:cs="Arial" w:eastAsia="Arial" w:hAnsi="Arial"/>
          <w:sz w:val="21"/>
          <w:szCs w:val="21"/>
          <w:color w:val="auto"/>
        </w:rPr>
      </w:pPr>
      <w:r>
        <w:rPr>
          <w:rFonts w:ascii="Arial" w:cs="Arial" w:eastAsia="Arial" w:hAnsi="Arial"/>
          <w:sz w:val="21"/>
          <w:szCs w:val="21"/>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93" w:lineRule="exact"/>
        <w:rPr>
          <w:rFonts w:ascii="Arial" w:cs="Arial" w:eastAsia="Arial" w:hAnsi="Arial"/>
          <w:sz w:val="21"/>
          <w:szCs w:val="21"/>
          <w:color w:val="auto"/>
        </w:rPr>
      </w:pPr>
    </w:p>
    <w:p>
      <w:pPr>
        <w:jc w:val="both"/>
        <w:ind w:firstLine="1061"/>
        <w:spacing w:after="0" w:line="244" w:lineRule="auto"/>
        <w:tabs>
          <w:tab w:leader="none" w:pos="1953" w:val="left"/>
        </w:tabs>
        <w:numPr>
          <w:ilvl w:val="2"/>
          <w:numId w:val="20"/>
        </w:numPr>
        <w:rPr>
          <w:rFonts w:ascii="Arial" w:cs="Arial" w:eastAsia="Arial" w:hAnsi="Arial"/>
          <w:sz w:val="21"/>
          <w:szCs w:val="21"/>
          <w:color w:val="auto"/>
        </w:rPr>
      </w:pPr>
      <w:r>
        <w:rPr>
          <w:rFonts w:ascii="Arial" w:cs="Arial" w:eastAsia="Arial" w:hAnsi="Arial"/>
          <w:sz w:val="21"/>
          <w:szCs w:val="21"/>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jc w:val="both"/>
        <w:ind w:firstLine="885"/>
        <w:spacing w:after="0" w:line="269" w:lineRule="auto"/>
        <w:tabs>
          <w:tab w:leader="none" w:pos="1765"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the Company terminates this Agreement without "justifiable cause" as provided in subsection 7(a)(i), in the event Executive’s termination occurs (i) within six months after the earlier of December 31, 2018 or the employment by the Company of a full-time successor CEO to David A. Levin, the Company shall pay Executive his then current base salary for eleven months after the effectiveness of such termination or (ii) at any other time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w:t>
      </w:r>
    </w:p>
    <w:p>
      <w:pPr>
        <w:spacing w:after="0" w:line="2" w:lineRule="exact"/>
        <w:rPr>
          <w:rFonts w:ascii="Arial" w:cs="Arial" w:eastAsia="Arial" w:hAnsi="Arial"/>
          <w:sz w:val="19"/>
          <w:szCs w:val="19"/>
          <w:color w:val="auto"/>
        </w:rPr>
      </w:pPr>
    </w:p>
    <w:p>
      <w:pPr>
        <w:jc w:val="both"/>
        <w:spacing w:after="0" w:line="249" w:lineRule="auto"/>
        <w:rPr>
          <w:rFonts w:ascii="Arial" w:cs="Arial" w:eastAsia="Arial" w:hAnsi="Arial"/>
          <w:sz w:val="19"/>
          <w:szCs w:val="19"/>
          <w:color w:val="auto"/>
        </w:rPr>
      </w:pPr>
      <w:r>
        <w:rPr>
          <w:rFonts w:ascii="Arial" w:cs="Arial" w:eastAsia="Arial" w:hAnsi="Arial"/>
          <w:sz w:val="21"/>
          <w:szCs w:val="21"/>
          <w:color w:val="auto"/>
        </w:rPr>
        <w:t>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202" w:lineRule="exact"/>
        <w:rPr>
          <w:rFonts w:ascii="Arial" w:cs="Arial" w:eastAsia="Arial" w:hAnsi="Arial"/>
          <w:sz w:val="19"/>
          <w:szCs w:val="19"/>
          <w:color w:val="auto"/>
        </w:rPr>
      </w:pPr>
    </w:p>
    <w:p>
      <w:pPr>
        <w:jc w:val="both"/>
        <w:ind w:firstLine="1061"/>
        <w:spacing w:after="0" w:line="297" w:lineRule="auto"/>
        <w:tabs>
          <w:tab w:leader="none" w:pos="2043" w:val="left"/>
        </w:tabs>
        <w:numPr>
          <w:ilvl w:val="1"/>
          <w:numId w:val="21"/>
        </w:numPr>
        <w:rPr>
          <w:rFonts w:ascii="Arial" w:cs="Arial" w:eastAsia="Arial" w:hAnsi="Arial"/>
          <w:sz w:val="19"/>
          <w:szCs w:val="19"/>
          <w:color w:val="auto"/>
        </w:rPr>
      </w:pPr>
      <w:r>
        <w:rPr>
          <w:rFonts w:ascii="Arial" w:cs="Arial" w:eastAsia="Arial" w:hAnsi="Arial"/>
          <w:sz w:val="19"/>
          <w:szCs w:val="19"/>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61" w:lineRule="exact"/>
        <w:rPr>
          <w:rFonts w:ascii="Arial" w:cs="Arial" w:eastAsia="Arial" w:hAnsi="Arial"/>
          <w:sz w:val="19"/>
          <w:szCs w:val="19"/>
          <w:color w:val="auto"/>
        </w:rPr>
      </w:pPr>
    </w:p>
    <w:p>
      <w:pPr>
        <w:jc w:val="both"/>
        <w:ind w:firstLine="1061"/>
        <w:spacing w:after="0" w:line="252" w:lineRule="auto"/>
        <w:tabs>
          <w:tab w:leader="none" w:pos="2079" w:val="left"/>
        </w:tabs>
        <w:numPr>
          <w:ilvl w:val="1"/>
          <w:numId w:val="21"/>
        </w:numPr>
        <w:rPr>
          <w:rFonts w:ascii="Arial" w:cs="Arial" w:eastAsia="Arial" w:hAnsi="Arial"/>
          <w:sz w:val="21"/>
          <w:szCs w:val="21"/>
          <w:color w:val="auto"/>
        </w:rPr>
      </w:pPr>
      <w:r>
        <w:rPr>
          <w:rFonts w:ascii="Arial" w:cs="Arial" w:eastAsia="Arial" w:hAnsi="Arial"/>
          <w:sz w:val="21"/>
          <w:szCs w:val="21"/>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201" w:lineRule="exact"/>
        <w:rPr>
          <w:rFonts w:ascii="Arial" w:cs="Arial" w:eastAsia="Arial" w:hAnsi="Arial"/>
          <w:sz w:val="21"/>
          <w:szCs w:val="21"/>
          <w:color w:val="auto"/>
        </w:rPr>
      </w:pPr>
    </w:p>
    <w:p>
      <w:pPr>
        <w:jc w:val="both"/>
        <w:ind w:right="160" w:firstLine="1061"/>
        <w:spacing w:after="0" w:line="287" w:lineRule="auto"/>
        <w:tabs>
          <w:tab w:leader="none" w:pos="1953" w:val="left"/>
        </w:tabs>
        <w:numPr>
          <w:ilvl w:val="1"/>
          <w:numId w:val="21"/>
        </w:numPr>
        <w:rPr>
          <w:rFonts w:ascii="Arial" w:cs="Arial" w:eastAsia="Arial" w:hAnsi="Arial"/>
          <w:sz w:val="19"/>
          <w:szCs w:val="19"/>
          <w:color w:val="auto"/>
        </w:rPr>
      </w:pPr>
      <w:r>
        <w:rPr>
          <w:rFonts w:ascii="Arial" w:cs="Arial" w:eastAsia="Arial" w:hAnsi="Arial"/>
          <w:sz w:val="19"/>
          <w:szCs w:val="19"/>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70" w:lineRule="exact"/>
        <w:rPr>
          <w:rFonts w:ascii="Arial" w:cs="Arial" w:eastAsia="Arial" w:hAnsi="Arial"/>
          <w:sz w:val="19"/>
          <w:szCs w:val="19"/>
          <w:color w:val="auto"/>
        </w:rPr>
      </w:pPr>
    </w:p>
    <w:p>
      <w:pPr>
        <w:ind w:right="120" w:firstLine="1061"/>
        <w:spacing w:after="0" w:line="273" w:lineRule="auto"/>
        <w:tabs>
          <w:tab w:leader="none" w:pos="1905" w:val="left"/>
        </w:tabs>
        <w:numPr>
          <w:ilvl w:val="1"/>
          <w:numId w:val="21"/>
        </w:numPr>
        <w:rPr>
          <w:rFonts w:ascii="Arial" w:cs="Arial" w:eastAsia="Arial" w:hAnsi="Arial"/>
          <w:sz w:val="19"/>
          <w:szCs w:val="19"/>
          <w:color w:val="auto"/>
        </w:rPr>
      </w:pPr>
      <w:r>
        <w:rPr>
          <w:rFonts w:ascii="Arial" w:cs="Arial" w:eastAsia="Arial" w:hAnsi="Arial"/>
          <w:sz w:val="19"/>
          <w:szCs w:val="19"/>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ind w:right="40"/>
        <w:spacing w:after="0" w:line="245" w:lineRule="auto"/>
        <w:rPr>
          <w:sz w:val="20"/>
          <w:szCs w:val="20"/>
          <w:color w:val="auto"/>
        </w:rPr>
      </w:pPr>
      <w:r>
        <w:rPr>
          <w:rFonts w:ascii="Arial" w:cs="Arial" w:eastAsia="Arial" w:hAnsi="Arial"/>
          <w:sz w:val="21"/>
          <w:szCs w:val="21"/>
          <w:color w:val="auto"/>
        </w:rPr>
        <w:t>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 (i).</w:t>
      </w:r>
    </w:p>
    <w:p>
      <w:pPr>
        <w:spacing w:after="0" w:line="209" w:lineRule="exact"/>
        <w:rPr>
          <w:sz w:val="20"/>
          <w:szCs w:val="20"/>
          <w:color w:val="auto"/>
        </w:rPr>
      </w:pPr>
    </w:p>
    <w:p>
      <w:pPr>
        <w:ind w:left="1740" w:hanging="855"/>
        <w:spacing w:after="0"/>
        <w:tabs>
          <w:tab w:leader="none" w:pos="1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Clawback of Certain Compensation and Benefits</w:t>
      </w:r>
    </w:p>
    <w:p>
      <w:pPr>
        <w:spacing w:after="0" w:line="206" w:lineRule="exact"/>
        <w:rPr>
          <w:sz w:val="20"/>
          <w:szCs w:val="20"/>
          <w:color w:val="auto"/>
        </w:rPr>
      </w:pPr>
    </w:p>
    <w:p>
      <w:pPr>
        <w:jc w:val="right"/>
        <w:spacing w:after="0"/>
        <w:tabs>
          <w:tab w:leader="none" w:pos="93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If, after the termination of the Term of Employment for any reason other than by the Company for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“justifiable cause”:</w:t>
      </w:r>
    </w:p>
    <w:p>
      <w:pPr>
        <w:spacing w:after="0" w:line="200" w:lineRule="exact"/>
        <w:rPr>
          <w:sz w:val="20"/>
          <w:szCs w:val="20"/>
          <w:color w:val="auto"/>
        </w:rPr>
      </w:pPr>
    </w:p>
    <w:p>
      <w:pPr>
        <w:spacing w:after="0" w:line="231" w:lineRule="exact"/>
        <w:rPr>
          <w:sz w:val="20"/>
          <w:szCs w:val="20"/>
          <w:color w:val="auto"/>
        </w:rPr>
      </w:pPr>
    </w:p>
    <w:p>
      <w:pPr>
        <w:jc w:val="both"/>
        <w:ind w:firstLine="2093"/>
        <w:spacing w:after="0" w:line="287" w:lineRule="auto"/>
        <w:tabs>
          <w:tab w:leader="none" w:pos="2937" w:val="left"/>
        </w:tabs>
        <w:numPr>
          <w:ilvl w:val="0"/>
          <w:numId w:val="23"/>
        </w:numPr>
        <w:rPr>
          <w:rFonts w:ascii="Arial" w:cs="Arial" w:eastAsia="Arial" w:hAnsi="Arial"/>
          <w:sz w:val="19"/>
          <w:szCs w:val="19"/>
          <w:color w:val="auto"/>
        </w:rPr>
      </w:pPr>
      <w:r>
        <w:rPr>
          <w:rFonts w:ascii="Arial" w:cs="Arial" w:eastAsia="Arial" w:hAnsi="Arial"/>
          <w:sz w:val="19"/>
          <w:szCs w:val="19"/>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43" w:lineRule="exact"/>
        <w:rPr>
          <w:rFonts w:ascii="Arial" w:cs="Arial" w:eastAsia="Arial" w:hAnsi="Arial"/>
          <w:sz w:val="19"/>
          <w:szCs w:val="19"/>
          <w:color w:val="auto"/>
        </w:rPr>
      </w:pPr>
    </w:p>
    <w:p>
      <w:pPr>
        <w:jc w:val="both"/>
        <w:ind w:firstLine="2093"/>
        <w:spacing w:after="0" w:line="238" w:lineRule="auto"/>
        <w:tabs>
          <w:tab w:leader="none" w:pos="2997"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85" w:lineRule="exact"/>
        <w:rPr>
          <w:sz w:val="20"/>
          <w:szCs w:val="20"/>
          <w:color w:val="auto"/>
        </w:rPr>
      </w:pPr>
    </w:p>
    <w:p>
      <w:pPr>
        <w:jc w:val="both"/>
        <w:ind w:firstLine="3511"/>
        <w:spacing w:after="0" w:line="234" w:lineRule="auto"/>
        <w:rPr>
          <w:sz w:val="20"/>
          <w:szCs w:val="20"/>
          <w:color w:val="auto"/>
        </w:rPr>
      </w:pPr>
      <w:r>
        <w:rPr>
          <w:rFonts w:ascii="Arial" w:cs="Arial" w:eastAsia="Arial" w:hAnsi="Arial"/>
          <w:sz w:val="22"/>
          <w:szCs w:val="22"/>
          <w:color w:val="auto"/>
        </w:rPr>
        <w:t>(A) 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91" w:lineRule="exact"/>
        <w:rPr>
          <w:sz w:val="20"/>
          <w:szCs w:val="20"/>
          <w:color w:val="auto"/>
        </w:rPr>
      </w:pPr>
    </w:p>
    <w:p>
      <w:pPr>
        <w:ind w:right="20" w:firstLine="3511"/>
        <w:spacing w:after="0" w:line="251" w:lineRule="auto"/>
        <w:rPr>
          <w:sz w:val="20"/>
          <w:szCs w:val="20"/>
          <w:color w:val="auto"/>
        </w:rPr>
      </w:pPr>
      <w:r>
        <w:rPr>
          <w:rFonts w:ascii="Arial" w:cs="Arial" w:eastAsia="Arial" w:hAnsi="Arial"/>
          <w:sz w:val="22"/>
          <w:szCs w:val="22"/>
          <w:color w:val="auto"/>
        </w:rPr>
        <w:t>(B) all vested and unvested Awards (as that term is defined in the 2016 Incentive Compensation Plan) then held by the Executive shall immediately expire; and</w:t>
      </w:r>
    </w:p>
    <w:p>
      <w:pPr>
        <w:spacing w:after="0" w:line="173" w:lineRule="exact"/>
        <w:rPr>
          <w:sz w:val="20"/>
          <w:szCs w:val="20"/>
          <w:color w:val="auto"/>
        </w:rPr>
      </w:pPr>
    </w:p>
    <w:p>
      <w:pPr>
        <w:ind w:left="3520"/>
        <w:spacing w:after="0"/>
        <w:tabs>
          <w:tab w:leader="none" w:pos="70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the Executive shall be required to pay to the</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Company, immediately upon written demand by the Company, an amount equal to any Gains resulting from the exercise or payment of any Awards (as that term is defined in the 2016 Incentive Compensation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9"/>
          <w:szCs w:val="19"/>
          <w:color w:val="auto"/>
        </w:rPr>
        <w:t>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53" w:lineRule="exact"/>
        <w:rPr>
          <w:sz w:val="20"/>
          <w:szCs w:val="20"/>
          <w:color w:val="auto"/>
        </w:rPr>
      </w:pPr>
    </w:p>
    <w:p>
      <w:pPr>
        <w:jc w:val="both"/>
        <w:ind w:right="620" w:firstLine="1061"/>
        <w:spacing w:after="0" w:line="328" w:lineRule="auto"/>
        <w:tabs>
          <w:tab w:leader="none" w:pos="2007"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Any payment pursuant to paragraph 7(e) or 7(j) shall be contingent upon Executive’s execution of the General Release within 21 days after termination of the Term of Employment, and the Executive’s not revoking that release.</w:t>
      </w:r>
    </w:p>
    <w:p>
      <w:pPr>
        <w:spacing w:after="0" w:line="346"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8.</w:t>
            </w:r>
          </w:p>
        </w:tc>
        <w:tc>
          <w:tcPr>
            <w:tcW w:w="108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Arial" w:cs="Arial" w:eastAsia="Arial" w:hAnsi="Arial"/>
                <w:sz w:val="22"/>
                <w:szCs w:val="22"/>
                <w:color w:val="auto"/>
              </w:rPr>
              <w:t>COMPLIANCE WITH SECTION 409A</w:t>
            </w:r>
          </w:p>
        </w:tc>
      </w:tr>
      <w:tr>
        <w:trPr>
          <w:trHeight w:val="20"/>
        </w:trPr>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458"/>
        </w:trPr>
        <w:tc>
          <w:tcPr>
            <w:tcW w:w="520" w:type="dxa"/>
            <w:vAlign w:val="bottom"/>
          </w:tcPr>
          <w:p>
            <w:pPr>
              <w:spacing w:after="0"/>
              <w:rPr>
                <w:sz w:val="20"/>
                <w:szCs w:val="20"/>
                <w:color w:val="auto"/>
              </w:rPr>
            </w:pPr>
            <w:r>
              <w:rPr>
                <w:rFonts w:ascii="Arial" w:cs="Arial" w:eastAsia="Arial" w:hAnsi="Arial"/>
                <w:sz w:val="22"/>
                <w:szCs w:val="22"/>
                <w:color w:val="auto"/>
              </w:rPr>
              <w:t>(a)</w:t>
            </w:r>
          </w:p>
        </w:tc>
        <w:tc>
          <w:tcPr>
            <w:tcW w:w="10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22"/>
                <w:szCs w:val="22"/>
                <w:color w:val="auto"/>
                <w:w w:val="93"/>
              </w:rPr>
              <w:t>General.  It is the intention of both the Company and the Executive that the benefits and rights to which the</w:t>
            </w:r>
          </w:p>
        </w:tc>
      </w:tr>
      <w:tr>
        <w:trPr>
          <w:trHeight w:val="243"/>
        </w:trPr>
        <w:tc>
          <w:tcPr>
            <w:tcW w:w="520" w:type="dxa"/>
            <w:vAlign w:val="bottom"/>
          </w:tcPr>
          <w:p>
            <w:pPr>
              <w:spacing w:after="0"/>
              <w:rPr>
                <w:sz w:val="21"/>
                <w:szCs w:val="21"/>
                <w:color w:val="auto"/>
              </w:rPr>
            </w:pPr>
          </w:p>
        </w:tc>
        <w:tc>
          <w:tcPr>
            <w:tcW w:w="1082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7"/>
              </w:rPr>
              <w:t>Executive could be entitled pursuant to this Agreement comply with Section 409A of the Code and the Treasury</w:t>
            </w:r>
          </w:p>
        </w:tc>
      </w:tr>
      <w:tr>
        <w:trPr>
          <w:trHeight w:val="243"/>
        </w:trPr>
        <w:tc>
          <w:tcPr>
            <w:tcW w:w="520" w:type="dxa"/>
            <w:vAlign w:val="bottom"/>
          </w:tcPr>
          <w:p>
            <w:pPr>
              <w:spacing w:after="0"/>
              <w:rPr>
                <w:sz w:val="21"/>
                <w:szCs w:val="21"/>
                <w:color w:val="auto"/>
              </w:rPr>
            </w:pPr>
          </w:p>
        </w:tc>
        <w:tc>
          <w:tcPr>
            <w:tcW w:w="1082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88"/>
              </w:rPr>
              <w:t>Regulations and other guidance promulgated or issued thereunder (“Section 409A”), to the extent that the requirements of</w:t>
            </w:r>
          </w:p>
        </w:tc>
      </w:tr>
      <w:tr>
        <w:trPr>
          <w:trHeight w:val="243"/>
        </w:trPr>
        <w:tc>
          <w:tcPr>
            <w:tcW w:w="520" w:type="dxa"/>
            <w:vAlign w:val="bottom"/>
          </w:tcPr>
          <w:p>
            <w:pPr>
              <w:spacing w:after="0"/>
              <w:rPr>
                <w:sz w:val="21"/>
                <w:szCs w:val="21"/>
                <w:color w:val="auto"/>
              </w:rPr>
            </w:pPr>
          </w:p>
        </w:tc>
        <w:tc>
          <w:tcPr>
            <w:tcW w:w="1082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89"/>
              </w:rPr>
              <w:t>Section 409A are applicable thereto, and the provisions of this Agreement shall be construed in a manner consistent with</w:t>
            </w:r>
          </w:p>
        </w:tc>
      </w:tr>
      <w:tr>
        <w:trPr>
          <w:trHeight w:val="243"/>
        </w:trPr>
        <w:tc>
          <w:tcPr>
            <w:tcW w:w="520" w:type="dxa"/>
            <w:vAlign w:val="bottom"/>
          </w:tcPr>
          <w:p>
            <w:pPr>
              <w:spacing w:after="0"/>
              <w:rPr>
                <w:sz w:val="21"/>
                <w:szCs w:val="21"/>
                <w:color w:val="auto"/>
              </w:rPr>
            </w:pPr>
          </w:p>
        </w:tc>
        <w:tc>
          <w:tcPr>
            <w:tcW w:w="1082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4"/>
              </w:rPr>
              <w:t>that intention.  If the Executive or the Company believes, at any time, that any such benefit or right that is subject to</w:t>
            </w:r>
          </w:p>
        </w:tc>
      </w:tr>
      <w:tr>
        <w:trPr>
          <w:trHeight w:val="243"/>
        </w:trPr>
        <w:tc>
          <w:tcPr>
            <w:tcW w:w="520" w:type="dxa"/>
            <w:vAlign w:val="bottom"/>
          </w:tcPr>
          <w:p>
            <w:pPr>
              <w:spacing w:after="0"/>
              <w:rPr>
                <w:sz w:val="21"/>
                <w:szCs w:val="21"/>
                <w:color w:val="auto"/>
              </w:rPr>
            </w:pPr>
          </w:p>
        </w:tc>
        <w:tc>
          <w:tcPr>
            <w:tcW w:w="1082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1"/>
              </w:rPr>
              <w:t>Section 409A does not so comply, it shall promptly advise the other and shall negotiate reasonably and in good faith to</w:t>
            </w:r>
          </w:p>
        </w:tc>
      </w:tr>
      <w:tr>
        <w:trPr>
          <w:trHeight w:val="243"/>
        </w:trPr>
        <w:tc>
          <w:tcPr>
            <w:tcW w:w="520" w:type="dxa"/>
            <w:vAlign w:val="bottom"/>
          </w:tcPr>
          <w:p>
            <w:pPr>
              <w:spacing w:after="0"/>
              <w:rPr>
                <w:sz w:val="21"/>
                <w:szCs w:val="21"/>
                <w:color w:val="auto"/>
              </w:rPr>
            </w:pPr>
          </w:p>
        </w:tc>
        <w:tc>
          <w:tcPr>
            <w:tcW w:w="1082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2"/>
              </w:rPr>
              <w:t>amend the timing of such benefits and rights such that they comply with Section 409A (with the most limited possible</w:t>
            </w:r>
          </w:p>
        </w:tc>
      </w:tr>
      <w:tr>
        <w:trPr>
          <w:trHeight w:val="275"/>
        </w:trPr>
        <w:tc>
          <w:tcPr>
            <w:tcW w:w="520" w:type="dxa"/>
            <w:vAlign w:val="bottom"/>
          </w:tcPr>
          <w:p>
            <w:pPr>
              <w:spacing w:after="0"/>
              <w:rPr>
                <w:sz w:val="23"/>
                <w:szCs w:val="23"/>
                <w:color w:val="auto"/>
              </w:rPr>
            </w:pPr>
          </w:p>
        </w:tc>
        <w:tc>
          <w:tcPr>
            <w:tcW w:w="10820" w:type="dxa"/>
            <w:vAlign w:val="bottom"/>
            <w:gridSpan w:val="3"/>
          </w:tcPr>
          <w:p>
            <w:pPr>
              <w:ind w:left="280"/>
              <w:spacing w:after="0"/>
              <w:rPr>
                <w:sz w:val="20"/>
                <w:szCs w:val="20"/>
                <w:color w:val="auto"/>
              </w:rPr>
            </w:pPr>
            <w:r>
              <w:rPr>
                <w:rFonts w:ascii="Arial" w:cs="Arial" w:eastAsia="Arial" w:hAnsi="Arial"/>
                <w:sz w:val="22"/>
                <w:szCs w:val="22"/>
                <w:color w:val="auto"/>
              </w:rPr>
              <w:t>economic effect on the Executive).</w:t>
            </w:r>
          </w:p>
        </w:tc>
      </w:tr>
      <w:tr>
        <w:trPr>
          <w:trHeight w:val="428"/>
        </w:trPr>
        <w:tc>
          <w:tcPr>
            <w:tcW w:w="520" w:type="dxa"/>
            <w:vAlign w:val="bottom"/>
          </w:tcPr>
          <w:p>
            <w:pPr>
              <w:spacing w:after="0"/>
              <w:rPr>
                <w:sz w:val="20"/>
                <w:szCs w:val="20"/>
                <w:color w:val="auto"/>
              </w:rPr>
            </w:pPr>
            <w:r>
              <w:rPr>
                <w:rFonts w:ascii="Arial" w:cs="Arial" w:eastAsia="Arial" w:hAnsi="Arial"/>
                <w:sz w:val="22"/>
                <w:szCs w:val="22"/>
                <w:color w:val="auto"/>
              </w:rPr>
              <w:t>(b)</w:t>
            </w:r>
          </w:p>
        </w:tc>
        <w:tc>
          <w:tcPr>
            <w:tcW w:w="10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22"/>
                <w:szCs w:val="22"/>
                <w:color w:val="auto"/>
                <w:w w:val="95"/>
              </w:rPr>
              <w:t>Distributions on Account of Separation from Service.  If and to the extent required to comply with Section</w:t>
            </w:r>
          </w:p>
        </w:tc>
      </w:tr>
      <w:tr>
        <w:trPr>
          <w:trHeight w:val="243"/>
        </w:trPr>
        <w:tc>
          <w:tcPr>
            <w:tcW w:w="520" w:type="dxa"/>
            <w:vAlign w:val="bottom"/>
          </w:tcPr>
          <w:p>
            <w:pPr>
              <w:spacing w:after="0"/>
              <w:rPr>
                <w:sz w:val="21"/>
                <w:szCs w:val="21"/>
                <w:color w:val="auto"/>
              </w:rPr>
            </w:pPr>
          </w:p>
        </w:tc>
        <w:tc>
          <w:tcPr>
            <w:tcW w:w="1082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4"/>
              </w:rPr>
              <w:t>409A, no payment or benefit required to be paid under this Agreement on account of termination of the Executive’s</w:t>
            </w:r>
          </w:p>
        </w:tc>
      </w:tr>
      <w:tr>
        <w:trPr>
          <w:trHeight w:val="243"/>
        </w:trPr>
        <w:tc>
          <w:tcPr>
            <w:tcW w:w="520" w:type="dxa"/>
            <w:vAlign w:val="bottom"/>
          </w:tcPr>
          <w:p>
            <w:pPr>
              <w:spacing w:after="0"/>
              <w:rPr>
                <w:sz w:val="21"/>
                <w:szCs w:val="21"/>
                <w:color w:val="auto"/>
              </w:rPr>
            </w:pPr>
          </w:p>
        </w:tc>
        <w:tc>
          <w:tcPr>
            <w:tcW w:w="1082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5"/>
              </w:rPr>
              <w:t>employment shall be made unless and until the Executive incurs a “separation from service” within the meaning of</w:t>
            </w:r>
          </w:p>
        </w:tc>
      </w:tr>
      <w:tr>
        <w:trPr>
          <w:trHeight w:val="275"/>
        </w:trPr>
        <w:tc>
          <w:tcPr>
            <w:tcW w:w="520" w:type="dxa"/>
            <w:vAlign w:val="bottom"/>
          </w:tcPr>
          <w:p>
            <w:pPr>
              <w:spacing w:after="0"/>
              <w:rPr>
                <w:sz w:val="23"/>
                <w:szCs w:val="23"/>
                <w:color w:val="auto"/>
              </w:rPr>
            </w:pPr>
          </w:p>
        </w:tc>
        <w:tc>
          <w:tcPr>
            <w:tcW w:w="10820" w:type="dxa"/>
            <w:vAlign w:val="bottom"/>
            <w:gridSpan w:val="3"/>
          </w:tcPr>
          <w:p>
            <w:pPr>
              <w:ind w:left="280"/>
              <w:spacing w:after="0"/>
              <w:rPr>
                <w:sz w:val="20"/>
                <w:szCs w:val="20"/>
                <w:color w:val="auto"/>
              </w:rPr>
            </w:pPr>
            <w:r>
              <w:rPr>
                <w:rFonts w:ascii="Arial" w:cs="Arial" w:eastAsia="Arial" w:hAnsi="Arial"/>
                <w:sz w:val="22"/>
                <w:szCs w:val="22"/>
                <w:color w:val="auto"/>
              </w:rPr>
              <w:t>Section 409A.</w:t>
            </w:r>
          </w:p>
        </w:tc>
      </w:tr>
      <w:tr>
        <w:trPr>
          <w:trHeight w:val="459"/>
        </w:trPr>
        <w:tc>
          <w:tcPr>
            <w:tcW w:w="520" w:type="dxa"/>
            <w:vAlign w:val="bottom"/>
          </w:tcPr>
          <w:p>
            <w:pPr>
              <w:spacing w:after="0"/>
              <w:rPr>
                <w:sz w:val="20"/>
                <w:szCs w:val="20"/>
                <w:color w:val="auto"/>
              </w:rPr>
            </w:pPr>
            <w:r>
              <w:rPr>
                <w:rFonts w:ascii="Arial" w:cs="Arial" w:eastAsia="Arial" w:hAnsi="Arial"/>
                <w:sz w:val="22"/>
                <w:szCs w:val="22"/>
                <w:color w:val="auto"/>
              </w:rPr>
              <w:t>(c)</w:t>
            </w:r>
          </w:p>
        </w:tc>
        <w:tc>
          <w:tcPr>
            <w:tcW w:w="10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22"/>
                <w:szCs w:val="22"/>
                <w:color w:val="auto"/>
              </w:rPr>
              <w:t>6 Month Delay for “Specified Employees”.</w:t>
            </w:r>
          </w:p>
        </w:tc>
      </w:tr>
    </w:tbl>
    <w:p>
      <w:pPr>
        <w:spacing w:after="0" w:line="185" w:lineRule="exact"/>
        <w:rPr>
          <w:sz w:val="20"/>
          <w:szCs w:val="20"/>
          <w:color w:val="auto"/>
        </w:rPr>
      </w:pPr>
    </w:p>
    <w:p>
      <w:pPr>
        <w:ind w:right="60" w:firstLine="1763"/>
        <w:spacing w:after="0" w:line="275" w:lineRule="auto"/>
        <w:tabs>
          <w:tab w:leader="none" w:pos="2013" w:val="left"/>
        </w:tabs>
        <w:numPr>
          <w:ilvl w:val="0"/>
          <w:numId w:val="25"/>
        </w:numPr>
        <w:rPr>
          <w:rFonts w:ascii="Arial" w:cs="Arial" w:eastAsia="Arial" w:hAnsi="Arial"/>
          <w:sz w:val="19"/>
          <w:szCs w:val="19"/>
          <w:color w:val="auto"/>
        </w:rPr>
      </w:pPr>
      <w:r>
        <w:rPr>
          <w:rFonts w:ascii="Arial" w:cs="Arial" w:eastAsia="Arial" w:hAnsi="Arial"/>
          <w:sz w:val="19"/>
          <w:szCs w:val="19"/>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auto"/>
        </w:rPr>
        <w:t>from the date on which the payment otherwise would have been made until the date on which the payment is made.</w:t>
      </w:r>
    </w:p>
    <w:p>
      <w:pPr>
        <w:spacing w:after="0" w:line="234" w:lineRule="exact"/>
        <w:rPr>
          <w:sz w:val="20"/>
          <w:szCs w:val="20"/>
          <w:color w:val="auto"/>
        </w:rPr>
      </w:pPr>
    </w:p>
    <w:p>
      <w:pPr>
        <w:jc w:val="both"/>
        <w:ind w:firstLine="1763"/>
        <w:spacing w:after="0" w:line="287" w:lineRule="auto"/>
        <w:tabs>
          <w:tab w:leader="none" w:pos="2096" w:val="left"/>
        </w:tabs>
        <w:numPr>
          <w:ilvl w:val="0"/>
          <w:numId w:val="26"/>
        </w:numPr>
        <w:rPr>
          <w:rFonts w:ascii="Arial" w:cs="Arial" w:eastAsia="Arial" w:hAnsi="Arial"/>
          <w:sz w:val="19"/>
          <w:szCs w:val="19"/>
          <w:color w:val="auto"/>
        </w:rPr>
      </w:pPr>
      <w:r>
        <w:rPr>
          <w:rFonts w:ascii="Arial" w:cs="Arial" w:eastAsia="Arial" w:hAnsi="Arial"/>
          <w:sz w:val="19"/>
          <w:szCs w:val="19"/>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sz w:val="20"/>
          <w:szCs w:val="20"/>
          <w:color w:val="auto"/>
        </w:rPr>
      </w:pPr>
    </w:p>
    <w:p>
      <w:pPr>
        <w:jc w:val="both"/>
        <w:ind w:left="880" w:hanging="797"/>
        <w:spacing w:after="0" w:line="238" w:lineRule="auto"/>
        <w:tabs>
          <w:tab w:leader="none" w:pos="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5" w:lineRule="exact"/>
        <w:rPr>
          <w:sz w:val="20"/>
          <w:szCs w:val="20"/>
          <w:color w:val="auto"/>
        </w:rPr>
      </w:pPr>
    </w:p>
    <w:p>
      <w:pPr>
        <w:jc w:val="both"/>
        <w:ind w:left="880" w:hanging="797"/>
        <w:spacing w:after="0" w:line="252" w:lineRule="auto"/>
        <w:tabs>
          <w:tab w:leader="none" w:pos="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1"/>
          <w:szCs w:val="21"/>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ectPr>
          <w:pgSz w:w="11900" w:h="16838" w:orient="portrait"/>
          <w:cols w:equalWidth="0" w:num="1">
            <w:col w:w="11420"/>
          </w:cols>
          <w:pgMar w:left="240" w:top="118" w:right="239" w:bottom="1440" w:gutter="0" w:footer="0" w:header="0"/>
        </w:sectPr>
      </w:pPr>
    </w:p>
    <w:p>
      <w:pPr>
        <w:spacing w:after="0" w:line="174" w:lineRule="exact"/>
        <w:rPr>
          <w:sz w:val="20"/>
          <w:szCs w:val="20"/>
          <w:color w:val="auto"/>
        </w:rPr>
      </w:pPr>
    </w:p>
    <w:p>
      <w:pPr>
        <w:ind w:left="80"/>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Taxable Reimbursements.</w:t>
      </w:r>
    </w:p>
    <w:p>
      <w:pPr>
        <w:spacing w:after="0" w:line="234" w:lineRule="exact"/>
        <w:rPr>
          <w:sz w:val="20"/>
          <w:szCs w:val="20"/>
          <w:color w:val="auto"/>
        </w:rPr>
      </w:pPr>
    </w:p>
    <w:p>
      <w:pPr>
        <w:sectPr>
          <w:pgSz w:w="11900" w:h="16838" w:orient="portrait"/>
          <w:cols w:equalWidth="0" w:num="2">
            <w:col w:w="960" w:space="720"/>
            <w:col w:w="9740"/>
          </w:cols>
          <w:pgMar w:left="240" w:top="118" w:right="239" w:bottom="1440" w:gutter="0" w:footer="0" w:header="0"/>
          <w:type w:val="continuous"/>
        </w:sectPr>
      </w:pPr>
    </w:p>
    <w:p>
      <w:pPr>
        <w:spacing w:after="0" w:line="6" w:lineRule="exact"/>
        <w:rPr>
          <w:sz w:val="20"/>
          <w:szCs w:val="20"/>
          <w:color w:val="auto"/>
        </w:rPr>
      </w:pPr>
    </w:p>
    <w:p>
      <w:pPr>
        <w:jc w:val="both"/>
        <w:ind w:firstLine="1763"/>
        <w:spacing w:after="0" w:line="252" w:lineRule="auto"/>
        <w:tabs>
          <w:tab w:leader="none" w:pos="2013" w:val="left"/>
        </w:tabs>
        <w:numPr>
          <w:ilvl w:val="2"/>
          <w:numId w:val="27"/>
        </w:numPr>
        <w:rPr>
          <w:rFonts w:ascii="Arial" w:cs="Arial" w:eastAsia="Arial" w:hAnsi="Arial"/>
          <w:sz w:val="21"/>
          <w:szCs w:val="21"/>
          <w:color w:val="auto"/>
        </w:rPr>
      </w:pPr>
      <w:r>
        <w:rPr>
          <w:rFonts w:ascii="Arial" w:cs="Arial" w:eastAsia="Arial" w:hAnsi="Arial"/>
          <w:sz w:val="21"/>
          <w:szCs w:val="21"/>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74" w:lineRule="exact"/>
        <w:rPr>
          <w:rFonts w:ascii="Arial" w:cs="Arial" w:eastAsia="Arial" w:hAnsi="Arial"/>
          <w:sz w:val="21"/>
          <w:szCs w:val="21"/>
          <w:color w:val="auto"/>
        </w:rPr>
      </w:pPr>
    </w:p>
    <w:p>
      <w:pPr>
        <w:ind w:firstLine="1763"/>
        <w:spacing w:after="0" w:line="328" w:lineRule="auto"/>
        <w:tabs>
          <w:tab w:leader="none" w:pos="2076" w:val="left"/>
        </w:tabs>
        <w:numPr>
          <w:ilvl w:val="2"/>
          <w:numId w:val="27"/>
        </w:numPr>
        <w:rPr>
          <w:rFonts w:ascii="Arial" w:cs="Arial" w:eastAsia="Arial" w:hAnsi="Arial"/>
          <w:sz w:val="19"/>
          <w:szCs w:val="19"/>
          <w:color w:val="auto"/>
        </w:rPr>
      </w:pPr>
      <w:r>
        <w:rPr>
          <w:rFonts w:ascii="Arial" w:cs="Arial" w:eastAsia="Arial" w:hAnsi="Arial"/>
          <w:sz w:val="19"/>
          <w:szCs w:val="19"/>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05" w:lineRule="exact"/>
        <w:rPr>
          <w:rFonts w:ascii="Arial" w:cs="Arial" w:eastAsia="Arial" w:hAnsi="Arial"/>
          <w:sz w:val="19"/>
          <w:szCs w:val="19"/>
          <w:color w:val="auto"/>
        </w:rPr>
      </w:pPr>
    </w:p>
    <w:p>
      <w:pPr>
        <w:ind w:left="2140" w:hanging="377"/>
        <w:spacing w:after="0"/>
        <w:tabs>
          <w:tab w:leader="none" w:pos="2140" w:val="left"/>
        </w:tabs>
        <w:numPr>
          <w:ilvl w:val="2"/>
          <w:numId w:val="27"/>
        </w:numPr>
        <w:rPr>
          <w:rFonts w:ascii="Arial" w:cs="Arial" w:eastAsia="Arial" w:hAnsi="Arial"/>
          <w:sz w:val="19"/>
          <w:szCs w:val="19"/>
          <w:color w:val="auto"/>
        </w:rPr>
      </w:pPr>
      <w:r>
        <w:rPr>
          <w:rFonts w:ascii="Arial" w:cs="Arial" w:eastAsia="Arial" w:hAnsi="Arial"/>
          <w:sz w:val="19"/>
          <w:szCs w:val="19"/>
          <w:color w:val="auto"/>
        </w:rPr>
        <w:t>The right to Taxable Reimbursements shall not be subject to liquidation or exchange for another benefit.</w:t>
      </w:r>
    </w:p>
    <w:p>
      <w:pPr>
        <w:spacing w:after="0" w:line="240" w:lineRule="exact"/>
        <w:rPr>
          <w:rFonts w:ascii="Arial" w:cs="Arial" w:eastAsia="Arial" w:hAnsi="Arial"/>
          <w:sz w:val="19"/>
          <w:szCs w:val="19"/>
          <w:color w:val="auto"/>
        </w:rPr>
      </w:pPr>
    </w:p>
    <w:p>
      <w:pPr>
        <w:ind w:left="1500" w:hanging="598"/>
        <w:spacing w:after="0"/>
        <w:tabs>
          <w:tab w:leader="none" w:pos="150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REPRESENTATION AND AGREEMENTS OF EXECUTIVE</w:t>
      </w:r>
    </w:p>
    <w:p>
      <w:pPr>
        <w:spacing w:after="0" w:line="233" w:lineRule="exact"/>
        <w:rPr>
          <w:rFonts w:ascii="Arial" w:cs="Arial" w:eastAsia="Arial" w:hAnsi="Arial"/>
          <w:sz w:val="22"/>
          <w:szCs w:val="22"/>
          <w:color w:val="auto"/>
        </w:rPr>
      </w:pPr>
    </w:p>
    <w:p>
      <w:pPr>
        <w:jc w:val="both"/>
        <w:ind w:firstLine="1057"/>
        <w:spacing w:after="0"/>
        <w:tabs>
          <w:tab w:leader="none" w:pos="1937" w:val="left"/>
        </w:tabs>
        <w:numPr>
          <w:ilvl w:val="1"/>
          <w:numId w:val="28"/>
        </w:numPr>
        <w:rPr>
          <w:rFonts w:ascii="Arial" w:cs="Arial" w:eastAsia="Arial" w:hAnsi="Arial"/>
          <w:sz w:val="22"/>
          <w:szCs w:val="22"/>
          <w:color w:val="auto"/>
        </w:rPr>
      </w:pPr>
      <w:r>
        <w:rPr>
          <w:rFonts w:ascii="Arial" w:cs="Arial" w:eastAsia="Arial" w:hAnsi="Arial"/>
          <w:sz w:val="22"/>
          <w:szCs w:val="22"/>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213" w:lineRule="exact"/>
        <w:rPr>
          <w:sz w:val="20"/>
          <w:szCs w:val="20"/>
          <w:color w:val="auto"/>
        </w:rPr>
      </w:pPr>
    </w:p>
    <w:p>
      <w:pPr>
        <w:ind w:right="40" w:firstLine="1106"/>
        <w:spacing w:after="0" w:line="297" w:lineRule="auto"/>
        <w:tabs>
          <w:tab w:leader="none" w:pos="1998" w:val="left"/>
        </w:tabs>
        <w:numPr>
          <w:ilvl w:val="0"/>
          <w:numId w:val="29"/>
        </w:numPr>
        <w:rPr>
          <w:rFonts w:ascii="Arial" w:cs="Arial" w:eastAsia="Arial" w:hAnsi="Arial"/>
          <w:sz w:val="19"/>
          <w:szCs w:val="19"/>
          <w:color w:val="auto"/>
        </w:rPr>
      </w:pPr>
      <w:r>
        <w:rPr>
          <w:rFonts w:ascii="Arial" w:cs="Arial" w:eastAsia="Arial" w:hAnsi="Arial"/>
          <w:sz w:val="19"/>
          <w:szCs w:val="19"/>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7" w:name="page38"/>
    <w:bookmarkEnd w:id="37"/>
    <w:p>
      <w:pPr>
        <w:ind w:right="20" w:firstLine="1106"/>
        <w:spacing w:after="0"/>
        <w:tabs>
          <w:tab w:leader="none" w:pos="1986" w:val="left"/>
        </w:tabs>
        <w:numPr>
          <w:ilvl w:val="0"/>
          <w:numId w:val="30"/>
        </w:numPr>
        <w:rPr>
          <w:rFonts w:ascii="Arial" w:cs="Arial" w:eastAsia="Arial" w:hAnsi="Arial"/>
          <w:sz w:val="22"/>
          <w:szCs w:val="22"/>
          <w:color w:val="auto"/>
        </w:rPr>
      </w:pPr>
      <w:r>
        <w:rPr>
          <w:rFonts w:ascii="Arial" w:cs="Arial" w:eastAsia="Arial" w:hAnsi="Arial"/>
          <w:sz w:val="22"/>
          <w:szCs w:val="22"/>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213" w:lineRule="exact"/>
        <w:rPr>
          <w:rFonts w:ascii="Arial" w:cs="Arial" w:eastAsia="Arial" w:hAnsi="Arial"/>
          <w:sz w:val="22"/>
          <w:szCs w:val="22"/>
          <w:color w:val="auto"/>
        </w:rPr>
      </w:pPr>
    </w:p>
    <w:p>
      <w:pPr>
        <w:jc w:val="both"/>
        <w:ind w:firstLine="1106"/>
        <w:spacing w:after="0" w:line="258" w:lineRule="auto"/>
        <w:tabs>
          <w:tab w:leader="none" w:pos="1998" w:val="left"/>
        </w:tabs>
        <w:numPr>
          <w:ilvl w:val="0"/>
          <w:numId w:val="30"/>
        </w:numPr>
        <w:rPr>
          <w:rFonts w:ascii="Arial" w:cs="Arial" w:eastAsia="Arial" w:hAnsi="Arial"/>
          <w:sz w:val="21"/>
          <w:szCs w:val="21"/>
          <w:color w:val="auto"/>
        </w:rPr>
      </w:pPr>
      <w:r>
        <w:rPr>
          <w:rFonts w:ascii="Arial" w:cs="Arial" w:eastAsia="Arial" w:hAnsi="Arial"/>
          <w:sz w:val="21"/>
          <w:szCs w:val="21"/>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93" w:lineRule="exact"/>
        <w:rPr>
          <w:rFonts w:ascii="Arial" w:cs="Arial" w:eastAsia="Arial" w:hAnsi="Arial"/>
          <w:sz w:val="21"/>
          <w:szCs w:val="21"/>
          <w:color w:val="auto"/>
        </w:rPr>
      </w:pPr>
    </w:p>
    <w:p>
      <w:pPr>
        <w:ind w:left="1660" w:hanging="554"/>
        <w:spacing w:after="0"/>
        <w:tabs>
          <w:tab w:leader="none" w:pos="16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Executive represents and warrants that he has never been accused of any impropriety in connection with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employment;</w:t>
      </w:r>
    </w:p>
    <w:p>
      <w:pPr>
        <w:spacing w:after="0" w:line="215"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Any breach of any of the above representations and warranties is "justifiable cause" for termination under paragraph 7(d) of this Agreement.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10.NON-COMPETITION</w:t>
      </w:r>
    </w:p>
    <w:p>
      <w:pPr>
        <w:spacing w:after="0" w:line="233" w:lineRule="exact"/>
        <w:rPr>
          <w:sz w:val="20"/>
          <w:szCs w:val="20"/>
          <w:color w:val="auto"/>
        </w:rPr>
      </w:pPr>
    </w:p>
    <w:p>
      <w:pPr>
        <w:jc w:val="both"/>
        <w:ind w:left="880" w:hanging="797"/>
        <w:spacing w:after="0" w:line="271" w:lineRule="auto"/>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200" w:lineRule="exact"/>
        <w:rPr>
          <w:sz w:val="20"/>
          <w:szCs w:val="20"/>
          <w:color w:val="auto"/>
        </w:rPr>
      </w:pPr>
    </w:p>
    <w:p>
      <w:pPr>
        <w:spacing w:after="0" w:line="232" w:lineRule="exact"/>
        <w:rPr>
          <w:sz w:val="20"/>
          <w:szCs w:val="20"/>
          <w:color w:val="auto"/>
        </w:rPr>
      </w:pPr>
    </w:p>
    <w:p>
      <w:pPr>
        <w:ind w:right="160" w:firstLine="885"/>
        <w:spacing w:after="0" w:line="282" w:lineRule="auto"/>
        <w:tabs>
          <w:tab w:leader="none" w:pos="1778"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8" w:name="page39"/>
    <w:bookmarkEnd w:id="38"/>
    <w:p>
      <w:pPr>
        <w:ind w:left="-40" w:right="200" w:firstLine="885"/>
        <w:spacing w:after="0" w:line="279" w:lineRule="auto"/>
        <w:tabs>
          <w:tab w:leader="none" w:pos="1725" w:val="left"/>
        </w:tabs>
        <w:numPr>
          <w:ilvl w:val="0"/>
          <w:numId w:val="32"/>
        </w:numPr>
        <w:rPr>
          <w:rFonts w:ascii="Arial" w:cs="Arial" w:eastAsia="Arial" w:hAnsi="Arial"/>
          <w:sz w:val="19"/>
          <w:szCs w:val="19"/>
          <w:color w:val="auto"/>
        </w:rPr>
      </w:pPr>
      <w:r>
        <w:rPr>
          <w:rFonts w:ascii="Arial" w:cs="Arial" w:eastAsia="Arial" w:hAnsi="Arial"/>
          <w:sz w:val="19"/>
          <w:szCs w:val="19"/>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78" w:lineRule="exact"/>
        <w:rPr>
          <w:rFonts w:ascii="Arial" w:cs="Arial" w:eastAsia="Arial" w:hAnsi="Arial"/>
          <w:sz w:val="19"/>
          <w:szCs w:val="19"/>
          <w:color w:val="auto"/>
        </w:rPr>
      </w:pPr>
    </w:p>
    <w:p>
      <w:pPr>
        <w:ind w:left="-40" w:firstLine="885"/>
        <w:spacing w:after="0" w:line="236" w:lineRule="auto"/>
        <w:tabs>
          <w:tab w:leader="none" w:pos="173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15" w:lineRule="exact"/>
        <w:rPr>
          <w:sz w:val="20"/>
          <w:szCs w:val="20"/>
          <w:color w:val="auto"/>
        </w:rPr>
      </w:pPr>
    </w:p>
    <w:p>
      <w:pPr>
        <w:ind w:left="1760" w:hanging="915"/>
        <w:spacing w:after="0"/>
        <w:tabs>
          <w:tab w:leader="none" w:pos="17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INVENTIONS AND DISCOVERIES</w:t>
      </w:r>
    </w:p>
    <w:p>
      <w:pPr>
        <w:spacing w:after="0" w:line="233" w:lineRule="exact"/>
        <w:rPr>
          <w:sz w:val="20"/>
          <w:szCs w:val="20"/>
          <w:color w:val="auto"/>
        </w:rPr>
      </w:pPr>
    </w:p>
    <w:p>
      <w:pPr>
        <w:ind w:left="-40" w:right="40" w:firstLine="885"/>
        <w:spacing w:after="0" w:line="275" w:lineRule="auto"/>
        <w:tabs>
          <w:tab w:leader="none" w:pos="1725" w:val="left"/>
        </w:tabs>
        <w:numPr>
          <w:ilvl w:val="0"/>
          <w:numId w:val="34"/>
        </w:numPr>
        <w:rPr>
          <w:rFonts w:ascii="Arial" w:cs="Arial" w:eastAsia="Arial" w:hAnsi="Arial"/>
          <w:sz w:val="19"/>
          <w:szCs w:val="19"/>
          <w:color w:val="auto"/>
        </w:rPr>
      </w:pPr>
      <w:r>
        <w:rPr>
          <w:rFonts w:ascii="Arial" w:cs="Arial" w:eastAsia="Arial" w:hAnsi="Arial"/>
          <w:sz w:val="19"/>
          <w:szCs w:val="19"/>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85" w:lineRule="exact"/>
        <w:rPr>
          <w:rFonts w:ascii="Arial" w:cs="Arial" w:eastAsia="Arial" w:hAnsi="Arial"/>
          <w:sz w:val="19"/>
          <w:szCs w:val="19"/>
          <w:color w:val="auto"/>
        </w:rPr>
      </w:pPr>
    </w:p>
    <w:p>
      <w:pPr>
        <w:ind w:left="-40" w:right="80" w:firstLine="885"/>
        <w:spacing w:after="0" w:line="245" w:lineRule="auto"/>
        <w:tabs>
          <w:tab w:leader="none" w:pos="1738" w:val="left"/>
        </w:tabs>
        <w:numPr>
          <w:ilvl w:val="0"/>
          <w:numId w:val="34"/>
        </w:numPr>
        <w:rPr>
          <w:rFonts w:ascii="Arial" w:cs="Arial" w:eastAsia="Arial" w:hAnsi="Arial"/>
          <w:sz w:val="21"/>
          <w:szCs w:val="21"/>
          <w:color w:val="auto"/>
        </w:rPr>
      </w:pPr>
      <w:r>
        <w:rPr>
          <w:rFonts w:ascii="Arial" w:cs="Arial" w:eastAsia="Arial" w:hAnsi="Arial"/>
          <w:sz w:val="21"/>
          <w:szCs w:val="21"/>
          <w:color w:val="auto"/>
        </w:rPr>
        <w:t>Executive hereby assigns and transfers, and agrees to assign and transfer, to the Company, allhis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09" w:lineRule="exact"/>
        <w:rPr>
          <w:sz w:val="20"/>
          <w:szCs w:val="20"/>
          <w:color w:val="auto"/>
        </w:rPr>
      </w:pPr>
    </w:p>
    <w:p>
      <w:pPr>
        <w:ind w:left="1760" w:hanging="915"/>
        <w:spacing w:after="0"/>
        <w:tabs>
          <w:tab w:leader="none" w:pos="17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208280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118" w:right="259" w:bottom="1440" w:gutter="0" w:footer="0" w:header="0"/>
        </w:sectPr>
      </w:pPr>
    </w:p>
    <w:bookmarkStart w:id="39" w:name="page40"/>
    <w:bookmarkEnd w:id="39"/>
    <w:p>
      <w:pPr>
        <w:ind w:firstLine="885"/>
        <w:spacing w:after="0" w:line="270" w:lineRule="auto"/>
        <w:tabs>
          <w:tab w:leader="none" w:pos="1765" w:val="left"/>
        </w:tabs>
        <w:numPr>
          <w:ilvl w:val="0"/>
          <w:numId w:val="36"/>
        </w:numPr>
        <w:rPr>
          <w:rFonts w:ascii="Arial" w:cs="Arial" w:eastAsia="Arial" w:hAnsi="Arial"/>
          <w:sz w:val="19"/>
          <w:szCs w:val="19"/>
          <w:color w:val="auto"/>
        </w:rPr>
      </w:pPr>
      <w:r>
        <w:rPr>
          <w:rFonts w:ascii="Arial" w:cs="Arial" w:eastAsia="Arial" w:hAnsi="Arial"/>
          <w:sz w:val="19"/>
          <w:szCs w:val="19"/>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right="420" w:firstLine="885"/>
        <w:spacing w:after="0" w:line="282" w:lineRule="auto"/>
        <w:tabs>
          <w:tab w:leader="none" w:pos="1778" w:val="left"/>
        </w:tabs>
        <w:numPr>
          <w:ilvl w:val="0"/>
          <w:numId w:val="36"/>
        </w:numPr>
        <w:rPr>
          <w:rFonts w:ascii="Arial" w:cs="Arial" w:eastAsia="Arial" w:hAnsi="Arial"/>
          <w:sz w:val="19"/>
          <w:szCs w:val="19"/>
          <w:color w:val="auto"/>
        </w:rPr>
      </w:pPr>
      <w:r>
        <w:rPr>
          <w:rFonts w:ascii="Arial" w:cs="Arial" w:eastAsia="Arial" w:hAnsi="Arial"/>
          <w:sz w:val="19"/>
          <w:szCs w:val="19"/>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75" w:lineRule="exact"/>
        <w:rPr>
          <w:sz w:val="20"/>
          <w:szCs w:val="20"/>
          <w:color w:val="auto"/>
        </w:rPr>
      </w:pPr>
    </w:p>
    <w:p>
      <w:pPr>
        <w:ind w:left="1800" w:hanging="915"/>
        <w:spacing w:after="0"/>
        <w:tabs>
          <w:tab w:leader="none" w:pos="18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p>
    <w:p>
      <w:pPr>
        <w:spacing w:after="0" w:line="233"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0" w:name="page41"/>
    <w:bookmarkEnd w:id="40"/>
    <w:p>
      <w:pPr>
        <w:ind w:right="260"/>
        <w:spacing w:after="0" w:line="251" w:lineRule="auto"/>
        <w:rPr>
          <w:sz w:val="20"/>
          <w:szCs w:val="20"/>
          <w:color w:val="auto"/>
        </w:rPr>
      </w:pPr>
      <w:r>
        <w:rPr>
          <w:rFonts w:ascii="Arial" w:cs="Arial" w:eastAsia="Arial" w:hAnsi="Arial"/>
          <w:sz w:val="22"/>
          <w:szCs w:val="22"/>
          <w:color w:val="auto"/>
        </w:rPr>
        <w:t>such damages, attorneys’ fees and costs shall be in addition to and not in lieu of any injunctive relief that may be available to the Company.</w:t>
      </w:r>
    </w:p>
    <w:p>
      <w:pPr>
        <w:spacing w:after="0" w:line="201" w:lineRule="exact"/>
        <w:rPr>
          <w:sz w:val="20"/>
          <w:szCs w:val="20"/>
          <w:color w:val="auto"/>
        </w:rPr>
      </w:pPr>
    </w:p>
    <w:p>
      <w:pPr>
        <w:ind w:left="1800" w:hanging="915"/>
        <w:spacing w:after="0"/>
        <w:tabs>
          <w:tab w:leader="none" w:pos="18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AMENDMENT OR ALTERATION</w:t>
      </w:r>
    </w:p>
    <w:p>
      <w:pPr>
        <w:spacing w:after="0" w:line="233" w:lineRule="exact"/>
        <w:rPr>
          <w:sz w:val="20"/>
          <w:szCs w:val="20"/>
          <w:color w:val="auto"/>
        </w:rPr>
      </w:pPr>
    </w:p>
    <w:p>
      <w:pPr>
        <w:ind w:right="220" w:firstLine="877"/>
        <w:spacing w:after="0" w:line="251" w:lineRule="auto"/>
        <w:rPr>
          <w:sz w:val="20"/>
          <w:szCs w:val="20"/>
          <w:color w:val="auto"/>
        </w:rPr>
      </w:pPr>
      <w:r>
        <w:rPr>
          <w:rFonts w:ascii="Arial" w:cs="Arial" w:eastAsia="Arial" w:hAnsi="Arial"/>
          <w:sz w:val="22"/>
          <w:szCs w:val="22"/>
          <w:color w:val="auto"/>
        </w:rPr>
        <w:t>No amendment or alteration of the terms of this Agreement shall be valid unless made in writing and signed by both of the parties hereto.</w:t>
      </w:r>
    </w:p>
    <w:p>
      <w:pPr>
        <w:spacing w:after="0" w:line="200" w:lineRule="exact"/>
        <w:rPr>
          <w:sz w:val="20"/>
          <w:szCs w:val="20"/>
          <w:color w:val="auto"/>
        </w:rPr>
      </w:pPr>
    </w:p>
    <w:p>
      <w:pPr>
        <w:ind w:left="1800" w:hanging="915"/>
        <w:spacing w:after="0"/>
        <w:tabs>
          <w:tab w:leader="none" w:pos="180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GOVERNING LAW</w:t>
      </w:r>
    </w:p>
    <w:p>
      <w:pPr>
        <w:spacing w:after="0" w:line="233" w:lineRule="exact"/>
        <w:rPr>
          <w:sz w:val="20"/>
          <w:szCs w:val="20"/>
          <w:color w:val="auto"/>
        </w:rPr>
      </w:pPr>
    </w:p>
    <w:p>
      <w:pPr>
        <w:ind w:right="740" w:firstLine="877"/>
        <w:spacing w:after="0" w:line="251" w:lineRule="auto"/>
        <w:rPr>
          <w:sz w:val="20"/>
          <w:szCs w:val="20"/>
          <w:color w:val="auto"/>
        </w:rPr>
      </w:pPr>
      <w:r>
        <w:rPr>
          <w:rFonts w:ascii="Arial" w:cs="Arial" w:eastAsia="Arial" w:hAnsi="Arial"/>
          <w:sz w:val="22"/>
          <w:szCs w:val="22"/>
          <w:color w:val="auto"/>
        </w:rPr>
        <w:t>This Agreement shall be governed by, and construed and enforced in accordance with the substantive laws of the Commonwealth of Massachusetts, without regard to its principles of conflicts of laws.</w:t>
      </w:r>
    </w:p>
    <w:p>
      <w:pPr>
        <w:spacing w:after="0" w:line="200" w:lineRule="exact"/>
        <w:rPr>
          <w:sz w:val="20"/>
          <w:szCs w:val="20"/>
          <w:color w:val="auto"/>
        </w:rPr>
      </w:pPr>
    </w:p>
    <w:p>
      <w:pPr>
        <w:ind w:left="1800" w:hanging="915"/>
        <w:spacing w:after="0"/>
        <w:tabs>
          <w:tab w:leader="none" w:pos="18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SEVERABILITY</w:t>
      </w:r>
    </w:p>
    <w:p>
      <w:pPr>
        <w:spacing w:after="0" w:line="233" w:lineRule="exact"/>
        <w:rPr>
          <w:sz w:val="20"/>
          <w:szCs w:val="20"/>
          <w:color w:val="auto"/>
        </w:rPr>
      </w:pPr>
    </w:p>
    <w:p>
      <w:pPr>
        <w:ind w:right="100" w:firstLine="877"/>
        <w:spacing w:after="0" w:line="251" w:lineRule="auto"/>
        <w:rPr>
          <w:sz w:val="20"/>
          <w:szCs w:val="20"/>
          <w:color w:val="auto"/>
        </w:rPr>
      </w:pPr>
      <w:r>
        <w:rPr>
          <w:rFonts w:ascii="Arial" w:cs="Arial" w:eastAsia="Arial" w:hAnsi="Arial"/>
          <w:sz w:val="22"/>
          <w:szCs w:val="22"/>
          <w:color w:val="auto"/>
        </w:rPr>
        <w:t>The holding of any provision of this Agreement to be invalid or unenforceable by a court of competent jurisdiction shall not affect any other provision of this Agreement, which shall remain in full force and effect.</w:t>
      </w:r>
    </w:p>
    <w:p>
      <w:pPr>
        <w:spacing w:after="0" w:line="200" w:lineRule="exact"/>
        <w:rPr>
          <w:sz w:val="20"/>
          <w:szCs w:val="20"/>
          <w:color w:val="auto"/>
        </w:rPr>
      </w:pPr>
    </w:p>
    <w:p>
      <w:pPr>
        <w:ind w:left="1800" w:hanging="915"/>
        <w:spacing w:after="0"/>
        <w:tabs>
          <w:tab w:leader="none" w:pos="180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NOTICES</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Any notices required or permitted to be given hereunder shall be sufficient if in</w:t>
      </w:r>
    </w:p>
    <w:p>
      <w:pPr>
        <w:spacing w:after="0" w:line="8"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14" w:lineRule="exact"/>
        <w:rPr>
          <w:sz w:val="20"/>
          <w:szCs w:val="20"/>
          <w:color w:val="auto"/>
        </w:rPr>
      </w:pPr>
    </w:p>
    <w:p>
      <w:pPr>
        <w:ind w:left="1800" w:hanging="915"/>
        <w:spacing w:after="0"/>
        <w:tabs>
          <w:tab w:leader="none" w:pos="180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WAIVER OF BREACH</w:t>
      </w:r>
    </w:p>
    <w:p>
      <w:pPr>
        <w:spacing w:after="0" w:line="233"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It is agreed that a waiver by either party of a breach of any provision of this Agreement shall not operate, or be construed as a waiver of any subsequent breach by that same party.</w:t>
      </w:r>
    </w:p>
    <w:p>
      <w:pPr>
        <w:spacing w:after="0" w:line="200" w:lineRule="exact"/>
        <w:rPr>
          <w:sz w:val="20"/>
          <w:szCs w:val="20"/>
          <w:color w:val="auto"/>
        </w:rPr>
      </w:pPr>
    </w:p>
    <w:p>
      <w:pPr>
        <w:ind w:left="1800" w:hanging="915"/>
        <w:spacing w:after="0"/>
        <w:tabs>
          <w:tab w:leader="none" w:pos="18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ENTIRE AGREEMENT AND BINDING EFFECT</w:t>
      </w:r>
    </w:p>
    <w:p>
      <w:pPr>
        <w:spacing w:after="0" w:line="233" w:lineRule="exact"/>
        <w:rPr>
          <w:sz w:val="20"/>
          <w:szCs w:val="20"/>
          <w:color w:val="auto"/>
        </w:rPr>
      </w:pPr>
    </w:p>
    <w:p>
      <w:pPr>
        <w:ind w:firstLine="877"/>
        <w:spacing w:after="0" w:line="233" w:lineRule="auto"/>
        <w:rPr>
          <w:sz w:val="20"/>
          <w:szCs w:val="20"/>
          <w:color w:val="auto"/>
        </w:rPr>
      </w:pPr>
      <w:r>
        <w:rPr>
          <w:rFonts w:ascii="Arial" w:cs="Arial" w:eastAsia="Arial" w:hAnsi="Arial"/>
          <w:sz w:val="22"/>
          <w:szCs w:val="22"/>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1" w:name="page42"/>
    <w:bookmarkEnd w:id="41"/>
    <w:p>
      <w:pPr>
        <w:ind w:right="600"/>
        <w:spacing w:after="0" w:line="251" w:lineRule="auto"/>
        <w:rPr>
          <w:sz w:val="20"/>
          <w:szCs w:val="20"/>
          <w:color w:val="auto"/>
        </w:rPr>
      </w:pPr>
      <w:r>
        <w:rPr>
          <w:rFonts w:ascii="Arial" w:cs="Arial" w:eastAsia="Arial" w:hAnsi="Arial"/>
          <w:sz w:val="22"/>
          <w:szCs w:val="22"/>
          <w:color w:val="auto"/>
        </w:rPr>
        <w:t>through 13 of this Agreement, which shall remain in full force and effect except as may be modified by a subsequent written agreement.</w:t>
      </w:r>
    </w:p>
    <w:p>
      <w:pPr>
        <w:spacing w:after="0" w:line="201" w:lineRule="exact"/>
        <w:rPr>
          <w:sz w:val="20"/>
          <w:szCs w:val="20"/>
          <w:color w:val="auto"/>
        </w:rPr>
      </w:pPr>
    </w:p>
    <w:p>
      <w:pPr>
        <w:ind w:left="1800" w:hanging="915"/>
        <w:spacing w:after="0"/>
        <w:tabs>
          <w:tab w:leader="none" w:pos="180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SURVIVAL</w:t>
      </w:r>
    </w:p>
    <w:p>
      <w:pPr>
        <w:spacing w:after="0" w:line="233" w:lineRule="exact"/>
        <w:rPr>
          <w:sz w:val="20"/>
          <w:szCs w:val="20"/>
          <w:color w:val="auto"/>
        </w:rPr>
      </w:pPr>
    </w:p>
    <w:p>
      <w:pPr>
        <w:ind w:firstLine="877"/>
        <w:spacing w:after="0"/>
        <w:rPr>
          <w:sz w:val="20"/>
          <w:szCs w:val="20"/>
          <w:color w:val="auto"/>
        </w:rPr>
      </w:pPr>
      <w:r>
        <w:rPr>
          <w:rFonts w:ascii="Arial" w:cs="Arial" w:eastAsia="Arial" w:hAnsi="Arial"/>
          <w:sz w:val="22"/>
          <w:szCs w:val="22"/>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13" w:lineRule="exact"/>
        <w:rPr>
          <w:sz w:val="20"/>
          <w:szCs w:val="20"/>
          <w:color w:val="auto"/>
        </w:rPr>
      </w:pPr>
    </w:p>
    <w:p>
      <w:pPr>
        <w:ind w:left="1800" w:hanging="915"/>
        <w:spacing w:after="0"/>
        <w:tabs>
          <w:tab w:leader="none" w:pos="18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RESOLUTION OF DISPUTES</w:t>
      </w:r>
    </w:p>
    <w:p>
      <w:pPr>
        <w:spacing w:after="0" w:line="233" w:lineRule="exact"/>
        <w:rPr>
          <w:sz w:val="20"/>
          <w:szCs w:val="20"/>
          <w:color w:val="auto"/>
        </w:rPr>
      </w:pPr>
    </w:p>
    <w:p>
      <w:pPr>
        <w:ind w:right="680" w:firstLine="877"/>
        <w:spacing w:after="0" w:line="251" w:lineRule="auto"/>
        <w:rPr>
          <w:sz w:val="20"/>
          <w:szCs w:val="20"/>
          <w:color w:val="auto"/>
        </w:rPr>
      </w:pPr>
      <w:r>
        <w:rPr>
          <w:rFonts w:ascii="Arial" w:cs="Arial" w:eastAsia="Arial" w:hAnsi="Arial"/>
          <w:sz w:val="22"/>
          <w:szCs w:val="22"/>
          <w:color w:val="auto"/>
        </w:rPr>
        <w:t>Any and all disputes arising under or in connection with this Agreement shall be resolved in accordance with this paragraph 21 and paragraph 15.</w:t>
      </w:r>
    </w:p>
    <w:p>
      <w:pPr>
        <w:spacing w:after="0" w:line="200" w:lineRule="exact"/>
        <w:rPr>
          <w:sz w:val="20"/>
          <w:szCs w:val="20"/>
          <w:color w:val="auto"/>
        </w:rPr>
      </w:pPr>
    </w:p>
    <w:p>
      <w:pPr>
        <w:ind w:right="20" w:firstLine="877"/>
        <w:spacing w:after="0" w:line="236" w:lineRule="auto"/>
        <w:rPr>
          <w:sz w:val="20"/>
          <w:szCs w:val="20"/>
          <w:color w:val="auto"/>
        </w:rPr>
      </w:pPr>
      <w:r>
        <w:rPr>
          <w:rFonts w:ascii="Arial" w:cs="Arial" w:eastAsia="Arial" w:hAnsi="Arial"/>
          <w:sz w:val="22"/>
          <w:szCs w:val="22"/>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15" w:lineRule="exact"/>
        <w:rPr>
          <w:sz w:val="20"/>
          <w:szCs w:val="20"/>
          <w:color w:val="auto"/>
        </w:rPr>
      </w:pPr>
    </w:p>
    <w:p>
      <w:pPr>
        <w:ind w:left="1800" w:hanging="915"/>
        <w:spacing w:after="0"/>
        <w:tabs>
          <w:tab w:leader="none" w:pos="180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NON-DISPARAGEMENT</w:t>
      </w:r>
    </w:p>
    <w:p>
      <w:pPr>
        <w:spacing w:after="0" w:line="233" w:lineRule="exact"/>
        <w:rPr>
          <w:sz w:val="20"/>
          <w:szCs w:val="20"/>
          <w:color w:val="auto"/>
        </w:rPr>
      </w:pPr>
    </w:p>
    <w:p>
      <w:pPr>
        <w:ind w:firstLine="877"/>
        <w:spacing w:after="0" w:line="238" w:lineRule="auto"/>
        <w:rPr>
          <w:sz w:val="20"/>
          <w:szCs w:val="20"/>
          <w:color w:val="auto"/>
        </w:rPr>
      </w:pPr>
      <w:r>
        <w:rPr>
          <w:rFonts w:ascii="Arial" w:cs="Arial" w:eastAsia="Arial" w:hAnsi="Arial"/>
          <w:sz w:val="22"/>
          <w:szCs w:val="22"/>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12" w:lineRule="exact"/>
        <w:rPr>
          <w:sz w:val="20"/>
          <w:szCs w:val="20"/>
          <w:color w:val="auto"/>
        </w:rPr>
      </w:pPr>
    </w:p>
    <w:p>
      <w:pPr>
        <w:ind w:left="1800" w:hanging="915"/>
        <w:spacing w:after="0"/>
        <w:tabs>
          <w:tab w:leader="none" w:pos="180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p>
    <w:p>
      <w:pPr>
        <w:spacing w:after="0" w:line="233" w:lineRule="exact"/>
        <w:rPr>
          <w:sz w:val="20"/>
          <w:szCs w:val="20"/>
          <w:color w:val="auto"/>
        </w:rPr>
      </w:pPr>
    </w:p>
    <w:p>
      <w:pPr>
        <w:ind w:right="60" w:firstLine="877"/>
        <w:spacing w:after="0" w:line="274" w:lineRule="auto"/>
        <w:rPr>
          <w:sz w:val="20"/>
          <w:szCs w:val="20"/>
          <w:color w:val="auto"/>
        </w:rPr>
      </w:pPr>
      <w:r>
        <w:rPr>
          <w:rFonts w:ascii="Arial" w:cs="Arial" w:eastAsia="Arial" w:hAnsi="Arial"/>
          <w:sz w:val="21"/>
          <w:szCs w:val="21"/>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78" w:lineRule="exact"/>
        <w:rPr>
          <w:sz w:val="20"/>
          <w:szCs w:val="20"/>
          <w:color w:val="auto"/>
        </w:rPr>
      </w:pPr>
    </w:p>
    <w:p>
      <w:pPr>
        <w:ind w:right="6320" w:firstLine="885"/>
        <w:spacing w:after="0" w:line="461" w:lineRule="auto"/>
        <w:tabs>
          <w:tab w:leader="none" w:pos="179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 xml:space="preserve">SUBSIDIARIES AND AFFILIATES </w:t>
      </w:r>
      <w:r>
        <w:rPr>
          <w:rFonts w:ascii="Arial" w:cs="Arial" w:eastAsia="Arial" w:hAnsi="Arial"/>
          <w:sz w:val="22"/>
          <w:szCs w:val="22"/>
          <w:color w:val="auto"/>
        </w:rPr>
        <w:t>For purposes of this Agreement:</w:t>
      </w:r>
    </w:p>
    <w:p>
      <w:pPr>
        <w:ind w:right="80" w:firstLine="1534"/>
        <w:spacing w:after="0"/>
        <w:tabs>
          <w:tab w:leader="none" w:pos="1873" w:val="left"/>
        </w:tabs>
        <w:numPr>
          <w:ilvl w:val="1"/>
          <w:numId w:val="48"/>
        </w:numPr>
        <w:rPr>
          <w:rFonts w:ascii="Arial" w:cs="Arial" w:eastAsia="Arial" w:hAnsi="Arial"/>
          <w:sz w:val="22"/>
          <w:szCs w:val="22"/>
          <w:color w:val="auto"/>
        </w:rPr>
      </w:pPr>
      <w:r>
        <w:rPr>
          <w:rFonts w:ascii="Arial" w:cs="Arial" w:eastAsia="Arial" w:hAnsi="Arial"/>
          <w:sz w:val="22"/>
          <w:szCs w:val="22"/>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213" w:lineRule="exact"/>
        <w:rPr>
          <w:sz w:val="20"/>
          <w:szCs w:val="20"/>
          <w:color w:val="auto"/>
        </w:rPr>
      </w:pPr>
    </w:p>
    <w:p>
      <w:pPr>
        <w:ind w:right="140" w:firstLine="885"/>
        <w:spacing w:after="0" w:line="251" w:lineRule="auto"/>
        <w:tabs>
          <w:tab w:leader="none" w:pos="1183" w:val="left"/>
        </w:tabs>
        <w:numPr>
          <w:ilvl w:val="0"/>
          <w:numId w:val="49"/>
        </w:numPr>
        <w:rPr>
          <w:rFonts w:ascii="Arial" w:cs="Arial" w:eastAsia="Arial" w:hAnsi="Arial"/>
          <w:sz w:val="22"/>
          <w:szCs w:val="22"/>
          <w:color w:val="auto"/>
        </w:rPr>
      </w:pPr>
      <w:r>
        <w:rPr>
          <w:rFonts w:ascii="Arial" w:cs="Arial" w:eastAsia="Arial" w:hAnsi="Arial"/>
          <w:sz w:val="22"/>
          <w:szCs w:val="22"/>
          <w:color w:val="auto"/>
        </w:rPr>
        <w:t>“subsidiary” means any corporation or other entity in which the Company has a direct or indirect ownership interest of 50% or more of the total combined voting power of the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42" w:name="page43"/>
    <w:bookmarkEnd w:id="42"/>
    <w:p>
      <w:pPr>
        <w:ind w:right="80"/>
        <w:spacing w:after="0" w:line="241" w:lineRule="auto"/>
        <w:rPr>
          <w:sz w:val="20"/>
          <w:szCs w:val="20"/>
          <w:color w:val="auto"/>
        </w:rPr>
      </w:pPr>
      <w:r>
        <w:rPr>
          <w:rFonts w:ascii="Arial" w:cs="Arial" w:eastAsia="Arial" w:hAnsi="Arial"/>
          <w:sz w:val="22"/>
          <w:szCs w:val="22"/>
          <w:color w:val="auto"/>
        </w:rPr>
        <w:t>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11" w:lineRule="exact"/>
        <w:rPr>
          <w:sz w:val="20"/>
          <w:szCs w:val="20"/>
          <w:color w:val="auto"/>
        </w:rPr>
      </w:pPr>
    </w:p>
    <w:p>
      <w:pPr>
        <w:ind w:left="1860" w:hanging="975"/>
        <w:spacing w:after="0"/>
        <w:tabs>
          <w:tab w:leader="none" w:pos="18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HEADINGS</w:t>
      </w:r>
    </w:p>
    <w:p>
      <w:pPr>
        <w:spacing w:after="0" w:line="233" w:lineRule="exact"/>
        <w:rPr>
          <w:sz w:val="20"/>
          <w:szCs w:val="20"/>
          <w:color w:val="auto"/>
        </w:rPr>
      </w:pPr>
    </w:p>
    <w:p>
      <w:pPr>
        <w:ind w:right="120" w:firstLine="877"/>
        <w:spacing w:after="0" w:line="251" w:lineRule="auto"/>
        <w:rPr>
          <w:sz w:val="20"/>
          <w:szCs w:val="20"/>
          <w:color w:val="auto"/>
        </w:rPr>
      </w:pPr>
      <w:r>
        <w:rPr>
          <w:rFonts w:ascii="Arial" w:cs="Arial" w:eastAsia="Arial" w:hAnsi="Arial"/>
          <w:sz w:val="22"/>
          <w:szCs w:val="22"/>
          <w:color w:val="auto"/>
        </w:rPr>
        <w:t>The paragraph headings appearing in this Agreement are for the purposes of easy reference and shall not be considered a part of this Agreement or in any way modify, amend or affect its provisions.</w:t>
      </w:r>
    </w:p>
    <w:p>
      <w:pPr>
        <w:spacing w:after="0" w:line="200" w:lineRule="exact"/>
        <w:rPr>
          <w:sz w:val="20"/>
          <w:szCs w:val="20"/>
          <w:color w:val="auto"/>
        </w:rPr>
      </w:pPr>
    </w:p>
    <w:p>
      <w:pPr>
        <w:ind w:left="1800" w:hanging="915"/>
        <w:spacing w:after="0"/>
        <w:tabs>
          <w:tab w:leader="none" w:pos="180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COUNTERPARTS</w:t>
      </w:r>
    </w:p>
    <w:p>
      <w:pPr>
        <w:spacing w:after="0" w:line="233" w:lineRule="exact"/>
        <w:rPr>
          <w:sz w:val="20"/>
          <w:szCs w:val="20"/>
          <w:color w:val="auto"/>
        </w:rPr>
      </w:pPr>
    </w:p>
    <w:p>
      <w:pPr>
        <w:ind w:right="580" w:firstLine="877"/>
        <w:spacing w:after="0" w:line="251" w:lineRule="auto"/>
        <w:rPr>
          <w:sz w:val="20"/>
          <w:szCs w:val="20"/>
          <w:color w:val="auto"/>
        </w:rPr>
      </w:pPr>
      <w:r>
        <w:rPr>
          <w:rFonts w:ascii="Arial" w:cs="Arial" w:eastAsia="Arial" w:hAnsi="Arial"/>
          <w:sz w:val="22"/>
          <w:szCs w:val="22"/>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CMRG APPAREL,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Pr>
          <w:p>
            <w:pPr>
              <w:spacing w:after="0"/>
              <w:rPr>
                <w:sz w:val="20"/>
                <w:szCs w:val="20"/>
                <w:color w:val="auto"/>
              </w:rPr>
            </w:pPr>
            <w:r>
              <w:rPr>
                <w:rFonts w:ascii="Arial" w:cs="Arial" w:eastAsia="Arial" w:hAnsi="Arial"/>
                <w:sz w:val="22"/>
                <w:szCs w:val="22"/>
                <w:color w:val="auto"/>
              </w:rPr>
              <w:t>/s/ David A. Levin</w:t>
            </w:r>
          </w:p>
        </w:tc>
        <w:tc>
          <w:tcPr>
            <w:tcW w:w="1880" w:type="dxa"/>
            <w:vAlign w:val="bottom"/>
          </w:tcPr>
          <w:p>
            <w:pPr>
              <w:ind w:left="1320"/>
              <w:spacing w:after="0"/>
              <w:rPr>
                <w:sz w:val="20"/>
                <w:szCs w:val="20"/>
                <w:color w:val="auto"/>
              </w:rPr>
            </w:pPr>
            <w:r>
              <w:rPr>
                <w:rFonts w:ascii="Arial" w:cs="Arial" w:eastAsia="Arial" w:hAnsi="Arial"/>
                <w:sz w:val="22"/>
                <w:szCs w:val="22"/>
                <w:color w:val="auto"/>
              </w:rPr>
              <w:t>Date:</w:t>
            </w:r>
          </w:p>
        </w:tc>
        <w:tc>
          <w:tcPr>
            <w:tcW w:w="4340" w:type="dxa"/>
            <w:vAlign w:val="bottom"/>
            <w:gridSpan w:val="2"/>
          </w:tcPr>
          <w:p>
            <w:pPr>
              <w:ind w:left="120"/>
              <w:spacing w:after="0"/>
              <w:rPr>
                <w:sz w:val="20"/>
                <w:szCs w:val="20"/>
                <w:color w:val="auto"/>
              </w:rPr>
            </w:pPr>
            <w:r>
              <w:rPr>
                <w:rFonts w:ascii="Arial" w:cs="Arial" w:eastAsia="Arial" w:hAnsi="Arial"/>
                <w:sz w:val="22"/>
                <w:szCs w:val="22"/>
                <w:color w:val="auto"/>
              </w:rPr>
              <w:t>April 4, 2018</w:t>
            </w:r>
          </w:p>
        </w:tc>
        <w:tc>
          <w:tcPr>
            <w:tcW w:w="20" w:type="dxa"/>
            <w:vAlign w:val="bottom"/>
          </w:tcPr>
          <w:p>
            <w:pPr>
              <w:spacing w:after="0"/>
              <w:rPr>
                <w:sz w:val="23"/>
                <w:szCs w:val="23"/>
                <w:color w:val="auto"/>
              </w:rPr>
            </w:pP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David A. Levin</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75"/>
        </w:trPr>
        <w:tc>
          <w:tcPr>
            <w:tcW w:w="900" w:type="dxa"/>
            <w:vAlign w:val="bottom"/>
          </w:tcPr>
          <w:p>
            <w:pPr>
              <w:spacing w:after="0"/>
              <w:rPr>
                <w:sz w:val="20"/>
                <w:szCs w:val="20"/>
                <w:color w:val="auto"/>
              </w:rPr>
            </w:pPr>
            <w:r>
              <w:rPr>
                <w:rFonts w:ascii="Arial" w:cs="Arial" w:eastAsia="Arial" w:hAnsi="Arial"/>
                <w:sz w:val="22"/>
                <w:szCs w:val="22"/>
                <w:color w:val="auto"/>
              </w:rPr>
              <w:t>Its:</w:t>
            </w:r>
          </w:p>
        </w:tc>
        <w:tc>
          <w:tcPr>
            <w:tcW w:w="4300" w:type="dxa"/>
            <w:vAlign w:val="bottom"/>
          </w:tcPr>
          <w:p>
            <w:pPr>
              <w:spacing w:after="0"/>
              <w:rPr>
                <w:sz w:val="20"/>
                <w:szCs w:val="20"/>
                <w:color w:val="auto"/>
              </w:rPr>
            </w:pPr>
            <w:r>
              <w:rPr>
                <w:rFonts w:ascii="Arial" w:cs="Arial" w:eastAsia="Arial" w:hAnsi="Arial"/>
                <w:sz w:val="22"/>
                <w:szCs w:val="22"/>
                <w:color w:val="auto"/>
              </w:rPr>
              <w:t>President, Chief Executive Officer</w:t>
            </w:r>
          </w:p>
        </w:tc>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76"/>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Pr>
          <w:p>
            <w:pPr>
              <w:spacing w:after="0"/>
              <w:rPr>
                <w:sz w:val="20"/>
                <w:szCs w:val="20"/>
                <w:color w:val="auto"/>
              </w:rPr>
            </w:pPr>
            <w:r>
              <w:rPr>
                <w:rFonts w:ascii="Arial" w:cs="Arial" w:eastAsia="Arial" w:hAnsi="Arial"/>
                <w:sz w:val="22"/>
                <w:szCs w:val="22"/>
                <w:color w:val="auto"/>
              </w:rPr>
              <w:t>/s/ James Davey</w:t>
            </w:r>
          </w:p>
        </w:tc>
        <w:tc>
          <w:tcPr>
            <w:tcW w:w="1880" w:type="dxa"/>
            <w:vAlign w:val="bottom"/>
          </w:tcPr>
          <w:p>
            <w:pPr>
              <w:ind w:left="1320"/>
              <w:spacing w:after="0"/>
              <w:rPr>
                <w:sz w:val="20"/>
                <w:szCs w:val="20"/>
                <w:color w:val="auto"/>
              </w:rPr>
            </w:pPr>
            <w:r>
              <w:rPr>
                <w:rFonts w:ascii="Arial" w:cs="Arial" w:eastAsia="Arial" w:hAnsi="Arial"/>
                <w:sz w:val="22"/>
                <w:szCs w:val="22"/>
                <w:color w:val="auto"/>
              </w:rPr>
              <w:t>Date:</w:t>
            </w:r>
          </w:p>
        </w:tc>
        <w:tc>
          <w:tcPr>
            <w:tcW w:w="4340" w:type="dxa"/>
            <w:vAlign w:val="bottom"/>
            <w:gridSpan w:val="2"/>
          </w:tcPr>
          <w:p>
            <w:pPr>
              <w:ind w:left="120"/>
              <w:spacing w:after="0"/>
              <w:rPr>
                <w:sz w:val="20"/>
                <w:szCs w:val="20"/>
                <w:color w:val="auto"/>
              </w:rPr>
            </w:pPr>
            <w:r>
              <w:rPr>
                <w:rFonts w:ascii="Arial" w:cs="Arial" w:eastAsia="Arial" w:hAnsi="Arial"/>
                <w:sz w:val="22"/>
                <w:szCs w:val="22"/>
                <w:color w:val="auto"/>
              </w:rPr>
              <w:t>March 30, 2018</w:t>
            </w:r>
          </w:p>
        </w:tc>
        <w:tc>
          <w:tcPr>
            <w:tcW w:w="20" w:type="dxa"/>
            <w:vAlign w:val="bottom"/>
          </w:tcPr>
          <w:p>
            <w:pPr>
              <w:spacing w:after="0"/>
              <w:rPr>
                <w:sz w:val="24"/>
                <w:szCs w:val="24"/>
                <w:color w:val="auto"/>
              </w:rPr>
            </w:pPr>
          </w:p>
        </w:tc>
      </w:tr>
      <w:tr>
        <w:trPr>
          <w:trHeight w:val="268"/>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3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James Davey</w:t>
            </w:r>
          </w:p>
        </w:tc>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860"/>
        </w:trPr>
        <w:tc>
          <w:tcPr>
            <w:tcW w:w="9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80" w:type="dxa"/>
            <w:vAlign w:val="bottom"/>
          </w:tcPr>
          <w:p>
            <w:pPr>
              <w:jc w:val="right"/>
              <w:ind w:right="1178"/>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9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i w:val="1"/>
          <w:iCs w:val="1"/>
          <w:color w:val="auto"/>
        </w:rPr>
        <w:t>EXHIBIT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FORM OF RELEASE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GENERAL RELEASE OF CLAIMS</w:t>
      </w:r>
    </w:p>
    <w:p>
      <w:pPr>
        <w:spacing w:after="0" w:line="206" w:lineRule="exact"/>
        <w:rPr>
          <w:sz w:val="20"/>
          <w:szCs w:val="20"/>
          <w:color w:val="auto"/>
        </w:rPr>
      </w:pPr>
    </w:p>
    <w:p>
      <w:pPr>
        <w:jc w:val="both"/>
        <w:ind w:firstLine="885"/>
        <w:spacing w:after="0" w:line="269" w:lineRule="auto"/>
        <w:tabs>
          <w:tab w:leader="none" w:pos="2336" w:val="left"/>
        </w:tabs>
        <w:numPr>
          <w:ilvl w:val="0"/>
          <w:numId w:val="52"/>
        </w:numPr>
        <w:rPr>
          <w:rFonts w:ascii="Arial" w:cs="Arial" w:eastAsia="Arial" w:hAnsi="Arial"/>
          <w:sz w:val="19"/>
          <w:szCs w:val="19"/>
          <w:color w:val="auto"/>
        </w:rPr>
      </w:pPr>
      <w:r>
        <w:rPr>
          <w:rFonts w:ascii="Arial" w:cs="Arial" w:eastAsia="Arial" w:hAnsi="Arial"/>
          <w:sz w:val="19"/>
          <w:szCs w:val="19"/>
          <w:color w:val="auto"/>
        </w:rPr>
        <w:t>James Davey (“</w:t>
      </w:r>
      <w:r>
        <w:rPr>
          <w:rFonts w:ascii="Arial" w:cs="Arial" w:eastAsia="Arial" w:hAnsi="Arial"/>
          <w:sz w:val="19"/>
          <w:szCs w:val="19"/>
          <w:u w:val="single" w:color="auto"/>
          <w:color w:val="auto"/>
        </w:rPr>
        <w:t>Executive</w:t>
      </w:r>
      <w:r>
        <w:rPr>
          <w:rFonts w:ascii="Arial" w:cs="Arial" w:eastAsia="Arial" w:hAnsi="Arial"/>
          <w:sz w:val="19"/>
          <w:szCs w:val="19"/>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does hereby release and forever discharge CMRG Apparel, LLC (the “</w:t>
      </w:r>
      <w:r>
        <w:rPr>
          <w:rFonts w:ascii="Arial" w:cs="Arial" w:eastAsia="Arial" w:hAnsi="Arial"/>
          <w:sz w:val="19"/>
          <w:szCs w:val="19"/>
          <w:u w:val="single" w:color="auto"/>
          <w:color w:val="auto"/>
        </w:rPr>
        <w:t>Company</w:t>
      </w:r>
      <w:r>
        <w:rPr>
          <w:rFonts w:ascii="Arial" w:cs="Arial" w:eastAsia="Arial" w:hAnsi="Arial"/>
          <w:sz w:val="19"/>
          <w:szCs w:val="19"/>
          <w:color w:val="auto"/>
        </w:rPr>
        <w:t>”),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885"/>
        <w:spacing w:after="0"/>
        <w:tabs>
          <w:tab w:leader="none" w:pos="2336" w:val="left"/>
        </w:tabs>
        <w:numPr>
          <w:ilvl w:val="0"/>
          <w:numId w:val="52"/>
        </w:numPr>
        <w:rPr>
          <w:rFonts w:ascii="Arial" w:cs="Arial" w:eastAsia="Arial" w:hAnsi="Arial"/>
          <w:sz w:val="22"/>
          <w:szCs w:val="22"/>
          <w:color w:val="auto"/>
        </w:rPr>
      </w:pPr>
      <w:r>
        <w:rPr>
          <w:rFonts w:ascii="Arial" w:cs="Arial" w:eastAsia="Arial" w:hAnsi="Arial"/>
          <w:sz w:val="22"/>
          <w:szCs w:val="22"/>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jc w:val="both"/>
        <w:spacing w:after="0" w:line="238" w:lineRule="auto"/>
        <w:rPr>
          <w:sz w:val="20"/>
          <w:szCs w:val="20"/>
          <w:color w:val="auto"/>
        </w:rPr>
      </w:pPr>
      <w:r>
        <w:rPr>
          <w:rFonts w:ascii="Arial" w:cs="Arial" w:eastAsia="Arial" w:hAnsi="Arial"/>
          <w:sz w:val="22"/>
          <w:szCs w:val="22"/>
          <w:color w:val="auto"/>
        </w:rPr>
        <w:t>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22"/>
          <w:szCs w:val="22"/>
          <w:u w:val="single" w:color="auto"/>
          <w:color w:val="auto"/>
        </w:rPr>
        <w:t>Proceeding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Executive shall not have relinquished his right to commence a Proceeding to challenge whether Executive knowingly and voluntarily waived his rights under ADEA.</w:t>
      </w:r>
    </w:p>
    <w:p>
      <w:pPr>
        <w:spacing w:after="0" w:line="186" w:lineRule="exact"/>
        <w:rPr>
          <w:sz w:val="20"/>
          <w:szCs w:val="20"/>
          <w:color w:val="auto"/>
        </w:rPr>
      </w:pPr>
    </w:p>
    <w:p>
      <w:pPr>
        <w:jc w:val="both"/>
        <w:ind w:firstLine="885"/>
        <w:spacing w:after="0" w:line="236" w:lineRule="auto"/>
        <w:tabs>
          <w:tab w:leader="none" w:pos="2336"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87" w:lineRule="exact"/>
        <w:rPr>
          <w:rFonts w:ascii="Arial" w:cs="Arial" w:eastAsia="Arial" w:hAnsi="Arial"/>
          <w:sz w:val="22"/>
          <w:szCs w:val="22"/>
          <w:color w:val="auto"/>
        </w:rPr>
      </w:pPr>
    </w:p>
    <w:p>
      <w:pPr>
        <w:jc w:val="both"/>
        <w:ind w:firstLine="885"/>
        <w:spacing w:after="0"/>
        <w:tabs>
          <w:tab w:leader="none" w:pos="2336"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86" w:lineRule="exact"/>
        <w:rPr>
          <w:rFonts w:ascii="Arial" w:cs="Arial" w:eastAsia="Arial" w:hAnsi="Arial"/>
          <w:sz w:val="22"/>
          <w:szCs w:val="22"/>
          <w:color w:val="auto"/>
        </w:rPr>
      </w:pPr>
    </w:p>
    <w:p>
      <w:pPr>
        <w:jc w:val="both"/>
        <w:ind w:firstLine="885"/>
        <w:spacing w:after="0" w:line="258" w:lineRule="auto"/>
        <w:tabs>
          <w:tab w:leader="none" w:pos="2336" w:val="left"/>
        </w:tabs>
        <w:numPr>
          <w:ilvl w:val="0"/>
          <w:numId w:val="53"/>
        </w:numPr>
        <w:rPr>
          <w:rFonts w:ascii="Arial" w:cs="Arial" w:eastAsia="Arial" w:hAnsi="Arial"/>
          <w:sz w:val="21"/>
          <w:szCs w:val="21"/>
          <w:color w:val="auto"/>
        </w:rPr>
      </w:pPr>
      <w:r>
        <w:rPr>
          <w:rFonts w:ascii="Arial" w:cs="Arial" w:eastAsia="Arial" w:hAnsi="Arial"/>
          <w:sz w:val="21"/>
          <w:szCs w:val="21"/>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66" w:lineRule="exact"/>
        <w:rPr>
          <w:rFonts w:ascii="Arial" w:cs="Arial" w:eastAsia="Arial" w:hAnsi="Arial"/>
          <w:sz w:val="21"/>
          <w:szCs w:val="21"/>
          <w:color w:val="auto"/>
        </w:rPr>
      </w:pPr>
    </w:p>
    <w:p>
      <w:pPr>
        <w:jc w:val="both"/>
        <w:ind w:firstLine="885"/>
        <w:spacing w:after="0"/>
        <w:tabs>
          <w:tab w:leader="none" w:pos="2336"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James Davey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Date:May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Date:May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May 5, 2018, as filed with the Securities and Exchange Commission on the date hereof (the “Report”), I, David A. Levin, Chief Executive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Date:May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4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May 5, 2018,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Date:May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0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2"/>
    </w:lvl>
  </w:abstractNum>
  <w:abstractNum w:abstractNumId="13">
    <w:nsid w:val="440BADF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4">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5">
    <w:nsid w:val="3804823E"/>
    <w:multiLevelType w:val="hybridMultilevel"/>
    <w:lvl w:ilvl="0">
      <w:lvlJc w:val="left"/>
      <w:lvlText w:val="(%1)"/>
      <w:numFmt w:val="lowerLetter"/>
      <w:start w:val="4"/>
    </w:lvl>
    <w:lvl w:ilvl="1">
      <w:lvlJc w:val="left"/>
      <w:lvlText w:val="%2."/>
      <w:numFmt w:val="decimal"/>
      <w:start w:val="4"/>
    </w:lvl>
    <w:lvl w:ilvl="2">
      <w:lvlJc w:val="left"/>
      <w:lvlText w:val="%3"/>
      <w:numFmt w:val="lowerLetter"/>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8">
    <w:nsid w:val="5C482A97"/>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9">
    <w:nsid w:val="2463B9E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3"/>
    </w:lvl>
    <w:lvl w:ilvl="3">
      <w:lvlJc w:val="left"/>
      <w:lvlText w:val="(%4)"/>
      <w:numFmt w:val="lowerLetter"/>
      <w:start w:val="2"/>
    </w:lvl>
    <w:lvl w:ilvl="4">
      <w:lvlJc w:val="left"/>
      <w:lvlText w:val="(%5)"/>
      <w:numFmt w:val="lowerRoman"/>
      <w:start w:val="1"/>
    </w:lvl>
  </w:abstractNum>
  <w:abstractNum w:abstractNumId="20">
    <w:nsid w:val="5E884ADC"/>
    <w:multiLevelType w:val="hybridMultilevel"/>
    <w:lvl w:ilvl="0">
      <w:lvlJc w:val="left"/>
      <w:lvlText w:val="(%1)"/>
      <w:numFmt w:val="lowerLetter"/>
      <w:start w:val="5"/>
    </w:lvl>
    <w:lvl w:ilvl="1">
      <w:lvlJc w:val="left"/>
      <w:lvlText w:val="(%2)"/>
      <w:numFmt w:val="lowerLetter"/>
      <w:start w:val="6"/>
    </w:lvl>
  </w:abstractNum>
  <w:abstractNum w:abstractNumId="21">
    <w:nsid w:val="51EAD36B"/>
    <w:multiLevelType w:val="hybridMultilevel"/>
    <w:lvl w:ilvl="0">
      <w:lvlJc w:val="left"/>
      <w:lvlText w:val="(%1)"/>
      <w:numFmt w:val="lowerLetter"/>
      <w:start w:val="10"/>
    </w:lvl>
  </w:abstractNum>
  <w:abstractNum w:abstractNumId="22">
    <w:nsid w:val="2D517796"/>
    <w:multiLevelType w:val="hybridMultilevel"/>
    <w:lvl w:ilvl="0">
      <w:lvlJc w:val="left"/>
      <w:lvlText w:val="(%1)"/>
      <w:numFmt w:val="lowerRoman"/>
      <w:start w:val="1"/>
    </w:lvl>
  </w:abstractNum>
  <w:abstractNum w:abstractNumId="23">
    <w:nsid w:val="580BD78F"/>
    <w:multiLevelType w:val="hybridMultilevel"/>
    <w:lvl w:ilvl="0">
      <w:lvlJc w:val="left"/>
      <w:lvlText w:val="(%1)"/>
      <w:numFmt w:val="lowerLetter"/>
      <w:start w:val="11"/>
    </w:lvl>
  </w:abstractNum>
  <w:abstractNum w:abstractNumId="24">
    <w:nsid w:val="153EA438"/>
    <w:multiLevelType w:val="hybridMultilevel"/>
    <w:lvl w:ilvl="0">
      <w:lvlJc w:val="left"/>
      <w:lvlText w:val="(%1)"/>
      <w:numFmt w:val="lowerRoman"/>
      <w:start w:val="1"/>
    </w:lvl>
  </w:abstractNum>
  <w:abstractNum w:abstractNumId="25">
    <w:nsid w:val="3855585C"/>
    <w:multiLevelType w:val="hybridMultilevel"/>
    <w:lvl w:ilvl="0">
      <w:lvlJc w:val="left"/>
      <w:lvlText w:val="(%1)"/>
      <w:numFmt w:val="lowerRoman"/>
      <w:start w:val="2"/>
    </w:lvl>
  </w:abstractNum>
  <w:abstractNum w:abstractNumId="26">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
    <w:nsid w:val="6A2342E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8">
    <w:nsid w:val="2A487CB0"/>
    <w:multiLevelType w:val="hybridMultilevel"/>
    <w:lvl w:ilvl="0">
      <w:lvlJc w:val="left"/>
      <w:lvlText w:val="(%1)"/>
      <w:numFmt w:val="lowerLetter"/>
      <w:start w:val="2"/>
    </w:lvl>
  </w:abstractNum>
  <w:abstractNum w:abstractNumId="29">
    <w:nsid w:val="1D4ED43B"/>
    <w:multiLevelType w:val="hybridMultilevel"/>
    <w:lvl w:ilvl="0">
      <w:lvlJc w:val="left"/>
      <w:lvlText w:val="(%1)"/>
      <w:numFmt w:val="lowerLetter"/>
      <w:start w:val="3"/>
    </w:lvl>
  </w:abstractNum>
  <w:abstractNum w:abstractNumId="30">
    <w:nsid w:val="725A06FB"/>
    <w:multiLevelType w:val="hybridMultilevel"/>
    <w:lvl w:ilvl="0">
      <w:lvlJc w:val="left"/>
      <w:lvlText w:val="(%1)"/>
      <w:numFmt w:val="lowerLetter"/>
      <w:start w:val="2"/>
    </w:lvl>
  </w:abstractNum>
  <w:abstractNum w:abstractNumId="31">
    <w:nsid w:val="2CD89A32"/>
    <w:multiLevelType w:val="hybridMultilevel"/>
    <w:lvl w:ilvl="0">
      <w:lvlJc w:val="left"/>
      <w:lvlText w:val="(%1)"/>
      <w:numFmt w:val="lowerLetter"/>
      <w:start w:val="3"/>
    </w:lvl>
  </w:abstractNum>
  <w:abstractNum w:abstractNumId="32">
    <w:nsid w:val="57E4CCAF"/>
    <w:multiLevelType w:val="hybridMultilevel"/>
    <w:lvl w:ilvl="0">
      <w:lvlJc w:val="left"/>
      <w:lvlText w:val="%1."/>
      <w:numFmt w:val="decimal"/>
      <w:start w:val="1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decimal"/>
      <w:start w:val="12"/>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decimal"/>
      <w:start w:val="13"/>
    </w:lvl>
  </w:abstractNum>
  <w:abstractNum w:abstractNumId="37">
    <w:nsid w:val="38437FDB"/>
    <w:multiLevelType w:val="hybridMultilevel"/>
    <w:lvl w:ilvl="0">
      <w:lvlJc w:val="left"/>
      <w:lvlText w:val="%1."/>
      <w:numFmt w:val="decimal"/>
      <w:start w:val="14"/>
    </w:lvl>
  </w:abstractNum>
  <w:abstractNum w:abstractNumId="38">
    <w:nsid w:val="7644A45C"/>
    <w:multiLevelType w:val="hybridMultilevel"/>
    <w:lvl w:ilvl="0">
      <w:lvlJc w:val="left"/>
      <w:lvlText w:val="%1."/>
      <w:numFmt w:val="decimal"/>
      <w:start w:val="15"/>
    </w:lvl>
  </w:abstractNum>
  <w:abstractNum w:abstractNumId="39">
    <w:nsid w:val="32FFF902"/>
    <w:multiLevelType w:val="hybridMultilevel"/>
    <w:lvl w:ilvl="0">
      <w:lvlJc w:val="left"/>
      <w:lvlText w:val="%1."/>
      <w:numFmt w:val="decimal"/>
      <w:start w:val="16"/>
    </w:lvl>
  </w:abstractNum>
  <w:abstractNum w:abstractNumId="40">
    <w:nsid w:val="684A481A"/>
    <w:multiLevelType w:val="hybridMultilevel"/>
    <w:lvl w:ilvl="0">
      <w:lvlJc w:val="left"/>
      <w:lvlText w:val="%1."/>
      <w:numFmt w:val="decimal"/>
      <w:start w:val="17"/>
    </w:lvl>
  </w:abstractNum>
  <w:abstractNum w:abstractNumId="41">
    <w:nsid w:val="579478FE"/>
    <w:multiLevelType w:val="hybridMultilevel"/>
    <w:lvl w:ilvl="0">
      <w:lvlJc w:val="left"/>
      <w:lvlText w:val="%1."/>
      <w:numFmt w:val="decimal"/>
      <w:start w:val="18"/>
    </w:lvl>
  </w:abstractNum>
  <w:abstractNum w:abstractNumId="42">
    <w:nsid w:val="749ABB43"/>
    <w:multiLevelType w:val="hybridMultilevel"/>
    <w:lvl w:ilvl="0">
      <w:lvlJc w:val="left"/>
      <w:lvlText w:val="%1."/>
      <w:numFmt w:val="decimal"/>
      <w:start w:val="19"/>
    </w:lvl>
  </w:abstractNum>
  <w:abstractNum w:abstractNumId="43">
    <w:nsid w:val="3DC240FB"/>
    <w:multiLevelType w:val="hybridMultilevel"/>
    <w:lvl w:ilvl="0">
      <w:lvlJc w:val="left"/>
      <w:lvlText w:val="%1."/>
      <w:numFmt w:val="decimal"/>
      <w:start w:val="20"/>
    </w:lvl>
  </w:abstractNum>
  <w:abstractNum w:abstractNumId="44">
    <w:nsid w:val="1BA026FA"/>
    <w:multiLevelType w:val="hybridMultilevel"/>
    <w:lvl w:ilvl="0">
      <w:lvlJc w:val="left"/>
      <w:lvlText w:val="%1."/>
      <w:numFmt w:val="decimal"/>
      <w:start w:val="21"/>
    </w:lvl>
  </w:abstractNum>
  <w:abstractNum w:abstractNumId="45">
    <w:nsid w:val="79A1DEAA"/>
    <w:multiLevelType w:val="hybridMultilevel"/>
    <w:lvl w:ilvl="0">
      <w:lvlJc w:val="left"/>
      <w:lvlText w:val="%1."/>
      <w:numFmt w:val="decimal"/>
      <w:start w:val="22"/>
    </w:lvl>
  </w:abstractNum>
  <w:abstractNum w:abstractNumId="46">
    <w:nsid w:val="75C6C33A"/>
    <w:multiLevelType w:val="hybridMultilevel"/>
    <w:lvl w:ilvl="0">
      <w:lvlJc w:val="left"/>
      <w:lvlText w:val="%1."/>
      <w:numFmt w:val="decimal"/>
      <w:start w:val="23"/>
    </w:lvl>
  </w:abstractNum>
  <w:abstractNum w:abstractNumId="47">
    <w:nsid w:val="12E685FB"/>
    <w:multiLevelType w:val="hybridMultilevel"/>
    <w:lvl w:ilvl="0">
      <w:lvlJc w:val="left"/>
      <w:lvlText w:val="%1."/>
      <w:numFmt w:val="decimal"/>
      <w:start w:val="24"/>
    </w:lvl>
    <w:lvl w:ilvl="1">
      <w:lvlJc w:val="left"/>
      <w:lvlText w:val="(%2)"/>
      <w:numFmt w:val="lowerLetter"/>
      <w:start w:val="1"/>
    </w:lvl>
  </w:abstractNum>
  <w:abstractNum w:abstractNumId="48">
    <w:nsid w:val="70C6A529"/>
    <w:multiLevelType w:val="hybridMultilevel"/>
    <w:lvl w:ilvl="0">
      <w:lvlJc w:val="left"/>
      <w:lvlText w:val="(%1)"/>
      <w:numFmt w:val="lowerLetter"/>
      <w:start w:val="2"/>
    </w:lvl>
  </w:abstractNum>
  <w:abstractNum w:abstractNumId="49">
    <w:nsid w:val="520EEDD1"/>
    <w:multiLevelType w:val="hybridMultilevel"/>
    <w:lvl w:ilvl="0">
      <w:lvlJc w:val="left"/>
      <w:lvlText w:val="%1."/>
      <w:numFmt w:val="decimal"/>
      <w:start w:val="25"/>
    </w:lvl>
  </w:abstractNum>
  <w:abstractNum w:abstractNumId="50">
    <w:nsid w:val="374A3FE6"/>
    <w:multiLevelType w:val="hybridMultilevel"/>
    <w:lvl w:ilvl="0">
      <w:lvlJc w:val="left"/>
      <w:lvlText w:val="%1."/>
      <w:numFmt w:val="decimal"/>
      <w:start w:val="26"/>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3"/>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45" Type="http://schemas.openxmlformats.org/officeDocument/2006/relationships/hyperlink" Target="http://www.sec.gov/Archives/edgar/data/813298/000156459018006615/dxlg-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2019-12-28T21:41:43Z</dcterms:created>
  <dcterms:modified xsi:type="dcterms:W3CDTF">2019-12-28T21:41:43Z</dcterms:modified>
</cp:coreProperties>
</file>