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5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WASHINGTON, D.C. 20549</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Pursuant to Section 13 or 15(d) of the</w:t>
      </w:r>
    </w:p>
    <w:p>
      <w:pPr>
        <w:ind w:left="180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Date of Report:</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April 1, 1998</w:t>
      </w:r>
    </w:p>
    <w:p>
      <w:pPr>
        <w:spacing w:after="0" w:line="200" w:lineRule="exact"/>
        <w:rPr>
          <w:sz w:val="24"/>
          <w:szCs w:val="24"/>
          <w:color w:val="auto"/>
        </w:rPr>
      </w:pPr>
    </w:p>
    <w:p>
      <w:pPr>
        <w:spacing w:after="0" w:line="204"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1055"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0-15898</w:t>
      </w:r>
    </w:p>
    <w:p>
      <w:pPr>
        <w:spacing w:after="0" w:line="238" w:lineRule="auto"/>
        <w:rPr>
          <w:sz w:val="20"/>
          <w:szCs w:val="20"/>
          <w:color w:val="auto"/>
        </w:rPr>
      </w:pPr>
      <w:r>
        <w:rPr>
          <w:rFonts w:ascii="Courier New" w:cs="Courier New" w:eastAsia="Courier New" w:hAnsi="Courier New"/>
          <w:sz w:val="18"/>
          <w:szCs w:val="18"/>
          <w:color w:val="auto"/>
        </w:rPr>
        <w:t>(Commission</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04-2623104</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3">
            <w:col w:w="2960" w:space="420"/>
            <w:col w:w="1360" w:space="420"/>
            <w:col w:w="5059"/>
          </w:cols>
          <w:pgMar w:left="240" w:top="1055" w:right="1440" w:bottom="0" w:gutter="0" w:footer="0" w:header="0"/>
          <w:type w:val="continuous"/>
        </w:sectPr>
      </w:pPr>
    </w:p>
    <w:p>
      <w:pPr>
        <w:spacing w:after="0" w:line="209" w:lineRule="exact"/>
        <w:rPr>
          <w:sz w:val="24"/>
          <w:szCs w:val="24"/>
          <w:color w:val="auto"/>
        </w:rPr>
      </w:pPr>
    </w:p>
    <w:p>
      <w:pPr>
        <w:ind w:left="420" w:right="740"/>
        <w:spacing w:after="0" w:line="235" w:lineRule="auto"/>
        <w:rPr>
          <w:sz w:val="20"/>
          <w:szCs w:val="20"/>
          <w:color w:val="auto"/>
        </w:rPr>
      </w:pPr>
      <w:r>
        <w:rPr>
          <w:rFonts w:ascii="Courier New" w:cs="Courier New" w:eastAsia="Courier New" w:hAnsi="Courier New"/>
          <w:sz w:val="18"/>
          <w:szCs w:val="18"/>
          <w:color w:val="auto"/>
        </w:rPr>
        <w:t>66 B Street, Needham, Massachusetts (Address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5" w:lineRule="exact"/>
        <w:rPr>
          <w:sz w:val="24"/>
          <w:szCs w:val="24"/>
          <w:color w:val="auto"/>
        </w:rPr>
      </w:pPr>
    </w:p>
    <w:p>
      <w:pPr>
        <w:sectPr>
          <w:pgSz w:w="11900" w:h="16838" w:orient="portrait"/>
          <w:cols w:equalWidth="0" w:num="2">
            <w:col w:w="5600" w:space="720"/>
            <w:col w:w="3899"/>
          </w:cols>
          <w:pgMar w:left="240" w:top="1055" w:right="1440" w:bottom="0" w:gutter="0" w:footer="0" w:header="0"/>
          <w:type w:val="continuous"/>
        </w:sectPr>
      </w:pPr>
    </w:p>
    <w:p>
      <w:pPr>
        <w:spacing w:after="0" w:line="211" w:lineRule="exact"/>
        <w:rPr>
          <w:sz w:val="24"/>
          <w:szCs w:val="24"/>
          <w:color w:val="auto"/>
        </w:rPr>
      </w:pPr>
    </w:p>
    <w:p>
      <w:pPr>
        <w:ind w:left="2740"/>
        <w:spacing w:after="0"/>
        <w:rPr>
          <w:sz w:val="20"/>
          <w:szCs w:val="20"/>
          <w:color w:val="auto"/>
        </w:rPr>
      </w:pPr>
      <w:r>
        <w:rPr>
          <w:rFonts w:ascii="Courier New" w:cs="Courier New" w:eastAsia="Courier New" w:hAnsi="Courier New"/>
          <w:sz w:val="16"/>
          <w:szCs w:val="16"/>
          <w:color w:val="auto"/>
        </w:rPr>
        <w:t>(781) 444-7222</w:t>
      </w:r>
    </w:p>
    <w:p>
      <w:pPr>
        <w:sectPr>
          <w:pgSz w:w="11900" w:h="16838" w:orient="portrait"/>
          <w:cols w:equalWidth="0" w:num="1">
            <w:col w:w="10219"/>
          </w:cols>
          <w:pgMar w:left="240" w:top="1055" w:right="1440" w:bottom="0" w:gutter="0" w:footer="0" w:header="0"/>
          <w:type w:val="continuous"/>
        </w:sectPr>
      </w:pP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4"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879" w:firstLine="640"/>
        <w:spacing w:after="0" w:line="273" w:lineRule="auto"/>
        <w:tabs>
          <w:tab w:leader="none" w:pos="115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previously announced, Designs, Inc. (the "Company") entered into a Credit Agreement dated as of December 10, 1997 (the "Credit Agreement") between the Company and BankBoston, N.A. ("BankBoston"). Effective January 31, 1998, the Company and BankBoston entered into a First Amendment to Credit Agreement, a copy of which is attached as Exhibit 10.1 hereto.</w:t>
      </w:r>
    </w:p>
    <w:p>
      <w:pPr>
        <w:spacing w:after="0" w:line="184" w:lineRule="exact"/>
        <w:rPr>
          <w:rFonts w:ascii="Courier New" w:cs="Courier New" w:eastAsia="Courier New" w:hAnsi="Courier New"/>
          <w:sz w:val="16"/>
          <w:szCs w:val="16"/>
          <w:color w:val="auto"/>
        </w:rPr>
      </w:pPr>
    </w:p>
    <w:p>
      <w:pPr>
        <w:ind w:right="1999" w:firstLine="640"/>
        <w:spacing w:after="0" w:line="237" w:lineRule="auto"/>
        <w:tabs>
          <w:tab w:leader="none" w:pos="1159"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March 31, 1998, the Company received a federal income tax refund in the amount of approximately $12.7 million for the Company's fiscal year ended January 31, 1998 ("Fiscal 1997") relating to losses incurred during Fiscal 1997 and which were carried back against federal income taxes paid by the Company in prior fiscal years.</w:t>
      </w:r>
    </w:p>
    <w:p>
      <w:pPr>
        <w:spacing w:after="0" w:line="200" w:lineRule="exact"/>
        <w:rPr>
          <w:sz w:val="24"/>
          <w:szCs w:val="24"/>
          <w:color w:val="auto"/>
        </w:rPr>
      </w:pPr>
    </w:p>
    <w:p>
      <w:pPr>
        <w:spacing w:after="0" w:line="211" w:lineRule="exact"/>
        <w:rPr>
          <w:sz w:val="24"/>
          <w:szCs w:val="24"/>
          <w:color w:val="auto"/>
        </w:rPr>
      </w:pPr>
    </w:p>
    <w:p>
      <w:pPr>
        <w:ind w:left="1280" w:right="3359" w:hanging="1263"/>
        <w:spacing w:after="0" w:line="235" w:lineRule="auto"/>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Financial Statements, Pro Forma Financial Information and Exhibits</w:t>
      </w:r>
    </w:p>
    <w:p>
      <w:pPr>
        <w:spacing w:after="0" w:line="203" w:lineRule="exact"/>
        <w:rPr>
          <w:sz w:val="24"/>
          <w:szCs w:val="24"/>
          <w:color w:val="auto"/>
        </w:rPr>
      </w:pPr>
    </w:p>
    <w:p>
      <w:pPr>
        <w:ind w:left="1280"/>
        <w:spacing w:after="0"/>
        <w:tabs>
          <w:tab w:leader="none" w:pos="3140" w:val="left"/>
        </w:tabs>
        <w:rPr>
          <w:sz w:val="20"/>
          <w:szCs w:val="20"/>
          <w:color w:val="auto"/>
        </w:rPr>
      </w:pPr>
      <w:r>
        <w:rPr>
          <w:rFonts w:ascii="Courier New" w:cs="Courier New" w:eastAsia="Courier New" w:hAnsi="Courier New"/>
          <w:sz w:val="18"/>
          <w:szCs w:val="18"/>
          <w:color w:val="auto"/>
        </w:rPr>
        <w:t>Exhibit 10.1</w:t>
      </w:r>
      <w:r>
        <w:rPr>
          <w:sz w:val="20"/>
          <w:szCs w:val="20"/>
          <w:color w:val="auto"/>
        </w:rPr>
        <w:tab/>
      </w:r>
      <w:r>
        <w:rPr>
          <w:rFonts w:ascii="Courier New" w:cs="Courier New" w:eastAsia="Courier New" w:hAnsi="Courier New"/>
          <w:sz w:val="16"/>
          <w:szCs w:val="16"/>
          <w:color w:val="auto"/>
        </w:rPr>
        <w:t>First Amendment to Credit</w:t>
      </w:r>
    </w:p>
    <w:p>
      <w:pPr>
        <w:ind w:left="3160"/>
        <w:spacing w:after="0" w:line="238" w:lineRule="auto"/>
        <w:rPr>
          <w:sz w:val="20"/>
          <w:szCs w:val="20"/>
          <w:color w:val="auto"/>
        </w:rPr>
      </w:pPr>
      <w:r>
        <w:rPr>
          <w:rFonts w:ascii="Courier New" w:cs="Courier New" w:eastAsia="Courier New" w:hAnsi="Courier New"/>
          <w:sz w:val="18"/>
          <w:szCs w:val="18"/>
          <w:color w:val="auto"/>
        </w:rPr>
        <w:t>Agreement, dated as of January 31, 1998,</w:t>
      </w:r>
    </w:p>
    <w:p>
      <w:pPr>
        <w:ind w:left="3160"/>
        <w:spacing w:after="0"/>
        <w:rPr>
          <w:sz w:val="20"/>
          <w:szCs w:val="20"/>
          <w:color w:val="auto"/>
        </w:rPr>
      </w:pPr>
      <w:r>
        <w:rPr>
          <w:rFonts w:ascii="Courier New" w:cs="Courier New" w:eastAsia="Courier New" w:hAnsi="Courier New"/>
          <w:sz w:val="18"/>
          <w:szCs w:val="18"/>
          <w:color w:val="auto"/>
        </w:rPr>
        <w:t>between Designs, Inc. and BankBoston, N.A.</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19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1055" w:right="1440" w:bottom="0" w:gutter="0" w:footer="0" w:header="0"/>
          <w:type w:val="continuous"/>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April 1, 1998</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 Scott N. Semel</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Scott N. Semel,</w:t>
      </w:r>
    </w:p>
    <w:p>
      <w:pPr>
        <w:spacing w:after="0" w:line="238" w:lineRule="auto"/>
        <w:rPr>
          <w:sz w:val="20"/>
          <w:szCs w:val="20"/>
          <w:color w:val="auto"/>
        </w:rPr>
      </w:pPr>
      <w:r>
        <w:rPr>
          <w:rFonts w:ascii="Courier New" w:cs="Courier New" w:eastAsia="Courier New" w:hAnsi="Courier New"/>
          <w:sz w:val="18"/>
          <w:szCs w:val="18"/>
          <w:color w:val="auto"/>
        </w:rPr>
        <w:t>Executive Vice President,</w:t>
      </w:r>
    </w:p>
    <w:p>
      <w:pPr>
        <w:sectPr>
          <w:pgSz w:w="11900" w:h="16838" w:orient="portrait"/>
          <w:cols w:equalWidth="0" w:num="4">
            <w:col w:w="540" w:space="200"/>
            <w:col w:w="2240" w:space="720"/>
            <w:col w:w="320" w:space="300"/>
            <w:col w:w="5899"/>
          </w:cols>
          <w:pgMar w:left="240" w:top="1055" w:right="1440" w:bottom="0" w:gutter="0" w:footer="0" w:header="0"/>
          <w:type w:val="continuous"/>
        </w:sectPr>
      </w:pPr>
    </w:p>
    <w:bookmarkStart w:id="1" w:name="page2"/>
    <w:bookmarkEnd w:id="1"/>
    <w:p>
      <w:pPr>
        <w:jc w:val="center"/>
        <w:ind w:right="-280"/>
        <w:spacing w:after="0"/>
        <w:rPr>
          <w:sz w:val="20"/>
          <w:szCs w:val="20"/>
          <w:color w:val="auto"/>
        </w:rPr>
      </w:pPr>
      <w:r>
        <w:rPr>
          <w:rFonts w:ascii="Courier New" w:cs="Courier New" w:eastAsia="Courier New" w:hAnsi="Courier New"/>
          <w:sz w:val="16"/>
          <w:szCs w:val="16"/>
          <w:color w:val="auto"/>
        </w:rPr>
        <w:t>General Counsel and Secretary</w:t>
      </w:r>
    </w:p>
    <w:p>
      <w:pPr>
        <w:sectPr>
          <w:pgSz w:w="11900" w:h="16838" w:orient="portrait"/>
          <w:cols w:equalWidth="0" w:num="1">
            <w:col w:w="9019"/>
          </w:cols>
          <w:pgMar w:left="1440" w:top="142" w:right="1440"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FIRST AMENDMENT TO CREDIT AGREEMENT</w:t>
      </w:r>
    </w:p>
    <w:p>
      <w:pPr>
        <w:spacing w:after="0" w:line="207"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This First Amendment to Credit Agreement is made as of the 31st day of January, 1998 by and among</w:t>
      </w:r>
    </w:p>
    <w:p>
      <w:pPr>
        <w:spacing w:after="0" w:line="208" w:lineRule="exact"/>
        <w:rPr>
          <w:sz w:val="20"/>
          <w:szCs w:val="20"/>
          <w:color w:val="auto"/>
        </w:rPr>
      </w:pPr>
    </w:p>
    <w:p>
      <w:pPr>
        <w:ind w:right="2099" w:firstLine="632"/>
        <w:spacing w:after="0" w:line="290" w:lineRule="auto"/>
        <w:rPr>
          <w:sz w:val="20"/>
          <w:szCs w:val="20"/>
          <w:color w:val="auto"/>
        </w:rPr>
      </w:pPr>
      <w:r>
        <w:rPr>
          <w:rFonts w:ascii="Courier New" w:cs="Courier New" w:eastAsia="Courier New" w:hAnsi="Courier New"/>
          <w:sz w:val="16"/>
          <w:szCs w:val="16"/>
          <w:color w:val="auto"/>
        </w:rPr>
        <w:t>DESIGNS, INC. (the "Company") a Delaware corporation with its principal place of business at 66 B Street, Needham, Massachusetts 02194; and</w:t>
      </w:r>
    </w:p>
    <w:p>
      <w:pPr>
        <w:spacing w:after="0" w:line="170" w:lineRule="exact"/>
        <w:rPr>
          <w:sz w:val="20"/>
          <w:szCs w:val="20"/>
          <w:color w:val="auto"/>
        </w:rPr>
      </w:pPr>
    </w:p>
    <w:p>
      <w:pPr>
        <w:jc w:val="both"/>
        <w:ind w:right="2419" w:firstLine="632"/>
        <w:spacing w:after="0" w:line="236" w:lineRule="auto"/>
        <w:rPr>
          <w:sz w:val="20"/>
          <w:szCs w:val="20"/>
          <w:color w:val="auto"/>
        </w:rPr>
      </w:pPr>
      <w:r>
        <w:rPr>
          <w:rFonts w:ascii="Courier New" w:cs="Courier New" w:eastAsia="Courier New" w:hAnsi="Courier New"/>
          <w:sz w:val="18"/>
          <w:szCs w:val="18"/>
          <w:color w:val="auto"/>
        </w:rPr>
        <w:t>BANKBOSTON, N.A., a national banking association with its principal place of business at 100 Federal Street, Boston, Massachusetts 02110 (the "Bank")</w:t>
      </w: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consideration of the mutual covenants herein contained and benefits to be derived herefrom.</w:t>
      </w:r>
    </w:p>
    <w:p>
      <w:pPr>
        <w:spacing w:after="0" w:line="203"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WITNESSETH</w:t>
      </w:r>
    </w:p>
    <w:p>
      <w:pPr>
        <w:spacing w:after="0" w:line="207"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WHEREAS, the Company and the Bank entered into a Credit Agreement dated as of December 10, 1997 (the "Credit Agreement"); and</w:t>
      </w:r>
    </w:p>
    <w:p>
      <w:pPr>
        <w:spacing w:after="0" w:line="208" w:lineRule="exact"/>
        <w:rPr>
          <w:sz w:val="20"/>
          <w:szCs w:val="20"/>
          <w:color w:val="auto"/>
        </w:rPr>
      </w:pPr>
    </w:p>
    <w:p>
      <w:pPr>
        <w:ind w:right="2199" w:firstLine="632"/>
        <w:spacing w:after="0" w:line="235" w:lineRule="auto"/>
        <w:rPr>
          <w:sz w:val="20"/>
          <w:szCs w:val="20"/>
          <w:color w:val="auto"/>
        </w:rPr>
      </w:pPr>
      <w:r>
        <w:rPr>
          <w:rFonts w:ascii="Courier New" w:cs="Courier New" w:eastAsia="Courier New" w:hAnsi="Courier New"/>
          <w:sz w:val="18"/>
          <w:szCs w:val="18"/>
          <w:color w:val="auto"/>
        </w:rPr>
        <w:t>WHEREAS, the Company and the Bank desire to amend certain of the terms and conditions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NOW THEREFORE, it is hereby agreed as follows:</w:t>
      </w:r>
    </w:p>
    <w:p>
      <w:pPr>
        <w:spacing w:after="0" w:line="207" w:lineRule="exact"/>
        <w:rPr>
          <w:sz w:val="20"/>
          <w:szCs w:val="20"/>
          <w:color w:val="auto"/>
        </w:rPr>
      </w:pPr>
    </w:p>
    <w:p>
      <w:pPr>
        <w:ind w:right="2319" w:firstLine="640"/>
        <w:spacing w:after="0" w:line="290" w:lineRule="auto"/>
        <w:tabs>
          <w:tab w:leader="none" w:pos="105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 All capitalized terms used herein and not otherwise defined shall have the same meaning herein as in the Credit Agreement.</w:t>
      </w:r>
    </w:p>
    <w:p>
      <w:pPr>
        <w:spacing w:after="0" w:line="169" w:lineRule="exact"/>
        <w:rPr>
          <w:rFonts w:ascii="Courier New" w:cs="Courier New" w:eastAsia="Courier New" w:hAnsi="Courier New"/>
          <w:sz w:val="16"/>
          <w:szCs w:val="16"/>
          <w:color w:val="auto"/>
        </w:rPr>
      </w:pPr>
    </w:p>
    <w:p>
      <w:pPr>
        <w:ind w:right="2319" w:firstLine="640"/>
        <w:spacing w:after="0" w:line="235" w:lineRule="auto"/>
        <w:tabs>
          <w:tab w:leader="none" w:pos="105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Article 1. The provisions of Article 1 of the Credit Agreement are hereby amended as follows:</w:t>
      </w:r>
    </w:p>
    <w:p>
      <w:pPr>
        <w:spacing w:after="0" w:line="208" w:lineRule="exact"/>
        <w:rPr>
          <w:sz w:val="20"/>
          <w:szCs w:val="20"/>
          <w:color w:val="auto"/>
        </w:rPr>
      </w:pPr>
    </w:p>
    <w:p>
      <w:pPr>
        <w:ind w:left="1900" w:right="2099"/>
        <w:spacing w:after="0" w:line="235" w:lineRule="auto"/>
        <w:rPr>
          <w:sz w:val="20"/>
          <w:szCs w:val="20"/>
          <w:color w:val="auto"/>
        </w:rPr>
      </w:pPr>
      <w:r>
        <w:rPr>
          <w:rFonts w:ascii="Courier New" w:cs="Courier New" w:eastAsia="Courier New" w:hAnsi="Courier New"/>
          <w:sz w:val="18"/>
          <w:szCs w:val="18"/>
          <w:color w:val="auto"/>
        </w:rPr>
        <w:t>By deleting the words "plus (f) Non-Cash Charges" appearing in the definition of Cash Flow.</w:t>
      </w:r>
    </w:p>
    <w:p>
      <w:pPr>
        <w:spacing w:after="0" w:line="208"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By deleting the definition of "EBITDA" and substituting the following in its stead:</w:t>
      </w:r>
    </w:p>
    <w:p>
      <w:pPr>
        <w:spacing w:after="0" w:line="208" w:lineRule="exact"/>
        <w:rPr>
          <w:sz w:val="20"/>
          <w:szCs w:val="20"/>
          <w:color w:val="auto"/>
        </w:rPr>
      </w:pPr>
    </w:p>
    <w:p>
      <w:pPr>
        <w:ind w:left="1900" w:right="1999"/>
        <w:spacing w:after="0" w:line="237" w:lineRule="auto"/>
        <w:rPr>
          <w:sz w:val="20"/>
          <w:szCs w:val="20"/>
          <w:color w:val="auto"/>
        </w:rPr>
      </w:pPr>
      <w:r>
        <w:rPr>
          <w:rFonts w:ascii="Courier New" w:cs="Courier New" w:eastAsia="Courier New" w:hAnsi="Courier New"/>
          <w:sz w:val="18"/>
          <w:szCs w:val="18"/>
          <w:color w:val="auto"/>
        </w:rPr>
        <w:t>"EBITDA" shall mean, for any period, the sum (without duplication) of (a) consolidated net income of the Company and its Subsidiaries for such period plus (b) to the extent deducted in determining consolidated net income for such period, the sum of (i) depreciation and amortization (including deferred financing costs, organization costs and non-compete amortization) for such period, (ii) interest expense for such period, and (iii) the provision for income taxes for such period, and (iv) for the Current Fiscal Year only, Non-Cash Charges, all as determined in accordance with GAAP.</w:t>
      </w:r>
    </w:p>
    <w:p>
      <w:pPr>
        <w:spacing w:after="0" w:line="216" w:lineRule="exact"/>
        <w:rPr>
          <w:sz w:val="20"/>
          <w:szCs w:val="20"/>
          <w:color w:val="auto"/>
        </w:rPr>
      </w:pPr>
    </w:p>
    <w:p>
      <w:pPr>
        <w:ind w:left="1900" w:right="2839"/>
        <w:spacing w:after="0" w:line="235" w:lineRule="auto"/>
        <w:rPr>
          <w:sz w:val="20"/>
          <w:szCs w:val="20"/>
          <w:color w:val="auto"/>
        </w:rPr>
      </w:pPr>
      <w:r>
        <w:rPr>
          <w:rFonts w:ascii="Courier New" w:cs="Courier New" w:eastAsia="Courier New" w:hAnsi="Courier New"/>
          <w:sz w:val="18"/>
          <w:szCs w:val="18"/>
          <w:color w:val="auto"/>
        </w:rPr>
        <w:t>By deleting the definition of "Non-Cash Charges" and substituting the following in its stead:</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"Non-Cash Charges" means charges not involving the</w:t>
      </w:r>
    </w:p>
    <w:p>
      <w:pPr>
        <w:ind w:left="1900"/>
        <w:spacing w:after="0" w:line="238" w:lineRule="auto"/>
        <w:rPr>
          <w:sz w:val="20"/>
          <w:szCs w:val="20"/>
          <w:color w:val="auto"/>
        </w:rPr>
      </w:pPr>
      <w:r>
        <w:rPr>
          <w:rFonts w:ascii="Courier New" w:cs="Courier New" w:eastAsia="Courier New" w:hAnsi="Courier New"/>
          <w:sz w:val="18"/>
          <w:szCs w:val="18"/>
          <w:color w:val="auto"/>
        </w:rPr>
        <w:t>expenditure of cash (x) related to Inventory and store</w:t>
      </w:r>
    </w:p>
    <w:p>
      <w:pPr>
        <w:ind w:left="1900"/>
        <w:spacing w:after="0"/>
        <w:rPr>
          <w:sz w:val="20"/>
          <w:szCs w:val="20"/>
          <w:color w:val="auto"/>
        </w:rPr>
      </w:pPr>
      <w:r>
        <w:rPr>
          <w:rFonts w:ascii="Courier New" w:cs="Courier New" w:eastAsia="Courier New" w:hAnsi="Courier New"/>
          <w:sz w:val="18"/>
          <w:szCs w:val="18"/>
          <w:color w:val="auto"/>
        </w:rPr>
        <w:t>closings taken in the second fiscal quarter of the Current</w:t>
      </w:r>
    </w:p>
    <w:p>
      <w:pPr>
        <w:ind w:left="1900"/>
        <w:spacing w:after="0" w:line="237" w:lineRule="auto"/>
        <w:rPr>
          <w:sz w:val="20"/>
          <w:szCs w:val="20"/>
          <w:color w:val="auto"/>
        </w:rPr>
      </w:pPr>
      <w:r>
        <w:rPr>
          <w:rFonts w:ascii="Courier New" w:cs="Courier New" w:eastAsia="Courier New" w:hAnsi="Courier New"/>
          <w:sz w:val="18"/>
          <w:szCs w:val="18"/>
          <w:color w:val="auto"/>
        </w:rPr>
        <w:t>Fiscal Year only, but in no event in excess of</w:t>
      </w:r>
    </w:p>
    <w:p>
      <w:pPr>
        <w:ind w:left="1900"/>
        <w:spacing w:after="0" w:line="238" w:lineRule="auto"/>
        <w:rPr>
          <w:sz w:val="20"/>
          <w:szCs w:val="20"/>
          <w:color w:val="auto"/>
        </w:rPr>
      </w:pPr>
      <w:r>
        <w:rPr>
          <w:rFonts w:ascii="Courier New" w:cs="Courier New" w:eastAsia="Courier New" w:hAnsi="Courier New"/>
          <w:sz w:val="18"/>
          <w:szCs w:val="18"/>
          <w:color w:val="auto"/>
        </w:rPr>
        <w:t>$13,900,000.00; and (y) related to the establishment of a</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reserve for prepaid Inventory balances taken in the Company's</w:t>
      </w:r>
    </w:p>
    <w:p>
      <w:pPr>
        <w:spacing w:after="0" w:line="2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fiscal year ending January 31, 1998 only, but in no event in</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excess of $6,386,000.00; and (z) related to severance and</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other costs associated with a reduction in force announced on</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January 12, 1998 only, but in no event in excess of</w:t>
      </w:r>
    </w:p>
    <w:p>
      <w:pPr>
        <w:ind w:left="1900"/>
        <w:spacing w:after="0" w:line="238" w:lineRule="auto"/>
        <w:rPr>
          <w:sz w:val="20"/>
          <w:szCs w:val="20"/>
          <w:color w:val="auto"/>
        </w:rPr>
      </w:pPr>
      <w:r>
        <w:rPr>
          <w:rFonts w:ascii="Courier New" w:cs="Courier New" w:eastAsia="Courier New" w:hAnsi="Courier New"/>
          <w:sz w:val="18"/>
          <w:szCs w:val="18"/>
          <w:color w:val="auto"/>
        </w:rPr>
        <w:t>$1,600,000.00.</w:t>
      </w:r>
    </w:p>
    <w:p>
      <w:pPr>
        <w:spacing w:after="0" w:line="207" w:lineRule="exact"/>
        <w:rPr>
          <w:sz w:val="20"/>
          <w:szCs w:val="20"/>
          <w:color w:val="auto"/>
        </w:rPr>
      </w:pPr>
    </w:p>
    <w:p>
      <w:pPr>
        <w:ind w:right="1879" w:firstLine="640"/>
        <w:spacing w:after="0" w:line="236" w:lineRule="auto"/>
        <w:tabs>
          <w:tab w:leader="none" w:pos="105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Article 3. The provisions of Section 3.2 of the Credit Agreement are hereby amended by deleting the first proviso appearing therein and substituting the following in its stead:</w:t>
      </w:r>
    </w:p>
    <w:p>
      <w:pPr>
        <w:spacing w:after="0" w:line="209" w:lineRule="exact"/>
        <w:rPr>
          <w:sz w:val="20"/>
          <w:szCs w:val="20"/>
          <w:color w:val="auto"/>
        </w:rPr>
      </w:pPr>
    </w:p>
    <w:p>
      <w:pPr>
        <w:ind w:left="1900" w:right="1879"/>
        <w:spacing w:after="0" w:line="275" w:lineRule="auto"/>
        <w:rPr>
          <w:sz w:val="20"/>
          <w:szCs w:val="20"/>
          <w:color w:val="auto"/>
        </w:rPr>
      </w:pPr>
      <w:r>
        <w:rPr>
          <w:rFonts w:ascii="Courier New" w:cs="Courier New" w:eastAsia="Courier New" w:hAnsi="Courier New"/>
          <w:sz w:val="16"/>
          <w:szCs w:val="16"/>
          <w:color w:val="auto"/>
        </w:rPr>
        <w:t>provided that for purposes of calculating Cash Flow (which is a component of the Cash Flow Ratio) under this Section 3.2, Non-Cash Charges shall be added back to EBITDA only through the fiscal quarter ending April 30, 1998 and not thereafter;</w:t>
      </w:r>
    </w:p>
    <w:p>
      <w:pPr>
        <w:spacing w:after="0" w:line="182" w:lineRule="exact"/>
        <w:rPr>
          <w:sz w:val="20"/>
          <w:szCs w:val="20"/>
          <w:color w:val="auto"/>
        </w:rPr>
      </w:pPr>
    </w:p>
    <w:p>
      <w:pPr>
        <w:ind w:right="1879" w:firstLine="535"/>
        <w:spacing w:after="0" w:line="236" w:lineRule="auto"/>
        <w:tabs>
          <w:tab w:leader="none" w:pos="948"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to Article 6. The provisions of Section 6.3(b) of the Credit Agreement are hereby amended by deleting the first proviso appearing therein and substituting the following in its stead:</w:t>
      </w:r>
    </w:p>
    <w:p>
      <w:pPr>
        <w:spacing w:after="0" w:line="209" w:lineRule="exact"/>
        <w:rPr>
          <w:sz w:val="20"/>
          <w:szCs w:val="20"/>
          <w:color w:val="auto"/>
        </w:rPr>
      </w:pPr>
    </w:p>
    <w:p>
      <w:pPr>
        <w:ind w:left="1900" w:right="1879"/>
        <w:spacing w:after="0" w:line="290" w:lineRule="auto"/>
        <w:rPr>
          <w:sz w:val="20"/>
          <w:szCs w:val="20"/>
          <w:color w:val="auto"/>
        </w:rPr>
      </w:pPr>
      <w:r>
        <w:rPr>
          <w:rFonts w:ascii="Courier New" w:cs="Courier New" w:eastAsia="Courier New" w:hAnsi="Courier New"/>
          <w:sz w:val="16"/>
          <w:szCs w:val="16"/>
          <w:color w:val="auto"/>
        </w:rPr>
        <w:t>provided that for purposes of calculating Cash Flow under this Section 6.3(b), Non-Cash Charges shall not be added back</w:t>
      </w:r>
    </w:p>
    <w:p>
      <w:pPr>
        <w:sectPr>
          <w:pgSz w:w="11900" w:h="16838" w:orient="portrait"/>
          <w:cols w:equalWidth="0" w:num="1">
            <w:col w:w="10219"/>
          </w:cols>
          <w:pgMar w:left="240" w:top="541" w:right="1440" w:bottom="0" w:gutter="0" w:footer="0" w:header="0"/>
        </w:sectPr>
      </w:pPr>
    </w:p>
    <w:bookmarkStart w:id="3" w:name="page4"/>
    <w:bookmarkEnd w:id="3"/>
    <w:p>
      <w:pPr>
        <w:ind w:left="1900"/>
        <w:spacing w:after="0"/>
        <w:rPr>
          <w:sz w:val="20"/>
          <w:szCs w:val="20"/>
          <w:color w:val="auto"/>
        </w:rPr>
      </w:pPr>
      <w:r>
        <w:rPr>
          <w:rFonts w:ascii="Courier New" w:cs="Courier New" w:eastAsia="Courier New" w:hAnsi="Courier New"/>
          <w:sz w:val="18"/>
          <w:szCs w:val="18"/>
          <w:color w:val="auto"/>
        </w:rPr>
        <w:t>to EBITDA (which is a component of Cash Flow);</w:t>
      </w:r>
    </w:p>
    <w:p>
      <w:pPr>
        <w:spacing w:after="0" w:line="207" w:lineRule="exact"/>
        <w:rPr>
          <w:sz w:val="20"/>
          <w:szCs w:val="20"/>
          <w:color w:val="auto"/>
        </w:rPr>
      </w:pPr>
    </w:p>
    <w:p>
      <w:pPr>
        <w:ind w:right="1879" w:firstLine="640"/>
        <w:spacing w:after="0" w:line="236"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Effectiveness. This First Amendment to Credit Agreement shall not be effective until each of the following conditions precedent have been fulfilled to the satisfaction of the Bank:</w:t>
      </w:r>
    </w:p>
    <w:p>
      <w:pPr>
        <w:spacing w:after="0" w:line="209" w:lineRule="exact"/>
        <w:rPr>
          <w:sz w:val="20"/>
          <w:szCs w:val="20"/>
          <w:color w:val="auto"/>
        </w:rPr>
      </w:pPr>
    </w:p>
    <w:p>
      <w:pPr>
        <w:ind w:left="1280" w:right="2519" w:hanging="640"/>
        <w:spacing w:after="0" w:line="290"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First Amendment to Credit Agreement shall have been duly executed and delivered by the respective parties hereto.</w:t>
      </w:r>
    </w:p>
    <w:p>
      <w:pPr>
        <w:spacing w:after="0" w:line="169" w:lineRule="exact"/>
        <w:rPr>
          <w:rFonts w:ascii="Courier New" w:cs="Courier New" w:eastAsia="Courier New" w:hAnsi="Courier New"/>
          <w:sz w:val="16"/>
          <w:szCs w:val="16"/>
          <w:color w:val="auto"/>
        </w:rPr>
      </w:pPr>
    </w:p>
    <w:p>
      <w:pPr>
        <w:ind w:left="1280" w:right="2099" w:hanging="640"/>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action on the part of the Company necessary for the valid execution, delivery and performance by the Company of this First Amendment shall have been duly and effectively taken. The Bank acknowledges that the execution and delivery of this First Amendment by the Company will be ratified and confirmed by the board of directors at a meeting scheduled to be held on April 13, 1998. The Bank waives the requirement that evidence of due corporate authorization be furnished prior to the effectiveness of this First Amendment. Nevertheless, the Bank shall receive from the Company true copies of the resolutions when adopted by its board of directors ratifying the transactions described herein, certified by the Company's secretary to be true and complete.</w:t>
      </w:r>
    </w:p>
    <w:p>
      <w:pPr>
        <w:spacing w:after="0" w:line="207" w:lineRule="exact"/>
        <w:rPr>
          <w:rFonts w:ascii="Courier New" w:cs="Courier New" w:eastAsia="Courier New" w:hAnsi="Courier New"/>
          <w:sz w:val="18"/>
          <w:szCs w:val="18"/>
          <w:color w:val="auto"/>
        </w:rPr>
      </w:pPr>
    </w:p>
    <w:p>
      <w:pPr>
        <w:ind w:left="1280" w:right="1879" w:hanging="640"/>
        <w:spacing w:after="0" w:line="272"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paid to the Bank an amendment fee in the sum of $7,500.00 (which fee shall be fully earned upon payment and shall not be subject to refund or rebate under any circumstances) and all other fees and expenses then due and owing pursuant to the Credit Agreement, as modified hereby, including, without limitation, reasonable attorneys' fees incurred by the Bank.</w:t>
      </w:r>
    </w:p>
    <w:p>
      <w:pPr>
        <w:spacing w:after="0" w:line="185" w:lineRule="exact"/>
        <w:rPr>
          <w:rFonts w:ascii="Courier New" w:cs="Courier New" w:eastAsia="Courier New" w:hAnsi="Courier New"/>
          <w:sz w:val="16"/>
          <w:szCs w:val="16"/>
          <w:color w:val="auto"/>
        </w:rPr>
      </w:pPr>
    </w:p>
    <w:p>
      <w:pPr>
        <w:ind w:left="1280" w:right="2939" w:hanging="640"/>
        <w:spacing w:after="0" w:line="235"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Default or Event of Default shall have occurred and be continuing.</w:t>
      </w:r>
    </w:p>
    <w:p>
      <w:pPr>
        <w:spacing w:after="0" w:line="208" w:lineRule="exact"/>
        <w:rPr>
          <w:rFonts w:ascii="Courier New" w:cs="Courier New" w:eastAsia="Courier New" w:hAnsi="Courier New"/>
          <w:sz w:val="18"/>
          <w:szCs w:val="18"/>
          <w:color w:val="auto"/>
        </w:rPr>
      </w:pPr>
    </w:p>
    <w:p>
      <w:pPr>
        <w:ind w:left="1280" w:right="2319" w:hanging="640"/>
        <w:spacing w:after="0" w:line="236"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provided such additional instruments and documents to the Bank as the Bank and its counsel may have reasonably requested.</w:t>
      </w:r>
    </w:p>
    <w:p>
      <w:pPr>
        <w:spacing w:after="0" w:line="203" w:lineRule="exact"/>
        <w:rPr>
          <w:sz w:val="20"/>
          <w:szCs w:val="20"/>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left="1280" w:right="2099" w:hanging="640"/>
        <w:spacing w:after="0" w:line="270" w:lineRule="auto"/>
        <w:tabs>
          <w:tab w:leader="none" w:pos="12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herein, all terms and conditions of the Credit Agreement remain in full force and effect. The Company hereby ratifies, confirms, and reaffirms all of the representations, warranties and covenants therein contained and acknowledges that all Collateral secures all Obligations, as amended hereby. The Company further acknowledges and agrees that it has no offsets, defenses, or counterclaims against the Bank under the Credit Agreement or the other Loan Documents and, to the extent that the Company has, or ever had, any such offsets, defenses, or counterclaims, the Company hereby waives and releases the same.</w:t>
      </w:r>
    </w:p>
    <w:p>
      <w:pPr>
        <w:spacing w:after="0" w:line="189" w:lineRule="exact"/>
        <w:rPr>
          <w:rFonts w:ascii="Courier New" w:cs="Courier New" w:eastAsia="Courier New" w:hAnsi="Courier New"/>
          <w:sz w:val="16"/>
          <w:szCs w:val="16"/>
          <w:color w:val="auto"/>
        </w:rPr>
      </w:pPr>
    </w:p>
    <w:p>
      <w:pPr>
        <w:jc w:val="both"/>
        <w:ind w:left="1280" w:right="2099" w:hanging="640"/>
        <w:spacing w:after="0" w:line="236"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all costs and expenses incurred by the Bank in connection with this Amendment, including, without limitation, all reasonable attorneys' fees.</w:t>
      </w:r>
    </w:p>
    <w:p>
      <w:pPr>
        <w:spacing w:after="0" w:line="208" w:lineRule="exact"/>
        <w:rPr>
          <w:rFonts w:ascii="Courier New" w:cs="Courier New" w:eastAsia="Courier New" w:hAnsi="Courier New"/>
          <w:sz w:val="18"/>
          <w:szCs w:val="18"/>
          <w:color w:val="auto"/>
        </w:rPr>
      </w:pPr>
    </w:p>
    <w:p>
      <w:pPr>
        <w:ind w:left="1280" w:right="1879" w:hanging="640"/>
        <w:spacing w:after="0" w:line="237"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First Amendment may be executed in several counterparts and by each party on a separate counterpart, each of which when so executed and delivered, each shall be an original, and all of which together shall constitute one instrument.</w:t>
      </w:r>
    </w:p>
    <w:p>
      <w:pPr>
        <w:spacing w:after="0" w:line="207" w:lineRule="exact"/>
        <w:rPr>
          <w:rFonts w:ascii="Courier New" w:cs="Courier New" w:eastAsia="Courier New" w:hAnsi="Courier New"/>
          <w:sz w:val="18"/>
          <w:szCs w:val="18"/>
          <w:color w:val="auto"/>
        </w:rPr>
      </w:pPr>
    </w:p>
    <w:p>
      <w:pPr>
        <w:ind w:left="1280" w:right="1879" w:hanging="640"/>
        <w:spacing w:after="0" w:line="236" w:lineRule="auto"/>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First Amendment expresses the entire understanding of the parties with respect to the matters set forth herein and supersedes all prior discussions or negotiations hereon.</w:t>
      </w:r>
    </w:p>
    <w:p>
      <w:pPr>
        <w:spacing w:after="0" w:line="209" w:lineRule="exact"/>
        <w:rPr>
          <w:sz w:val="20"/>
          <w:szCs w:val="20"/>
          <w:color w:val="auto"/>
        </w:rPr>
      </w:pPr>
    </w:p>
    <w:p>
      <w:pPr>
        <w:ind w:right="2099" w:firstLine="632"/>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First Amendment to be executed and their seals to be hereto affixed as the date first above written.</w:t>
      </w:r>
    </w:p>
    <w:p>
      <w:pPr>
        <w:spacing w:after="0" w:line="203"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COMPANY</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ind w:left="5060"/>
        <w:spacing w:after="0"/>
        <w:tabs>
          <w:tab w:leader="none" w:pos="5580" w:val="left"/>
        </w:tabs>
        <w:rPr>
          <w:sz w:val="20"/>
          <w:szCs w:val="20"/>
          <w:color w:val="auto"/>
        </w:rPr>
      </w:pPr>
      <w:r>
        <w:rPr>
          <w:rFonts w:ascii="Courier New" w:cs="Courier New" w:eastAsia="Courier New" w:hAnsi="Courier New"/>
          <w:sz w:val="18"/>
          <w:szCs w:val="18"/>
          <w:color w:val="auto"/>
        </w:rPr>
        <w:t>By:</w:t>
        <w:tab/>
        <w:t>/s/ Joel H. Reichman</w:t>
      </w:r>
    </w:p>
    <w:p>
      <w:pPr>
        <w:ind w:left="50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Joel H. Reichman</w:t>
      </w:r>
    </w:p>
    <w:p>
      <w:pPr>
        <w:ind w:left="5060"/>
        <w:spacing w:after="0"/>
        <w:tabs>
          <w:tab w:leader="none" w:pos="5880" w:val="left"/>
        </w:tabs>
        <w:rPr>
          <w:sz w:val="20"/>
          <w:szCs w:val="20"/>
          <w:color w:val="auto"/>
        </w:rPr>
      </w:pPr>
      <w:r>
        <w:rPr>
          <w:rFonts w:ascii="Courier New" w:cs="Courier New" w:eastAsia="Courier New" w:hAnsi="Courier New"/>
          <w:sz w:val="18"/>
          <w:szCs w:val="18"/>
          <w:color w:val="auto"/>
        </w:rPr>
        <w:t>Title:</w:t>
        <w:tab/>
        <w:t>President</w:t>
      </w:r>
    </w:p>
    <w:p>
      <w:pPr>
        <w:spacing w:after="0" w:line="200"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Bank</w:t>
      </w:r>
    </w:p>
    <w:p>
      <w:pPr>
        <w:spacing w:after="0" w:line="201"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BANKBOSTON, N.A.</w:t>
      </w:r>
    </w:p>
    <w:p>
      <w:pPr>
        <w:sectPr>
          <w:pgSz w:w="11900" w:h="16838" w:orient="portrait"/>
          <w:cols w:equalWidth="0" w:num="1">
            <w:col w:w="10219"/>
          </w:cols>
          <w:pgMar w:left="240" w:top="136" w:right="1440" w:bottom="132" w:gutter="0" w:footer="0" w:header="0"/>
        </w:sectPr>
      </w:pPr>
    </w:p>
    <w:bookmarkStart w:id="4" w:name="page5"/>
    <w:bookmarkEnd w:id="4"/>
    <w:p>
      <w:pPr>
        <w:ind w:left="3860"/>
        <w:spacing w:after="0"/>
        <w:tabs>
          <w:tab w:leader="none" w:pos="4380" w:val="left"/>
        </w:tabs>
        <w:rPr>
          <w:sz w:val="20"/>
          <w:szCs w:val="20"/>
          <w:color w:val="auto"/>
        </w:rPr>
      </w:pPr>
      <w:r>
        <w:rPr>
          <w:rFonts w:ascii="Courier New" w:cs="Courier New" w:eastAsia="Courier New" w:hAnsi="Courier New"/>
          <w:sz w:val="16"/>
          <w:szCs w:val="16"/>
          <w:color w:val="auto"/>
        </w:rPr>
        <w:t>By:</w:t>
        <w:tab/>
        <w:t>/s/ Gisela A. LoPiano</w:t>
      </w:r>
    </w:p>
    <w:p>
      <w:pPr>
        <w:spacing w:after="0" w:line="16" w:lineRule="exact"/>
        <w:rPr>
          <w:sz w:val="20"/>
          <w:szCs w:val="20"/>
          <w:color w:val="auto"/>
        </w:rPr>
      </w:pPr>
    </w:p>
    <w:p>
      <w:pPr>
        <w:ind w:left="3860"/>
        <w:spacing w:after="0"/>
        <w:tabs>
          <w:tab w:leader="none" w:pos="45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Gisela A. LoPiano</w:t>
      </w:r>
    </w:p>
    <w:p>
      <w:pPr>
        <w:ind w:left="3860"/>
        <w:spacing w:after="0" w:line="238" w:lineRule="auto"/>
        <w:tabs>
          <w:tab w:leader="none" w:pos="4680" w:val="left"/>
        </w:tabs>
        <w:rPr>
          <w:sz w:val="20"/>
          <w:szCs w:val="20"/>
          <w:color w:val="auto"/>
        </w:rPr>
      </w:pPr>
      <w:r>
        <w:rPr>
          <w:rFonts w:ascii="Courier New" w:cs="Courier New" w:eastAsia="Courier New" w:hAnsi="Courier New"/>
          <w:sz w:val="18"/>
          <w:szCs w:val="18"/>
          <w:color w:val="auto"/>
        </w:rPr>
        <w:t>Title:</w:t>
        <w:tab/>
        <w:t>Director</w:t>
      </w:r>
    </w:p>
    <w:sectPr>
      <w:pgSz w:w="11900" w:h="16838" w:orient="portrait"/>
      <w:cols w:equalWidth="0" w:num="1">
        <w:col w:w="9019"/>
      </w:cols>
      <w:pgMar w:left="14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decimal"/>
      <w:start w:val="6"/>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2019-12-19T22:00:49Z</dcterms:created>
  <dcterms:modified xsi:type="dcterms:W3CDTF">2019-12-19T22:00:49Z</dcterms:modified>
</cp:coreProperties>
</file>