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95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9512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Jones Stacey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01/11/2023</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16,304</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w:t>
            </w:r>
          </w:p>
        </w:tc>
        <w:tc>
          <w:tcPr>
            <w:tcW w:w="8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104,837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01/11/2023</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20,447</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w:t>
            </w:r>
          </w:p>
        </w:tc>
        <w:tc>
          <w:tcPr>
            <w:tcW w:w="8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125,284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01/11/2023</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36,751</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7.0217</w:t>
            </w:r>
            <w:r>
              <w:rPr>
                <w:rFonts w:ascii="Times New Roman" w:cs="Times New Roman" w:eastAsia="Times New Roman" w:hAnsi="Times New Roman"/>
                <w:sz w:val="21"/>
                <w:szCs w:val="21"/>
                <w:color w:val="008000"/>
                <w:w w:val="90"/>
                <w:vertAlign w:val="superscript"/>
              </w:rPr>
              <w:t>(1)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88,533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01/11/2023</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4" w:lineRule="exact"/>
              <w:rPr>
                <w:sz w:val="20"/>
                <w:szCs w:val="20"/>
                <w:color w:val="auto"/>
              </w:rPr>
            </w:pPr>
            <w:r>
              <w:rPr>
                <w:rFonts w:ascii="Times New Roman" w:cs="Times New Roman" w:eastAsia="Times New Roman" w:hAnsi="Times New Roman"/>
                <w:sz w:val="13"/>
                <w:szCs w:val="13"/>
                <w:color w:val="0000FF"/>
                <w:w w:val="92"/>
              </w:rPr>
              <w:t>16,304</w:t>
            </w:r>
            <w:r>
              <w:rPr>
                <w:rFonts w:ascii="Times New Roman" w:cs="Times New Roman" w:eastAsia="Times New Roman" w:hAnsi="Times New Roman"/>
                <w:sz w:val="21"/>
                <w:szCs w:val="21"/>
                <w:color w:val="008000"/>
                <w:w w:val="92"/>
                <w:vertAlign w:val="superscript"/>
              </w:rPr>
              <w:t>(2)</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01/31/2015</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05/28/2023</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16,304</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Option</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ind w:left="18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01/11/2023</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4" w:lineRule="exact"/>
              <w:rPr>
                <w:sz w:val="20"/>
                <w:szCs w:val="20"/>
                <w:color w:val="auto"/>
              </w:rPr>
            </w:pPr>
            <w:r>
              <w:rPr>
                <w:rFonts w:ascii="Times New Roman" w:cs="Times New Roman" w:eastAsia="Times New Roman" w:hAnsi="Times New Roman"/>
                <w:sz w:val="13"/>
                <w:szCs w:val="13"/>
                <w:color w:val="0000FF"/>
                <w:w w:val="92"/>
              </w:rPr>
              <w:t>20,447</w:t>
            </w:r>
            <w:r>
              <w:rPr>
                <w:rFonts w:ascii="Times New Roman" w:cs="Times New Roman" w:eastAsia="Times New Roman" w:hAnsi="Times New Roman"/>
                <w:sz w:val="21"/>
                <w:szCs w:val="21"/>
                <w:color w:val="008000"/>
                <w:w w:val="92"/>
                <w:vertAlign w:val="superscript"/>
              </w:rPr>
              <w:t>(3)</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06/11/2021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06/11/2030</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20,447</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61,341</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$7.00 to $7.075,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6"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("Stock Options") to the Reporting Person on May 28, 2013 under the 2013-2016 Long-Term Incentive Plan. The shares subject to time-based vesting became fully vested January 28, 2017.</w:t>
      </w:r>
    </w:p>
    <w:p>
      <w:pPr>
        <w:spacing w:after="0" w:line="20"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Stock Options to the Reporting Person on June 11, 2020 under the 2020-2022 Long-Term Incentive Plan. 20,447 Stock Options became exercisable on each of June 11, 2021 and April 1, 2022, and 20,447 Stock Options will become exercisable on each of April 1, 2023 and April 1, 2024.</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Stacey Jones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01/12/2023</w:t>
            </w:r>
          </w:p>
        </w:tc>
      </w:tr>
      <w:tr>
        <w:trPr>
          <w:trHeight w:val="20"/>
        </w:trPr>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646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2023-01-12T15:05:13Z</dcterms:created>
  <dcterms:modified xsi:type="dcterms:W3CDTF">2023-01-12T15:05:13Z</dcterms:modified>
</cp:coreProperties>
</file>