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00" w:right="1600" w:hanging="3879"/>
        <w:spacing w:after="0" w:line="375" w:lineRule="auto"/>
        <w:tabs>
          <w:tab w:leader="none" w:pos="49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29, 2023</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240" w:right="1580" w:hanging="4219"/>
        <w:spacing w:after="0" w:line="423" w:lineRule="auto"/>
        <w:tabs>
          <w:tab w:leader="none" w:pos="49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DESTINATION XL GROUP, INC.</w:t>
      </w:r>
    </w:p>
    <w:p>
      <w:pPr>
        <w:sectPr>
          <w:pgSz w:w="11900" w:h="16838" w:orient="portrait"/>
          <w:cols w:equalWidth="0" w:num="1">
            <w:col w:w="11240"/>
          </w:cols>
          <w:pgMar w:left="320" w:top="746"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555 Turnpike Street</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04-2623104</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02021</w:t>
      </w:r>
    </w:p>
    <w:p>
      <w:pPr>
        <w:spacing w:after="0" w:line="36" w:lineRule="exact"/>
        <w:rPr>
          <w:sz w:val="24"/>
          <w:szCs w:val="24"/>
          <w:color w:val="auto"/>
        </w:rPr>
      </w:pPr>
    </w:p>
    <w:p>
      <w:pPr>
        <w:sectPr>
          <w:pgSz w:w="11900" w:h="16838" w:orient="portrait"/>
          <w:cols w:equalWidth="0" w:num="2">
            <w:col w:w="7720" w:space="220"/>
            <w:col w:w="3300"/>
          </w:cols>
          <w:pgMar w:left="320" w:top="746"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7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48"/>
        </w:trPr>
        <w:tc>
          <w:tcPr>
            <w:tcW w:w="140" w:type="dxa"/>
            <w:vAlign w:val="bottom"/>
            <w:tcBorders>
              <w:right w:val="single" w:sz="8" w:color="auto"/>
            </w:tcBorders>
          </w:tcPr>
          <w:p>
            <w:pPr>
              <w:spacing w:after="0"/>
              <w:rPr>
                <w:sz w:val="24"/>
                <w:szCs w:val="24"/>
                <w:color w:val="auto"/>
              </w:rPr>
            </w:pP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4"/>
        </w:trPr>
        <w:tc>
          <w:tcPr>
            <w:tcW w:w="14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
        </w:trPr>
        <w:tc>
          <w:tcPr>
            <w:tcW w:w="140" w:type="dxa"/>
            <w:vAlign w:val="bottom"/>
            <w:tcBorders>
              <w:right w:val="single" w:sz="8" w:color="auto"/>
            </w:tcBorders>
          </w:tcPr>
          <w:p>
            <w:pPr>
              <w:spacing w:after="0" w:line="20" w:lineRule="exact"/>
              <w:rPr>
                <w:sz w:val="1"/>
                <w:szCs w:val="1"/>
                <w:color w:val="auto"/>
              </w:rPr>
            </w:pPr>
          </w:p>
        </w:tc>
        <w:tc>
          <w:tcPr>
            <w:tcW w:w="46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r>
    </w:tbl>
    <w:p>
      <w:pPr>
        <w:spacing w:after="0" w:line="98" w:lineRule="exact"/>
        <w:rPr>
          <w:sz w:val="24"/>
          <w:szCs w:val="24"/>
          <w:color w:val="auto"/>
        </w:rPr>
      </w:pPr>
    </w:p>
    <w:p>
      <w:pPr>
        <w:jc w:val="both"/>
        <w:ind w:firstLine="599"/>
        <w:spacing w:after="0" w:line="22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100" w:firstLine="599"/>
        <w:spacing w:after="0" w:line="22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7"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0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40" w:firstLine="599"/>
        <w:spacing w:after="0" w:line="22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August 16, 2023, the registrant had 60,389,665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color w:val="auto"/>
              </w:rPr>
              <w:t>July 29, 2023</w:t>
            </w:r>
          </w:p>
        </w:tc>
        <w:tc>
          <w:tcPr>
            <w:tcW w:w="180" w:type="dxa"/>
            <w:vAlign w:val="bottom"/>
          </w:tcPr>
          <w:p>
            <w:pPr>
              <w:spacing w:after="0"/>
              <w:rPr>
                <w:sz w:val="15"/>
                <w:szCs w:val="15"/>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January 28, 2023</w:t>
            </w:r>
          </w:p>
        </w:tc>
      </w:tr>
      <w:tr>
        <w:trPr>
          <w:trHeight w:val="181"/>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2023)</w:t>
            </w:r>
          </w:p>
        </w:tc>
        <w:tc>
          <w:tcPr>
            <w:tcW w:w="180" w:type="dxa"/>
            <w:vAlign w:val="bottom"/>
          </w:tcPr>
          <w:p>
            <w:pPr>
              <w:spacing w:after="0"/>
              <w:rPr>
                <w:sz w:val="15"/>
                <w:szCs w:val="15"/>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2022)</w:t>
            </w:r>
          </w:p>
        </w:tc>
      </w:tr>
      <w:tr>
        <w:trPr>
          <w:trHeight w:val="169"/>
        </w:trPr>
        <w:tc>
          <w:tcPr>
            <w:tcW w:w="77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43,536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87,532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93,004</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6,754</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157,952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154,012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Non-current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35,397</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132,930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124,356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 of valuation allowance</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351,960</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350,598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20,899</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27,548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leases, current</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37,727</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Pr>
          <w:p>
            <w:pPr>
              <w:spacing w:after="0"/>
              <w:rPr>
                <w:sz w:val="21"/>
                <w:szCs w:val="21"/>
                <w:color w:val="auto"/>
              </w:rPr>
            </w:pP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86,132</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Long-term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leases, non-current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111,907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106,912</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3,821</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115,728</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111,618</w:t>
            </w:r>
          </w:p>
        </w:tc>
        <w:tc>
          <w:tcPr>
            <w:tcW w:w="100" w:type="dxa"/>
            <w:vAlign w:val="bottom"/>
          </w:tcPr>
          <w:p>
            <w:pPr>
              <w:spacing w:after="0"/>
              <w:rPr>
                <w:sz w:val="20"/>
                <w:szCs w:val="20"/>
                <w:color w:val="auto"/>
              </w:rPr>
            </w:pPr>
          </w:p>
        </w:tc>
      </w:tr>
      <w:tr>
        <w:trPr>
          <w:trHeight w:val="237"/>
        </w:trPr>
        <w:tc>
          <w:tcPr>
            <w:tcW w:w="7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Stockholders'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w w:val="93"/>
              </w:rPr>
              <w:t>Common stock, $0.01 par value, 125,000,000 shares authorized, 78,605,837 and 78,229,861 shares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issued at July 29, 2023 and January 28, 2023,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323,512</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321,516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w w:val="91"/>
              </w:rPr>
              <w:t>Treasury stock at cost, 17,874,322 shares at July 29, 2023 and 15,625,172 shares at January 28, 2023</w:t>
            </w: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(116,291 )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(105,386 )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(56,156 )</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(74,756 )</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(1,751 )</w:t>
            </w:r>
          </w:p>
        </w:tc>
        <w:tc>
          <w:tcPr>
            <w:tcW w:w="18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(4,928 )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150,100</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351,960</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350,598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-5348605</wp:posOffset>
            </wp:positionV>
            <wp:extent cx="685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-5348605</wp:posOffset>
            </wp:positionV>
            <wp:extent cx="6858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-4105275</wp:posOffset>
            </wp:positionV>
            <wp:extent cx="6858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-2828290</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-2202180</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6"/>
          </w:tcPr>
          <w:p>
            <w:pPr>
              <w:jc w:val="right"/>
              <w:ind w:right="900"/>
              <w:spacing w:after="0"/>
              <w:rPr>
                <w:sz w:val="20"/>
                <w:szCs w:val="20"/>
                <w:color w:val="auto"/>
              </w:rPr>
            </w:pPr>
            <w:r>
              <w:rPr>
                <w:rFonts w:ascii="Arial" w:cs="Arial" w:eastAsia="Arial" w:hAnsi="Arial"/>
                <w:sz w:val="14"/>
                <w:szCs w:val="14"/>
                <w:color w:val="auto"/>
              </w:rPr>
              <w:t>For the Three Months Ended</w:t>
            </w:r>
          </w:p>
        </w:tc>
        <w:tc>
          <w:tcPr>
            <w:tcW w:w="180" w:type="dxa"/>
            <w:vAlign w:val="bottom"/>
          </w:tcPr>
          <w:p>
            <w:pPr>
              <w:spacing w:after="0"/>
              <w:rPr>
                <w:sz w:val="15"/>
                <w:szCs w:val="15"/>
                <w:color w:val="auto"/>
              </w:rPr>
            </w:pPr>
          </w:p>
        </w:tc>
        <w:tc>
          <w:tcPr>
            <w:tcW w:w="2920" w:type="dxa"/>
            <w:vAlign w:val="bottom"/>
            <w:gridSpan w:val="6"/>
          </w:tcPr>
          <w:p>
            <w:pPr>
              <w:jc w:val="right"/>
              <w:ind w:right="840"/>
              <w:spacing w:after="0"/>
              <w:rPr>
                <w:sz w:val="20"/>
                <w:szCs w:val="20"/>
                <w:color w:val="auto"/>
              </w:rPr>
            </w:pPr>
            <w:r>
              <w:rPr>
                <w:rFonts w:ascii="Arial" w:cs="Arial" w:eastAsia="Arial" w:hAnsi="Arial"/>
                <w:sz w:val="14"/>
                <w:szCs w:val="14"/>
                <w:color w:val="auto"/>
              </w:rPr>
              <w:t>For the Six Months Ended</w:t>
            </w:r>
          </w:p>
        </w:tc>
      </w:tr>
      <w:tr>
        <w:trPr>
          <w:trHeight w:val="175"/>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ind w:left="120"/>
              <w:spacing w:after="0"/>
              <w:rPr>
                <w:sz w:val="20"/>
                <w:szCs w:val="20"/>
                <w:color w:val="auto"/>
              </w:rPr>
            </w:pPr>
            <w:r>
              <w:rPr>
                <w:rFonts w:ascii="Arial" w:cs="Arial" w:eastAsia="Arial" w:hAnsi="Arial"/>
                <w:sz w:val="14"/>
                <w:szCs w:val="14"/>
                <w:color w:val="auto"/>
              </w:rPr>
              <w:t>July 29, 2023</w:t>
            </w:r>
          </w:p>
        </w:tc>
        <w:tc>
          <w:tcPr>
            <w:tcW w:w="18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July 30, 2022</w:t>
            </w:r>
          </w:p>
        </w:tc>
        <w:tc>
          <w:tcPr>
            <w:tcW w:w="180" w:type="dxa"/>
            <w:vAlign w:val="bottom"/>
          </w:tcPr>
          <w:p>
            <w:pPr>
              <w:spacing w:after="0"/>
              <w:rPr>
                <w:sz w:val="15"/>
                <w:szCs w:val="15"/>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color w:val="auto"/>
              </w:rPr>
              <w:t>July 29, 2023</w:t>
            </w:r>
          </w:p>
        </w:tc>
        <w:tc>
          <w:tcPr>
            <w:tcW w:w="22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July 30, 2022</w:t>
            </w:r>
          </w:p>
        </w:tc>
      </w:tr>
      <w:tr>
        <w:trPr>
          <w:trHeight w:val="181"/>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ind w:left="120"/>
              <w:spacing w:after="0"/>
              <w:rPr>
                <w:sz w:val="20"/>
                <w:szCs w:val="20"/>
                <w:color w:val="auto"/>
              </w:rPr>
            </w:pPr>
            <w:r>
              <w:rPr>
                <w:rFonts w:ascii="Arial" w:cs="Arial" w:eastAsia="Arial" w:hAnsi="Arial"/>
                <w:sz w:val="14"/>
                <w:szCs w:val="14"/>
                <w:color w:val="auto"/>
              </w:rPr>
              <w:t>(Fiscal 2023)</w:t>
            </w:r>
          </w:p>
        </w:tc>
        <w:tc>
          <w:tcPr>
            <w:tcW w:w="18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2022)</w:t>
            </w:r>
          </w:p>
        </w:tc>
        <w:tc>
          <w:tcPr>
            <w:tcW w:w="180" w:type="dxa"/>
            <w:vAlign w:val="bottom"/>
          </w:tcPr>
          <w:p>
            <w:pPr>
              <w:spacing w:after="0"/>
              <w:rPr>
                <w:sz w:val="15"/>
                <w:szCs w:val="15"/>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color w:val="auto"/>
              </w:rPr>
              <w:t>(Fiscal 2023)</w:t>
            </w:r>
          </w:p>
        </w:tc>
        <w:tc>
          <w:tcPr>
            <w:tcW w:w="22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2022)</w:t>
            </w:r>
          </w:p>
        </w:tc>
      </w:tr>
      <w:tr>
        <w:trPr>
          <w:trHeight w:val="169"/>
        </w:trPr>
        <w:tc>
          <w:tcPr>
            <w:tcW w:w="49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140,043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144,634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265,485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272,289</w:t>
            </w:r>
          </w:p>
        </w:tc>
        <w:tc>
          <w:tcPr>
            <w:tcW w:w="100" w:type="dxa"/>
            <w:vAlign w:val="bottom"/>
            <w:shd w:val="clear" w:color="auto" w:fill="CFF0FC"/>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Cost of goods sold including occupancy costs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69,316</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134,190</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133,104</w:t>
            </w:r>
          </w:p>
        </w:tc>
        <w:tc>
          <w:tcPr>
            <w:tcW w:w="100" w:type="dxa"/>
            <w:vAlign w:val="bottom"/>
          </w:tcPr>
          <w:p>
            <w:pPr>
              <w:spacing w:after="0"/>
              <w:rPr>
                <w:sz w:val="21"/>
                <w:szCs w:val="21"/>
                <w:color w:val="auto"/>
              </w:rPr>
            </w:pPr>
          </w:p>
        </w:tc>
      </w:tr>
      <w:tr>
        <w:trPr>
          <w:trHeight w:val="23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75,318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131,295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139,185</w:t>
            </w:r>
          </w:p>
        </w:tc>
        <w:tc>
          <w:tcPr>
            <w:tcW w:w="100" w:type="dxa"/>
            <w:vAlign w:val="bottom"/>
            <w:shd w:val="clear" w:color="auto" w:fill="CFF0FC"/>
          </w:tcPr>
          <w:p>
            <w:pPr>
              <w:spacing w:after="0"/>
              <w:rPr>
                <w:sz w:val="20"/>
                <w:szCs w:val="20"/>
                <w:color w:val="auto"/>
              </w:rPr>
            </w:pPr>
          </w:p>
        </w:tc>
      </w:tr>
      <w:tr>
        <w:trPr>
          <w:trHeight w:val="243"/>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95,727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96,058</w:t>
            </w: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(gain) of assets</w:t>
            </w:r>
          </w:p>
        </w:tc>
        <w:tc>
          <w:tcPr>
            <w:tcW w:w="22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(47 )</w:t>
            </w:r>
          </w:p>
        </w:tc>
        <w:tc>
          <w:tcPr>
            <w:tcW w:w="18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(398 )</w:t>
            </w:r>
          </w:p>
        </w:tc>
      </w:tr>
      <w:tr>
        <w:trPr>
          <w:trHeight w:val="243"/>
        </w:trPr>
        <w:tc>
          <w:tcPr>
            <w:tcW w:w="49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21"/>
                <w:szCs w:val="21"/>
                <w:color w:val="auto"/>
              </w:rPr>
            </w:pPr>
          </w:p>
        </w:tc>
      </w:tr>
      <w:tr>
        <w:trPr>
          <w:trHeight w:val="237"/>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50,914</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53,406</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102,672</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35,546</w:t>
            </w:r>
          </w:p>
        </w:tc>
        <w:tc>
          <w:tcPr>
            <w:tcW w:w="100" w:type="dxa"/>
            <w:vAlign w:val="bottom"/>
            <w:shd w:val="clear" w:color="auto" w:fill="CFF0FC"/>
          </w:tcPr>
          <w:p>
            <w:pPr>
              <w:spacing w:after="0"/>
              <w:rPr>
                <w:sz w:val="21"/>
                <w:szCs w:val="21"/>
                <w:color w:val="auto"/>
              </w:rPr>
            </w:pPr>
          </w:p>
        </w:tc>
      </w:tr>
      <w:tr>
        <w:trPr>
          <w:trHeight w:val="243"/>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termination of pension plan</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(4,174 )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(4,174 )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(243 )</w:t>
            </w:r>
          </w:p>
        </w:tc>
      </w:tr>
      <w:tr>
        <w:trPr>
          <w:trHeight w:val="237"/>
        </w:trPr>
        <w:tc>
          <w:tcPr>
            <w:tcW w:w="49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Income before provision (benefit) for income taxes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35,303</w:t>
            </w: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(35,130 )</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(35,027 )</w:t>
            </w:r>
          </w:p>
        </w:tc>
      </w:tr>
      <w:tr>
        <w:trPr>
          <w:trHeight w:val="237"/>
        </w:trPr>
        <w:tc>
          <w:tcPr>
            <w:tcW w:w="49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56,942</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70,330</w:t>
            </w:r>
          </w:p>
        </w:tc>
        <w:tc>
          <w:tcPr>
            <w:tcW w:w="10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 - basic</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61,977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62,688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62,334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63,384</w:t>
            </w:r>
          </w:p>
        </w:tc>
        <w:tc>
          <w:tcPr>
            <w:tcW w:w="100" w:type="dxa"/>
            <w:vAlign w:val="bottom"/>
            <w:shd w:val="clear" w:color="auto" w:fill="CFF0FC"/>
          </w:tcPr>
          <w:p>
            <w:pPr>
              <w:spacing w:after="0"/>
              <w:rPr>
                <w:sz w:val="21"/>
                <w:szCs w:val="21"/>
                <w:color w:val="auto"/>
              </w:rPr>
            </w:pPr>
          </w:p>
        </w:tc>
      </w:tr>
      <w:tr>
        <w:trPr>
          <w:trHeight w:val="230"/>
        </w:trPr>
        <w:tc>
          <w:tcPr>
            <w:tcW w:w="49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66,670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67,519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-2974340</wp:posOffset>
            </wp:positionV>
            <wp:extent cx="7683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-2974340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-2974340</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-2974340</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-1722755</wp:posOffset>
            </wp:positionV>
            <wp:extent cx="7683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-1722755</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-1722755</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-1722755</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5"/>
          </w:tcPr>
          <w:p>
            <w:pPr>
              <w:jc w:val="right"/>
              <w:ind w:right="740"/>
              <w:spacing w:after="0"/>
              <w:rPr>
                <w:sz w:val="20"/>
                <w:szCs w:val="20"/>
                <w:color w:val="auto"/>
              </w:rPr>
            </w:pPr>
            <w:r>
              <w:rPr>
                <w:rFonts w:ascii="Arial" w:cs="Arial" w:eastAsia="Arial" w:hAnsi="Arial"/>
                <w:sz w:val="14"/>
                <w:szCs w:val="14"/>
                <w:color w:val="auto"/>
              </w:rPr>
              <w:t>For the Three Months Ended</w:t>
            </w:r>
          </w:p>
        </w:tc>
        <w:tc>
          <w:tcPr>
            <w:tcW w:w="180" w:type="dxa"/>
            <w:vAlign w:val="bottom"/>
          </w:tcPr>
          <w:p>
            <w:pPr>
              <w:spacing w:after="0"/>
              <w:rPr>
                <w:sz w:val="15"/>
                <w:szCs w:val="15"/>
                <w:color w:val="auto"/>
              </w:rPr>
            </w:pPr>
          </w:p>
        </w:tc>
        <w:tc>
          <w:tcPr>
            <w:tcW w:w="2800" w:type="dxa"/>
            <w:vAlign w:val="bottom"/>
            <w:gridSpan w:val="5"/>
          </w:tcPr>
          <w:p>
            <w:pPr>
              <w:jc w:val="right"/>
              <w:ind w:right="860"/>
              <w:spacing w:after="0"/>
              <w:rPr>
                <w:sz w:val="20"/>
                <w:szCs w:val="20"/>
                <w:color w:val="auto"/>
              </w:rPr>
            </w:pPr>
            <w:r>
              <w:rPr>
                <w:rFonts w:ascii="Arial" w:cs="Arial" w:eastAsia="Arial" w:hAnsi="Arial"/>
                <w:sz w:val="14"/>
                <w:szCs w:val="14"/>
                <w:color w:val="auto"/>
              </w:rPr>
              <w:t>For the Six Months Ended</w:t>
            </w:r>
          </w:p>
        </w:tc>
      </w:tr>
      <w:tr>
        <w:trPr>
          <w:trHeight w:val="182"/>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color w:val="auto"/>
              </w:rPr>
              <w:t>July 29, 2023</w:t>
            </w:r>
          </w:p>
        </w:tc>
        <w:tc>
          <w:tcPr>
            <w:tcW w:w="14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w w:val="93"/>
              </w:rPr>
              <w:t>July 30, 2022</w:t>
            </w:r>
          </w:p>
        </w:tc>
        <w:tc>
          <w:tcPr>
            <w:tcW w:w="180" w:type="dxa"/>
            <w:vAlign w:val="bottom"/>
          </w:tcPr>
          <w:p>
            <w:pPr>
              <w:spacing w:after="0"/>
              <w:rPr>
                <w:sz w:val="15"/>
                <w:szCs w:val="15"/>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w w:val="98"/>
              </w:rPr>
              <w:t>July 29, 2023</w:t>
            </w:r>
          </w:p>
        </w:tc>
        <w:tc>
          <w:tcPr>
            <w:tcW w:w="160" w:type="dxa"/>
            <w:vAlign w:val="bottom"/>
          </w:tcPr>
          <w:p>
            <w:pPr>
              <w:spacing w:after="0"/>
              <w:rPr>
                <w:sz w:val="15"/>
                <w:szCs w:val="15"/>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w w:val="98"/>
              </w:rPr>
              <w:t>July 30, 2022</w:t>
            </w:r>
          </w:p>
        </w:tc>
      </w:tr>
      <w:tr>
        <w:trPr>
          <w:trHeight w:val="181"/>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2023)</w:t>
            </w:r>
          </w:p>
        </w:tc>
        <w:tc>
          <w:tcPr>
            <w:tcW w:w="14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w w:val="96"/>
              </w:rPr>
              <w:t>(Fiscal 2022)</w:t>
            </w:r>
          </w:p>
        </w:tc>
        <w:tc>
          <w:tcPr>
            <w:tcW w:w="18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w w:val="98"/>
              </w:rPr>
              <w:t>(Fiscal 2023)</w:t>
            </w:r>
          </w:p>
        </w:tc>
        <w:tc>
          <w:tcPr>
            <w:tcW w:w="160" w:type="dxa"/>
            <w:vAlign w:val="bottom"/>
          </w:tcPr>
          <w:p>
            <w:pPr>
              <w:spacing w:after="0"/>
              <w:rPr>
                <w:sz w:val="15"/>
                <w:szCs w:val="15"/>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2022)</w:t>
            </w:r>
          </w:p>
        </w:tc>
      </w:tr>
      <w:tr>
        <w:trPr>
          <w:trHeight w:val="236"/>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11,633</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56,942</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18,600</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70,330</w:t>
            </w:r>
          </w:p>
        </w:tc>
        <w:tc>
          <w:tcPr>
            <w:tcW w:w="260" w:type="dxa"/>
            <w:vAlign w:val="bottom"/>
            <w:shd w:val="clear" w:color="auto" w:fill="CFF0FC"/>
          </w:tcPr>
          <w:p>
            <w:pPr>
              <w:spacing w:after="0"/>
              <w:rPr>
                <w:sz w:val="20"/>
                <w:szCs w:val="20"/>
                <w:color w:val="auto"/>
              </w:rPr>
            </w:pPr>
          </w:p>
        </w:tc>
      </w:tr>
      <w:tr>
        <w:trPr>
          <w:trHeight w:val="243"/>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before taxes: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(7 )</w:t>
            </w:r>
          </w:p>
        </w:tc>
      </w:tr>
      <w:tr>
        <w:trPr>
          <w:trHeight w:val="249"/>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Pension plans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FF0FC"/>
          </w:tcPr>
          <w:p>
            <w:pPr>
              <w:spacing w:after="0"/>
              <w:rPr>
                <w:sz w:val="21"/>
                <w:szCs w:val="21"/>
                <w:color w:val="auto"/>
              </w:rPr>
            </w:pP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Recognized loss on termination of pension plan</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comprehensive income before taxes</w:t>
            </w: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20"/>
                <w:szCs w:val="20"/>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Tax provision related to items of other comprehensive income</w:t>
            </w:r>
          </w:p>
        </w:tc>
        <w:tc>
          <w:tcPr>
            <w:tcW w:w="16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(1,111 )</w:t>
            </w: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(1,128 )</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14,761</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57,007</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21,777</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70,458</w:t>
            </w:r>
          </w:p>
        </w:tc>
        <w:tc>
          <w:tcPr>
            <w:tcW w:w="26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-187960</wp:posOffset>
            </wp:positionV>
            <wp:extent cx="7747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6858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-187960</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3"/>
                <w:szCs w:val="13"/>
                <w:color w:val="auto"/>
                <w:w w:val="87"/>
              </w:rPr>
              <w:t>Accumulated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w w:val="91"/>
              </w:rPr>
              <w:t>Additional</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85"/>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3"/>
                <w:szCs w:val="13"/>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Paid-in</w:t>
            </w:r>
          </w:p>
        </w:tc>
        <w:tc>
          <w:tcPr>
            <w:tcW w:w="1900" w:type="dxa"/>
            <w:vAlign w:val="bottom"/>
            <w:gridSpan w:val="5"/>
          </w:tcPr>
          <w:p>
            <w:pPr>
              <w:jc w:val="right"/>
              <w:ind w:right="660"/>
              <w:spacing w:after="0"/>
              <w:rPr>
                <w:sz w:val="20"/>
                <w:szCs w:val="20"/>
                <w:color w:val="auto"/>
              </w:rPr>
            </w:pPr>
            <w:r>
              <w:rPr>
                <w:rFonts w:ascii="Arial" w:cs="Arial" w:eastAsia="Arial" w:hAnsi="Arial"/>
                <w:sz w:val="13"/>
                <w:szCs w:val="13"/>
                <w:color w:val="auto"/>
              </w:rPr>
              <w:t>Treasury Stock</w:t>
            </w:r>
          </w:p>
        </w:tc>
        <w:tc>
          <w:tcPr>
            <w:tcW w:w="1000" w:type="dxa"/>
            <w:vAlign w:val="bottom"/>
            <w:gridSpan w:val="3"/>
          </w:tcPr>
          <w:p>
            <w:pPr>
              <w:jc w:val="right"/>
              <w:ind w:right="260"/>
              <w:spacing w:after="0"/>
              <w:rPr>
                <w:sz w:val="20"/>
                <w:szCs w:val="20"/>
                <w:color w:val="auto"/>
              </w:rPr>
            </w:pPr>
            <w:r>
              <w:rPr>
                <w:rFonts w:ascii="Arial" w:cs="Arial" w:eastAsia="Arial" w:hAnsi="Arial"/>
                <w:sz w:val="13"/>
                <w:szCs w:val="13"/>
                <w:color w:val="auto"/>
                <w:w w:val="95"/>
              </w:rPr>
              <w:t>Accumulated</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color w:val="auto"/>
                <w:w w:val="85"/>
              </w:rPr>
              <w:t>Comprehensive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348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color w:val="auto"/>
              </w:rPr>
              <w:t>Shares</w:t>
            </w:r>
          </w:p>
        </w:tc>
        <w:tc>
          <w:tcPr>
            <w:tcW w:w="240" w:type="dxa"/>
            <w:vAlign w:val="bottom"/>
            <w:gridSpan w:val="2"/>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Amounts</w:t>
            </w:r>
          </w:p>
        </w:tc>
        <w:tc>
          <w:tcPr>
            <w:tcW w:w="2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color w:val="auto"/>
              </w:rPr>
              <w:t>Capital</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color w:val="auto"/>
                <w:w w:val="93"/>
              </w:rPr>
              <w:t>Amounts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color w:val="auto"/>
              </w:rPr>
              <w:t>Deficit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color w:val="auto"/>
                <w:w w:val="87"/>
              </w:rPr>
              <w:t>Loss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4"/>
                <w:szCs w:val="14"/>
                <w:color w:val="auto"/>
              </w:rPr>
            </w:pPr>
          </w:p>
        </w:tc>
      </w:tr>
      <w:tr>
        <w:trPr>
          <w:trHeight w:val="224"/>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January 28, 2023</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321,516</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(15,625 )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8"/>
              </w:rPr>
              <w:t>(105,386 )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(74,756 )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(4,928 )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137,228</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compensation expense</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FF0FC"/>
          </w:tcPr>
          <w:p>
            <w:pPr>
              <w:spacing w:after="0"/>
              <w:rPr>
                <w:sz w:val="20"/>
                <w:szCs w:val="20"/>
                <w:color w:val="auto"/>
              </w:rPr>
            </w:pP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Restricted stock units (RSUs) granted for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6"/>
                <w:szCs w:val="16"/>
                <w:color w:val="auto"/>
              </w:rPr>
              <w:t>achievement of performance-based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compensation, reclassified from liability to equity</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1,146</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(3 )</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(445 )</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(446 )</w:t>
            </w: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Other comprehensive income, net of taxes</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r>
      <w:tr>
        <w:trPr>
          <w:trHeight w:val="236"/>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6,967</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Balance at April 29, 2023</w:t>
            </w:r>
          </w:p>
        </w:tc>
        <w:tc>
          <w:tcPr>
            <w:tcW w:w="680" w:type="dxa"/>
            <w:vAlign w:val="bottom"/>
          </w:tcPr>
          <w:p>
            <w:pPr>
              <w:jc w:val="right"/>
              <w:spacing w:after="0"/>
              <w:rPr>
                <w:sz w:val="20"/>
                <w:szCs w:val="20"/>
                <w:color w:val="auto"/>
              </w:rPr>
            </w:pPr>
            <w:r>
              <w:rPr>
                <w:rFonts w:ascii="Arial" w:cs="Arial" w:eastAsia="Arial" w:hAnsi="Arial"/>
                <w:sz w:val="16"/>
                <w:szCs w:val="16"/>
                <w:color w:val="auto"/>
              </w:rPr>
              <w:t>78,496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4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322,941</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(15,625 )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(105,386 )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(67,789 )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(4,879 )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145,672</w:t>
            </w:r>
          </w:p>
        </w:tc>
        <w:tc>
          <w:tcPr>
            <w:tcW w:w="100" w:type="dxa"/>
            <w:vAlign w:val="bottom"/>
          </w:tcPr>
          <w:p>
            <w:pPr>
              <w:spacing w:after="0"/>
              <w:rPr>
                <w:sz w:val="18"/>
                <w:szCs w:val="18"/>
                <w:color w:val="auto"/>
              </w:rPr>
            </w:pPr>
          </w:p>
        </w:tc>
      </w:tr>
      <w:tr>
        <w:trPr>
          <w:trHeight w:val="239"/>
        </w:trPr>
        <w:tc>
          <w:tcPr>
            <w:tcW w:w="34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compensation expense</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Repurchase of common stock, including excise tax</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(2,249 )</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(10,905 )</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(10,905 )</w:t>
            </w: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Other comprehensive income, net of taxes</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3,128</w:t>
            </w:r>
          </w:p>
        </w:tc>
        <w:tc>
          <w:tcPr>
            <w:tcW w:w="100" w:type="dxa"/>
            <w:vAlign w:val="bottom"/>
          </w:tcPr>
          <w:p>
            <w:pPr>
              <w:spacing w:after="0"/>
              <w:rPr>
                <w:sz w:val="19"/>
                <w:szCs w:val="19"/>
                <w:color w:val="auto"/>
              </w:rPr>
            </w:pPr>
          </w:p>
        </w:tc>
      </w:tr>
      <w:tr>
        <w:trPr>
          <w:trHeight w:val="236"/>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11,633</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Balance at July 29, 2023</w:t>
            </w:r>
          </w:p>
        </w:tc>
        <w:tc>
          <w:tcPr>
            <w:tcW w:w="680" w:type="dxa"/>
            <w:vAlign w:val="bottom"/>
          </w:tcPr>
          <w:p>
            <w:pPr>
              <w:jc w:val="right"/>
              <w:spacing w:after="0"/>
              <w:rPr>
                <w:sz w:val="20"/>
                <w:szCs w:val="20"/>
                <w:color w:val="auto"/>
              </w:rPr>
            </w:pPr>
            <w:r>
              <w:rPr>
                <w:rFonts w:ascii="Arial" w:cs="Arial" w:eastAsia="Arial" w:hAnsi="Arial"/>
                <w:sz w:val="16"/>
                <w:szCs w:val="16"/>
                <w:color w:val="auto"/>
              </w:rPr>
              <w:t>78,606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323,512</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(17,874 )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(116,291 )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(56,156 )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(1,751 )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150,100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-1315720</wp:posOffset>
            </wp:positionV>
            <wp:extent cx="7683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-1315720</wp:posOffset>
            </wp:positionV>
            <wp:extent cx="7747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-1315720</wp:posOffset>
            </wp:positionV>
            <wp:extent cx="7747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-1315720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-1315720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-1315720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-1315720</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-1315720</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-140970</wp:posOffset>
            </wp:positionV>
            <wp:extent cx="7683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-140970</wp:posOffset>
            </wp:positionV>
            <wp:extent cx="7747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-140970</wp:posOffset>
            </wp:positionV>
            <wp:extent cx="7747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-140970</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-140970</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-140970</wp:posOffset>
            </wp:positionV>
            <wp:extent cx="6858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-140970</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-140970</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3"/>
                <w:szCs w:val="13"/>
                <w:color w:val="auto"/>
                <w:w w:val="87"/>
              </w:rPr>
              <w:t>Accumulated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40"/>
              <w:spacing w:after="0"/>
              <w:rPr>
                <w:sz w:val="20"/>
                <w:szCs w:val="20"/>
                <w:color w:val="auto"/>
              </w:rPr>
            </w:pPr>
            <w:r>
              <w:rPr>
                <w:rFonts w:ascii="Arial" w:cs="Arial" w:eastAsia="Arial" w:hAnsi="Arial"/>
                <w:sz w:val="13"/>
                <w:szCs w:val="13"/>
                <w:color w:val="auto"/>
                <w:w w:val="94"/>
              </w:rPr>
              <w:t>Additional</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85"/>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40"/>
              <w:spacing w:after="0"/>
              <w:rPr>
                <w:sz w:val="20"/>
                <w:szCs w:val="20"/>
                <w:color w:val="auto"/>
              </w:rPr>
            </w:pPr>
            <w:r>
              <w:rPr>
                <w:rFonts w:ascii="Arial" w:cs="Arial" w:eastAsia="Arial" w:hAnsi="Arial"/>
                <w:sz w:val="13"/>
                <w:szCs w:val="13"/>
                <w:color w:val="auto"/>
                <w:w w:val="93"/>
              </w:rPr>
              <w:t>Paid-in</w:t>
            </w:r>
          </w:p>
        </w:tc>
        <w:tc>
          <w:tcPr>
            <w:tcW w:w="1900" w:type="dxa"/>
            <w:vAlign w:val="bottom"/>
            <w:gridSpan w:val="6"/>
          </w:tcPr>
          <w:p>
            <w:pPr>
              <w:jc w:val="right"/>
              <w:ind w:right="660"/>
              <w:spacing w:after="0"/>
              <w:rPr>
                <w:sz w:val="20"/>
                <w:szCs w:val="20"/>
                <w:color w:val="auto"/>
              </w:rPr>
            </w:pPr>
            <w:r>
              <w:rPr>
                <w:rFonts w:ascii="Arial" w:cs="Arial" w:eastAsia="Arial" w:hAnsi="Arial"/>
                <w:sz w:val="13"/>
                <w:szCs w:val="13"/>
                <w:color w:val="auto"/>
              </w:rPr>
              <w:t>Treasury Stock</w:t>
            </w:r>
          </w:p>
        </w:tc>
        <w:tc>
          <w:tcPr>
            <w:tcW w:w="1000" w:type="dxa"/>
            <w:vAlign w:val="bottom"/>
            <w:gridSpan w:val="3"/>
          </w:tcPr>
          <w:p>
            <w:pPr>
              <w:jc w:val="right"/>
              <w:ind w:right="260"/>
              <w:spacing w:after="0"/>
              <w:rPr>
                <w:sz w:val="20"/>
                <w:szCs w:val="20"/>
                <w:color w:val="auto"/>
              </w:rPr>
            </w:pPr>
            <w:r>
              <w:rPr>
                <w:rFonts w:ascii="Arial" w:cs="Arial" w:eastAsia="Arial" w:hAnsi="Arial"/>
                <w:sz w:val="13"/>
                <w:szCs w:val="13"/>
                <w:color w:val="auto"/>
                <w:w w:val="95"/>
              </w:rPr>
              <w:t>Accumulated</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color w:val="auto"/>
                <w:w w:val="85"/>
              </w:rPr>
              <w:t>Comprehensive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Amounts</w:t>
            </w:r>
          </w:p>
        </w:tc>
        <w:tc>
          <w:tcPr>
            <w:tcW w:w="2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color w:val="auto"/>
                <w:w w:val="93"/>
              </w:rPr>
              <w:t>Capital</w:t>
            </w:r>
          </w:p>
        </w:tc>
        <w:tc>
          <w:tcPr>
            <w:tcW w:w="22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rPr>
              <w:t>Shares</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color w:val="auto"/>
                <w:w w:val="93"/>
              </w:rPr>
              <w:t>Amounts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color w:val="auto"/>
              </w:rPr>
              <w:t>Deficit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color w:val="auto"/>
                <w:w w:val="87"/>
              </w:rPr>
              <w:t>Loss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4"/>
                <w:szCs w:val="14"/>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Balance at January 29, 2022</w:t>
            </w:r>
          </w:p>
        </w:tc>
        <w:tc>
          <w:tcPr>
            <w:tcW w:w="680" w:type="dxa"/>
            <w:vAlign w:val="bottom"/>
          </w:tcPr>
          <w:p>
            <w:pPr>
              <w:jc w:val="right"/>
              <w:spacing w:after="0"/>
              <w:rPr>
                <w:sz w:val="20"/>
                <w:szCs w:val="20"/>
                <w:color w:val="auto"/>
              </w:rPr>
            </w:pPr>
            <w:r>
              <w:rPr>
                <w:rFonts w:ascii="Arial" w:cs="Arial" w:eastAsia="Arial" w:hAnsi="Arial"/>
                <w:sz w:val="16"/>
                <w:szCs w:val="16"/>
                <w:color w:val="auto"/>
              </w:rPr>
              <w:t>77,025</w:t>
            </w:r>
          </w:p>
        </w:tc>
        <w:tc>
          <w:tcPr>
            <w:tcW w:w="240" w:type="dxa"/>
            <w:vAlign w:val="bottom"/>
          </w:tcPr>
          <w:p>
            <w:pPr>
              <w:spacing w:after="0"/>
              <w:rPr>
                <w:sz w:val="18"/>
                <w:szCs w:val="18"/>
                <w:color w:val="auto"/>
              </w:rPr>
            </w:pPr>
          </w:p>
        </w:tc>
        <w:tc>
          <w:tcPr>
            <w:tcW w:w="320" w:type="dxa"/>
            <w:vAlign w:val="bottom"/>
          </w:tcPr>
          <w:p>
            <w:pPr>
              <w:jc w:val="right"/>
              <w:ind w:right="14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319,511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(12,755 )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(92,658 )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(163,879 )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(5,525 )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58,219</w:t>
            </w:r>
          </w:p>
        </w:tc>
        <w:tc>
          <w:tcPr>
            <w:tcW w:w="100" w:type="dxa"/>
            <w:vAlign w:val="bottom"/>
          </w:tcPr>
          <w:p>
            <w:pPr>
              <w:spacing w:after="0"/>
              <w:rPr>
                <w:sz w:val="18"/>
                <w:szCs w:val="18"/>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9"/>
                <w:szCs w:val="19"/>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RSUs granted for achievement of performance-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based</w:t>
            </w: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reclassified from liability to equity</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Issuance of common stock, upon RSUs release</w:t>
            </w:r>
          </w:p>
        </w:tc>
        <w:tc>
          <w:tcPr>
            <w:tcW w:w="680" w:type="dxa"/>
            <w:vAlign w:val="bottom"/>
          </w:tcPr>
          <w:p>
            <w:pPr>
              <w:jc w:val="right"/>
              <w:spacing w:after="0"/>
              <w:rPr>
                <w:sz w:val="20"/>
                <w:szCs w:val="20"/>
                <w:color w:val="auto"/>
              </w:rPr>
            </w:pPr>
            <w:r>
              <w:rPr>
                <w:rFonts w:ascii="Arial" w:cs="Arial" w:eastAsia="Arial" w:hAnsi="Arial"/>
                <w:sz w:val="16"/>
                <w:szCs w:val="16"/>
                <w:color w:val="auto"/>
              </w:rPr>
              <w:t>313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(85 )</w:t>
            </w:r>
          </w:p>
        </w:tc>
        <w:tc>
          <w:tcPr>
            <w:tcW w:w="3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(414 )</w:t>
            </w: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(415 )</w:t>
            </w: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Repurchase of common stock</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(946 )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(4,847 )</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(4,847 )</w:t>
            </w: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9"/>
                <w:szCs w:val="19"/>
                <w:color w:val="auto"/>
              </w:rPr>
            </w:pPr>
          </w:p>
        </w:tc>
      </w:tr>
      <w:tr>
        <w:trPr>
          <w:trHeight w:val="236"/>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13,388</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Balance at April 30, 2022</w:t>
            </w:r>
          </w:p>
        </w:tc>
        <w:tc>
          <w:tcPr>
            <w:tcW w:w="680" w:type="dxa"/>
            <w:vAlign w:val="bottom"/>
          </w:tcPr>
          <w:p>
            <w:pPr>
              <w:jc w:val="right"/>
              <w:spacing w:after="0"/>
              <w:rPr>
                <w:sz w:val="20"/>
                <w:szCs w:val="20"/>
                <w:color w:val="auto"/>
              </w:rPr>
            </w:pPr>
            <w:r>
              <w:rPr>
                <w:rFonts w:ascii="Arial" w:cs="Arial" w:eastAsia="Arial" w:hAnsi="Arial"/>
                <w:sz w:val="16"/>
                <w:szCs w:val="16"/>
                <w:color w:val="auto"/>
              </w:rPr>
              <w:t>77,323</w:t>
            </w:r>
          </w:p>
        </w:tc>
        <w:tc>
          <w:tcPr>
            <w:tcW w:w="240" w:type="dxa"/>
            <w:vAlign w:val="bottom"/>
          </w:tcPr>
          <w:p>
            <w:pPr>
              <w:spacing w:after="0"/>
              <w:rPr>
                <w:sz w:val="18"/>
                <w:szCs w:val="18"/>
                <w:color w:val="auto"/>
              </w:rPr>
            </w:pPr>
          </w:p>
        </w:tc>
        <w:tc>
          <w:tcPr>
            <w:tcW w:w="320" w:type="dxa"/>
            <w:vAlign w:val="bottom"/>
          </w:tcPr>
          <w:p>
            <w:pPr>
              <w:jc w:val="right"/>
              <w:ind w:right="14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320,745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(13,702 )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(97,505 )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(150,491 )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(5,462 )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68,060</w:t>
            </w:r>
          </w:p>
        </w:tc>
        <w:tc>
          <w:tcPr>
            <w:tcW w:w="100" w:type="dxa"/>
            <w:vAlign w:val="bottom"/>
          </w:tcPr>
          <w:p>
            <w:pPr>
              <w:spacing w:after="0"/>
              <w:rPr>
                <w:sz w:val="18"/>
                <w:szCs w:val="18"/>
                <w:color w:val="auto"/>
              </w:rPr>
            </w:pPr>
          </w:p>
        </w:tc>
      </w:tr>
      <w:tr>
        <w:trPr>
          <w:trHeight w:val="239"/>
        </w:trPr>
        <w:tc>
          <w:tcPr>
            <w:tcW w:w="34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compensation expense</w:t>
            </w: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Issuance of common stock, upon RSUs release</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(6 )</w:t>
            </w: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Repurchase of common stock</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(2,249 )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(10,813 )</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(10,813 )</w:t>
            </w: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r>
      <w:tr>
        <w:trPr>
          <w:trHeight w:val="236"/>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56,942</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Balance at July 30, 2022</w:t>
            </w:r>
          </w:p>
        </w:tc>
        <w:tc>
          <w:tcPr>
            <w:tcW w:w="680" w:type="dxa"/>
            <w:vAlign w:val="bottom"/>
          </w:tcPr>
          <w:p>
            <w:pPr>
              <w:jc w:val="right"/>
              <w:spacing w:after="0"/>
              <w:rPr>
                <w:sz w:val="20"/>
                <w:szCs w:val="20"/>
                <w:color w:val="auto"/>
              </w:rPr>
            </w:pPr>
            <w:r>
              <w:rPr>
                <w:rFonts w:ascii="Arial" w:cs="Arial" w:eastAsia="Arial" w:hAnsi="Arial"/>
                <w:sz w:val="16"/>
                <w:szCs w:val="16"/>
                <w:color w:val="auto"/>
              </w:rPr>
              <w:t>77,360</w:t>
            </w:r>
          </w:p>
        </w:tc>
        <w:tc>
          <w:tcPr>
            <w:tcW w:w="24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321,253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(15,951 )</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(108,318 )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(93,549 )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(5,397 )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114,763</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-1735455</wp:posOffset>
            </wp:positionV>
            <wp:extent cx="7683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-1735455</wp:posOffset>
            </wp:positionV>
            <wp:extent cx="7747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-1735455</wp:posOffset>
            </wp:positionV>
            <wp:extent cx="7747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-1735455</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-1735455</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-1735455</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-1735455</wp:posOffset>
            </wp:positionV>
            <wp:extent cx="685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-1735455</wp:posOffset>
            </wp:positionV>
            <wp:extent cx="6858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-140970</wp:posOffset>
            </wp:positionV>
            <wp:extent cx="7683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-140970</wp:posOffset>
            </wp:positionV>
            <wp:extent cx="7747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-140970</wp:posOffset>
            </wp:positionV>
            <wp:extent cx="7747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-140970</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-140970</wp:posOffset>
            </wp:positionV>
            <wp:extent cx="6858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-140970</wp:posOffset>
            </wp:positionV>
            <wp:extent cx="685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-140970</wp:posOffset>
            </wp:positionV>
            <wp:extent cx="685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-140970</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gridSpan w:val="5"/>
          </w:tcPr>
          <w:p>
            <w:pPr>
              <w:jc w:val="right"/>
              <w:ind w:right="900"/>
              <w:spacing w:after="0"/>
              <w:rPr>
                <w:sz w:val="20"/>
                <w:szCs w:val="20"/>
                <w:color w:val="auto"/>
              </w:rPr>
            </w:pPr>
            <w:r>
              <w:rPr>
                <w:rFonts w:ascii="Arial" w:cs="Arial" w:eastAsia="Arial" w:hAnsi="Arial"/>
                <w:sz w:val="14"/>
                <w:szCs w:val="14"/>
                <w:color w:val="auto"/>
              </w:rPr>
              <w:t>For the Six Months Ended</w:t>
            </w:r>
          </w:p>
        </w:tc>
      </w:tr>
      <w:tr>
        <w:trPr>
          <w:trHeight w:val="175"/>
        </w:trPr>
        <w:tc>
          <w:tcPr>
            <w:tcW w:w="8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color w:val="auto"/>
              </w:rPr>
              <w:t>July 29, 2023</w:t>
            </w:r>
          </w:p>
        </w:tc>
        <w:tc>
          <w:tcPr>
            <w:tcW w:w="22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July 30, 2022</w:t>
            </w:r>
          </w:p>
        </w:tc>
      </w:tr>
      <w:tr>
        <w:trPr>
          <w:trHeight w:val="181"/>
        </w:trPr>
        <w:tc>
          <w:tcPr>
            <w:tcW w:w="8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2023)</w:t>
            </w:r>
          </w:p>
        </w:tc>
        <w:tc>
          <w:tcPr>
            <w:tcW w:w="22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2022)</w:t>
            </w:r>
          </w:p>
        </w:tc>
      </w:tr>
      <w:tr>
        <w:trPr>
          <w:trHeight w:val="236"/>
        </w:trPr>
        <w:tc>
          <w:tcPr>
            <w:tcW w:w="8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18,600</w:t>
            </w:r>
          </w:p>
        </w:tc>
        <w:tc>
          <w:tcPr>
            <w:tcW w:w="2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70,330</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Amortization of deferred debt issuance costs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Impairment (gain) of assets</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(398 )</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Loss on pension plan termination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4,174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Gain from the sale of equipment</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(129 )</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7,979</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taxes, net of valuation allowance</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(35,538 )</w:t>
            </w:r>
          </w:p>
        </w:tc>
      </w:tr>
      <w:tr>
        <w:trPr>
          <w:trHeight w:val="233"/>
        </w:trPr>
        <w:tc>
          <w:tcPr>
            <w:tcW w:w="8020" w:type="dxa"/>
            <w:vAlign w:val="bottom"/>
          </w:tcPr>
          <w:p>
            <w:pPr>
              <w:ind w:left="380"/>
              <w:spacing w:after="0"/>
              <w:rPr>
                <w:sz w:val="20"/>
                <w:szCs w:val="20"/>
                <w:color w:val="auto"/>
              </w:rPr>
            </w:pPr>
            <w:r>
              <w:rPr>
                <w:rFonts w:ascii="Arial" w:cs="Arial" w:eastAsia="Arial" w:hAnsi="Arial"/>
                <w:sz w:val="16"/>
                <w:szCs w:val="16"/>
                <w:color w:val="auto"/>
              </w:rPr>
              <w:t>Stock compensation expense</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Board of directors' stock compensation</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FF0FC"/>
          </w:tcPr>
          <w:p>
            <w:pPr>
              <w:spacing w:after="0"/>
              <w:rPr>
                <w:sz w:val="20"/>
                <w:szCs w:val="20"/>
                <w:color w:val="auto"/>
              </w:rPr>
            </w:pPr>
          </w:p>
        </w:tc>
      </w:tr>
      <w:tr>
        <w:trPr>
          <w:trHeight w:val="230"/>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(14,964 )</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(1,889 )</w:t>
            </w: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(40 )</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(46 )</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(6,649 )</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2,797</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leases, net</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(3,181 )</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(3,268 )</w:t>
            </w:r>
          </w:p>
        </w:tc>
      </w:tr>
      <w:tr>
        <w:trPr>
          <w:trHeight w:val="226"/>
        </w:trPr>
        <w:tc>
          <w:tcPr>
            <w:tcW w:w="8020" w:type="dxa"/>
            <w:vAlign w:val="bottom"/>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(8,811 )</w:t>
            </w: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(2,855 )</w:t>
            </w:r>
          </w:p>
        </w:tc>
      </w:tr>
      <w:tr>
        <w:trPr>
          <w:trHeight w:val="223"/>
        </w:trPr>
        <w:tc>
          <w:tcPr>
            <w:tcW w:w="8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26,239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Additions to property and equipment, net</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(4,665 )</w:t>
            </w: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(4,056 )</w:t>
            </w: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 of equipment</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7"/>
        </w:trPr>
        <w:tc>
          <w:tcPr>
            <w:tcW w:w="8020" w:type="dxa"/>
            <w:vAlign w:val="bottom"/>
          </w:tcPr>
          <w:p>
            <w:pPr>
              <w:ind w:left="380"/>
              <w:spacing w:after="0"/>
              <w:rPr>
                <w:sz w:val="20"/>
                <w:szCs w:val="20"/>
                <w:color w:val="auto"/>
              </w:rPr>
            </w:pPr>
            <w:r>
              <w:rPr>
                <w:rFonts w:ascii="Arial" w:cs="Arial" w:eastAsia="Arial" w:hAnsi="Arial"/>
                <w:sz w:val="16"/>
                <w:szCs w:val="16"/>
                <w:color w:val="auto"/>
              </w:rPr>
              <w:t>Purchase of short-term investments</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(43,536 )</w:t>
            </w: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8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cash used for investing activities</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(48,072 )</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(4,056 )</w:t>
            </w:r>
          </w:p>
        </w:tc>
      </w:tr>
      <w:tr>
        <w:trPr>
          <w:trHeight w:val="226"/>
        </w:trPr>
        <w:tc>
          <w:tcPr>
            <w:tcW w:w="80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(10,814 )</w:t>
            </w: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(12,728 )</w:t>
            </w: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 withholdings paid related to net share settlements</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(446 )</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(421 )</w:t>
            </w:r>
          </w:p>
        </w:tc>
      </w:tr>
      <w:tr>
        <w:trPr>
          <w:trHeight w:val="226"/>
        </w:trPr>
        <w:tc>
          <w:tcPr>
            <w:tcW w:w="8020" w:type="dxa"/>
            <w:vAlign w:val="bottom"/>
          </w:tcPr>
          <w:p>
            <w:pPr>
              <w:ind w:left="380"/>
              <w:spacing w:after="0"/>
              <w:rPr>
                <w:sz w:val="20"/>
                <w:szCs w:val="20"/>
                <w:color w:val="auto"/>
              </w:rPr>
            </w:pPr>
            <w:r>
              <w:rPr>
                <w:rFonts w:ascii="Arial" w:cs="Arial" w:eastAsia="Arial" w:hAnsi="Arial"/>
                <w:sz w:val="16"/>
                <w:szCs w:val="16"/>
                <w:color w:val="auto"/>
              </w:rPr>
              <w:t>Proceeds from the exercise of stock options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r>
      <w:tr>
        <w:trPr>
          <w:trHeight w:val="223"/>
        </w:trPr>
        <w:tc>
          <w:tcPr>
            <w:tcW w:w="8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cash used for financing activities</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(10,995 )</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(13,123 )</w:t>
            </w:r>
          </w:p>
        </w:tc>
      </w:tr>
      <w:tr>
        <w:trPr>
          <w:trHeight w:val="20"/>
        </w:trPr>
        <w:tc>
          <w:tcPr>
            <w:tcW w:w="8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(32,828 )</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6,670</w:t>
            </w:r>
          </w:p>
        </w:tc>
        <w:tc>
          <w:tcPr>
            <w:tcW w:w="100" w:type="dxa"/>
            <w:vAlign w:val="bottom"/>
          </w:tcPr>
          <w:p>
            <w:pPr>
              <w:spacing w:after="0"/>
              <w:rPr>
                <w:sz w:val="18"/>
                <w:szCs w:val="18"/>
                <w:color w:val="auto"/>
              </w:rPr>
            </w:pPr>
          </w:p>
        </w:tc>
      </w:tr>
      <w:tr>
        <w:trPr>
          <w:trHeight w:val="239"/>
        </w:trPr>
        <w:tc>
          <w:tcPr>
            <w:tcW w:w="8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8020" w:type="dxa"/>
            <w:vAlign w:val="bottom"/>
          </w:tcPr>
          <w:p>
            <w:pPr>
              <w:ind w:left="200"/>
              <w:spacing w:after="0"/>
              <w:rPr>
                <w:sz w:val="20"/>
                <w:szCs w:val="20"/>
                <w:color w:val="auto"/>
              </w:rPr>
            </w:pPr>
            <w:r>
              <w:rPr>
                <w:rFonts w:ascii="Arial" w:cs="Arial" w:eastAsia="Arial" w:hAnsi="Arial"/>
                <w:sz w:val="16"/>
                <w:szCs w:val="16"/>
                <w:color w:val="auto"/>
              </w:rPr>
              <w:t>Beginning of period</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15,506</w:t>
            </w:r>
          </w:p>
        </w:tc>
        <w:tc>
          <w:tcPr>
            <w:tcW w:w="100" w:type="dxa"/>
            <w:vAlign w:val="bottom"/>
          </w:tcPr>
          <w:p>
            <w:pPr>
              <w:spacing w:after="0"/>
              <w:rPr>
                <w:sz w:val="19"/>
                <w:szCs w:val="19"/>
                <w:color w:val="auto"/>
              </w:rPr>
            </w:pPr>
          </w:p>
        </w:tc>
      </w:tr>
      <w:tr>
        <w:trPr>
          <w:trHeight w:val="266"/>
        </w:trPr>
        <w:tc>
          <w:tcPr>
            <w:tcW w:w="8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End of period</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19,246</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22,176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-2407920</wp:posOffset>
            </wp:positionV>
            <wp:extent cx="7747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-1517015</wp:posOffset>
            </wp:positionV>
            <wp:extent cx="7747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-624840</wp:posOffset>
            </wp:positionV>
            <wp:extent cx="7747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left="4280"/>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2023 included in the Company’s Annual Report on Form 10-K, which was filed with the Securities and Exchange Commission on March 16, 2023.</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2023 is a 53-week period ending on February 3, 2024, and fiscal 2022 was a 52-week period which ended on January 28,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omni-channel business approach.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Short-term investments consist of those investments that have a maturity date, when acquired, that is greater than three months and twelve months or less. </w:t>
      </w:r>
      <w:r>
        <w:rPr>
          <w:rFonts w:ascii="Arial" w:cs="Arial" w:eastAsia="Arial" w:hAnsi="Arial"/>
          <w:sz w:val="18"/>
          <w:szCs w:val="18"/>
          <w:color w:val="212121"/>
        </w:rPr>
        <w:t>These investments are classified as held-to-maturity and are carried at amortized cost, which approximates fair value due to the short period between purchase and maturity.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requires disclosure of the fair value of certain financial instruments. ASC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Disclosures</w:t>
      </w:r>
      <w:r>
        <w:rPr>
          <w:rFonts w:ascii="Arial" w:cs="Arial" w:eastAsia="Arial" w:hAnsi="Arial"/>
          <w:sz w:val="16"/>
          <w:szCs w:val="16"/>
          <w:color w:val="auto"/>
        </w:rPr>
        <w:t>,” defines fair value, establishes a framework for measuring fair value and enhances disclosures about fair value measurements.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carrying amounts of cash and cash equivalents, accounts receivable, accounts payable and accrued expenses approximate fair value because of the short maturity of these instruments. See Note 11 -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for information regarding the fair value of certain financial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the three and six months ended July 29, 2023 and July 30, 2022 were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w w:val="96"/>
              </w:rPr>
              <w:t>July 29, 2023</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July 30, 2022</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4"/>
        </w:trPr>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For the three months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i w:val="1"/>
                <w:iCs w:val="1"/>
                <w:color w:val="auto"/>
              </w:rPr>
              <w:t>(in</w:t>
            </w:r>
          </w:p>
        </w:tc>
        <w:tc>
          <w:tcPr>
            <w:tcW w:w="1240" w:type="dxa"/>
            <w:vAlign w:val="bottom"/>
            <w:gridSpan w:val="4"/>
          </w:tcPr>
          <w:p>
            <w:pPr>
              <w:spacing w:after="0"/>
              <w:rPr>
                <w:sz w:val="20"/>
                <w:szCs w:val="20"/>
                <w:color w:val="auto"/>
              </w:rPr>
            </w:pPr>
            <w:r>
              <w:rPr>
                <w:rFonts w:ascii="Arial" w:cs="Arial" w:eastAsia="Arial" w:hAnsi="Arial"/>
                <w:sz w:val="14"/>
                <w:szCs w:val="14"/>
                <w:i w:val="1"/>
                <w:iCs w:val="1"/>
                <w:color w:val="auto"/>
              </w:rPr>
              <w:t>thousands)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9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auto"/>
              </w:rPr>
              <w:t>Foreign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90"/>
              <w:spacing w:after="0" w:line="149" w:lineRule="exact"/>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2"/>
                <w:szCs w:val="12"/>
                <w:color w:val="auto"/>
              </w:rPr>
            </w:pPr>
          </w:p>
        </w:tc>
        <w:tc>
          <w:tcPr>
            <w:tcW w:w="880" w:type="dxa"/>
            <w:vAlign w:val="bottom"/>
            <w:gridSpan w:val="2"/>
          </w:tcPr>
          <w:p>
            <w:pPr>
              <w:jc w:val="center"/>
              <w:ind w:right="29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10"/>
              <w:spacing w:after="0"/>
              <w:rPr>
                <w:sz w:val="20"/>
                <w:szCs w:val="20"/>
                <w:color w:val="auto"/>
              </w:rPr>
            </w:pPr>
            <w:r>
              <w:rPr>
                <w:rFonts w:ascii="Arial" w:cs="Arial" w:eastAsia="Arial" w:hAnsi="Arial"/>
                <w:sz w:val="14"/>
                <w:szCs w:val="14"/>
                <w:color w:val="auto"/>
                <w:w w:val="91"/>
              </w:rPr>
              <w:t>Plans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Currency</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99"/>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880" w:type="dxa"/>
            <w:vAlign w:val="bottom"/>
            <w:gridSpan w:val="2"/>
          </w:tcPr>
          <w:p>
            <w:pPr>
              <w:jc w:val="center"/>
              <w:ind w:right="270"/>
              <w:spacing w:after="0"/>
              <w:rPr>
                <w:sz w:val="20"/>
                <w:szCs w:val="20"/>
                <w:color w:val="auto"/>
              </w:rPr>
            </w:pPr>
            <w:r>
              <w:rPr>
                <w:rFonts w:ascii="Arial" w:cs="Arial" w:eastAsia="Arial" w:hAnsi="Arial"/>
                <w:sz w:val="14"/>
                <w:szCs w:val="14"/>
                <w:color w:val="auto"/>
                <w:w w:val="91"/>
              </w:rPr>
              <w:t>Plans</w:t>
            </w:r>
          </w:p>
        </w:tc>
        <w:tc>
          <w:tcPr>
            <w:tcW w:w="120" w:type="dxa"/>
            <w:vAlign w:val="bottom"/>
          </w:tcPr>
          <w:p>
            <w:pPr>
              <w:spacing w:after="0"/>
              <w:rPr>
                <w:sz w:val="15"/>
                <w:szCs w:val="15"/>
                <w:color w:val="auto"/>
              </w:rPr>
            </w:pPr>
          </w:p>
        </w:tc>
        <w:tc>
          <w:tcPr>
            <w:tcW w:w="880" w:type="dxa"/>
            <w:vAlign w:val="bottom"/>
            <w:gridSpan w:val="2"/>
          </w:tcPr>
          <w:p>
            <w:pPr>
              <w:jc w:val="center"/>
              <w:ind w:right="25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5"/>
                <w:szCs w:val="15"/>
                <w:color w:val="auto"/>
              </w:rPr>
            </w:pPr>
          </w:p>
        </w:tc>
        <w:tc>
          <w:tcPr>
            <w:tcW w:w="720" w:type="dxa"/>
            <w:vAlign w:val="bottom"/>
            <w:gridSpan w:val="2"/>
          </w:tcPr>
          <w:p>
            <w:pPr>
              <w:jc w:val="right"/>
              <w:ind w:right="281"/>
              <w:spacing w:after="0"/>
              <w:rPr>
                <w:sz w:val="20"/>
                <w:szCs w:val="20"/>
                <w:color w:val="auto"/>
              </w:rPr>
            </w:pPr>
            <w:r>
              <w:rPr>
                <w:rFonts w:ascii="Arial" w:cs="Arial" w:eastAsia="Arial" w:hAnsi="Arial"/>
                <w:sz w:val="14"/>
                <w:szCs w:val="14"/>
                <w:color w:val="auto"/>
              </w:rPr>
              <w:t>Total</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Balance at beginning of the quarter</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9"/>
        </w:trPr>
        <w:tc>
          <w:tcPr>
            <w:tcW w:w="5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20" w:type="dxa"/>
            <w:vAlign w:val="bottom"/>
          </w:tcPr>
          <w:p>
            <w:pPr>
              <w:ind w:left="160"/>
              <w:spacing w:after="0"/>
              <w:rPr>
                <w:sz w:val="20"/>
                <w:szCs w:val="20"/>
                <w:color w:val="auto"/>
              </w:rPr>
            </w:pPr>
            <w:r>
              <w:rPr>
                <w:rFonts w:ascii="Arial" w:cs="Arial" w:eastAsia="Arial" w:hAnsi="Arial"/>
                <w:sz w:val="18"/>
                <w:szCs w:val="18"/>
                <w:color w:val="auto"/>
              </w:rPr>
              <w:t>reclassifications, net of taxes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r>
      <w:tr>
        <w:trPr>
          <w:trHeight w:val="250"/>
        </w:trPr>
        <w:tc>
          <w:tcPr>
            <w:tcW w:w="5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spacing w:after="0"/>
              <w:rPr>
                <w:sz w:val="21"/>
                <w:szCs w:val="21"/>
                <w:color w:val="auto"/>
              </w:rPr>
            </w:pPr>
          </w:p>
        </w:tc>
      </w:tr>
      <w:tr>
        <w:trPr>
          <w:trHeight w:val="243"/>
        </w:trPr>
        <w:tc>
          <w:tcPr>
            <w:tcW w:w="52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Recognition of loss on pension termination, net of taxes </w:t>
            </w:r>
            <w:r>
              <w:rPr>
                <w:rFonts w:ascii="Arial" w:cs="Arial" w:eastAsia="Arial" w:hAnsi="Arial"/>
                <w:sz w:val="24"/>
                <w:szCs w:val="24"/>
                <w:color w:val="auto"/>
                <w:vertAlign w:val="superscript"/>
              </w:rPr>
              <w:t>(1)</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180"/>
        </w:trPr>
        <w:tc>
          <w:tcPr>
            <w:tcW w:w="5220" w:type="dxa"/>
            <w:vAlign w:val="bottom"/>
          </w:tcPr>
          <w:p>
            <w:pPr>
              <w:ind w:left="20"/>
              <w:spacing w:after="0" w:line="180"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6"/>
        </w:trPr>
        <w:tc>
          <w:tcPr>
            <w:tcW w:w="522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24"/>
                <w:szCs w:val="24"/>
                <w:color w:val="auto"/>
                <w:vertAlign w:val="superscript"/>
              </w:rPr>
              <w:t>(2)</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3"/>
                <w:szCs w:val="23"/>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36"/>
        </w:trPr>
        <w:tc>
          <w:tcPr>
            <w:tcW w:w="5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 for the period</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r>
      <w:tr>
        <w:trPr>
          <w:trHeight w:val="249"/>
        </w:trPr>
        <w:tc>
          <w:tcPr>
            <w:tcW w:w="5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Balance at end of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(1,751 )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9"/>
              <w:spacing w:after="0"/>
              <w:rPr>
                <w:sz w:val="20"/>
                <w:szCs w:val="20"/>
                <w:color w:val="auto"/>
              </w:rPr>
            </w:pPr>
            <w:r>
              <w:rPr>
                <w:rFonts w:ascii="Arial" w:cs="Arial" w:eastAsia="Arial" w:hAnsi="Arial"/>
                <w:sz w:val="18"/>
                <w:szCs w:val="18"/>
                <w:color w:val="auto"/>
              </w:rPr>
              <w:t>(1,751 )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(5,331 )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(66 )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(5,397 )</w:t>
            </w: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w w:val="96"/>
              </w:rPr>
              <w:t>July 29, 2023</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July 30, 2022</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4"/>
        </w:trPr>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For the six months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i w:val="1"/>
                <w:iCs w:val="1"/>
                <w:color w:val="auto"/>
              </w:rPr>
              <w:t>(in</w:t>
            </w:r>
          </w:p>
        </w:tc>
        <w:tc>
          <w:tcPr>
            <w:tcW w:w="1240" w:type="dxa"/>
            <w:vAlign w:val="bottom"/>
            <w:gridSpan w:val="4"/>
          </w:tcPr>
          <w:p>
            <w:pPr>
              <w:spacing w:after="0"/>
              <w:rPr>
                <w:sz w:val="20"/>
                <w:szCs w:val="20"/>
                <w:color w:val="auto"/>
              </w:rPr>
            </w:pPr>
            <w:r>
              <w:rPr>
                <w:rFonts w:ascii="Arial" w:cs="Arial" w:eastAsia="Arial" w:hAnsi="Arial"/>
                <w:sz w:val="14"/>
                <w:szCs w:val="14"/>
                <w:i w:val="1"/>
                <w:iCs w:val="1"/>
                <w:color w:val="auto"/>
              </w:rPr>
              <w:t>thousands)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9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auto"/>
              </w:rPr>
              <w:t>Foreign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90"/>
              <w:spacing w:after="0" w:line="149" w:lineRule="exact"/>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2"/>
                <w:szCs w:val="12"/>
                <w:color w:val="auto"/>
              </w:rPr>
            </w:pPr>
          </w:p>
        </w:tc>
        <w:tc>
          <w:tcPr>
            <w:tcW w:w="880" w:type="dxa"/>
            <w:vAlign w:val="bottom"/>
            <w:gridSpan w:val="2"/>
          </w:tcPr>
          <w:p>
            <w:pPr>
              <w:jc w:val="center"/>
              <w:ind w:right="29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10"/>
              <w:spacing w:after="0"/>
              <w:rPr>
                <w:sz w:val="20"/>
                <w:szCs w:val="20"/>
                <w:color w:val="auto"/>
              </w:rPr>
            </w:pPr>
            <w:r>
              <w:rPr>
                <w:rFonts w:ascii="Arial" w:cs="Arial" w:eastAsia="Arial" w:hAnsi="Arial"/>
                <w:sz w:val="14"/>
                <w:szCs w:val="14"/>
                <w:color w:val="auto"/>
                <w:w w:val="91"/>
              </w:rPr>
              <w:t>Plans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auto"/>
              </w:rPr>
              <w:t>Currency</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99"/>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880" w:type="dxa"/>
            <w:vAlign w:val="bottom"/>
            <w:gridSpan w:val="2"/>
          </w:tcPr>
          <w:p>
            <w:pPr>
              <w:jc w:val="center"/>
              <w:ind w:right="270"/>
              <w:spacing w:after="0"/>
              <w:rPr>
                <w:sz w:val="20"/>
                <w:szCs w:val="20"/>
                <w:color w:val="auto"/>
              </w:rPr>
            </w:pPr>
            <w:r>
              <w:rPr>
                <w:rFonts w:ascii="Arial" w:cs="Arial" w:eastAsia="Arial" w:hAnsi="Arial"/>
                <w:sz w:val="14"/>
                <w:szCs w:val="14"/>
                <w:color w:val="auto"/>
                <w:w w:val="91"/>
              </w:rPr>
              <w:t>Plans</w:t>
            </w:r>
          </w:p>
        </w:tc>
        <w:tc>
          <w:tcPr>
            <w:tcW w:w="120" w:type="dxa"/>
            <w:vAlign w:val="bottom"/>
          </w:tcPr>
          <w:p>
            <w:pPr>
              <w:spacing w:after="0"/>
              <w:rPr>
                <w:sz w:val="15"/>
                <w:szCs w:val="15"/>
                <w:color w:val="auto"/>
              </w:rPr>
            </w:pPr>
          </w:p>
        </w:tc>
        <w:tc>
          <w:tcPr>
            <w:tcW w:w="880" w:type="dxa"/>
            <w:vAlign w:val="bottom"/>
            <w:gridSpan w:val="2"/>
          </w:tcPr>
          <w:p>
            <w:pPr>
              <w:jc w:val="center"/>
              <w:ind w:right="25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5"/>
                <w:szCs w:val="15"/>
                <w:color w:val="auto"/>
              </w:rPr>
            </w:pPr>
          </w:p>
        </w:tc>
        <w:tc>
          <w:tcPr>
            <w:tcW w:w="720" w:type="dxa"/>
            <w:vAlign w:val="bottom"/>
            <w:gridSpan w:val="2"/>
          </w:tcPr>
          <w:p>
            <w:pPr>
              <w:jc w:val="right"/>
              <w:ind w:right="281"/>
              <w:spacing w:after="0"/>
              <w:rPr>
                <w:sz w:val="20"/>
                <w:szCs w:val="20"/>
                <w:color w:val="auto"/>
              </w:rPr>
            </w:pPr>
            <w:r>
              <w:rPr>
                <w:rFonts w:ascii="Arial" w:cs="Arial" w:eastAsia="Arial" w:hAnsi="Arial"/>
                <w:sz w:val="14"/>
                <w:szCs w:val="14"/>
                <w:color w:val="auto"/>
              </w:rPr>
              <w:t>Total</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Balance at beginning of fiscal year</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9"/>
        </w:trPr>
        <w:tc>
          <w:tcPr>
            <w:tcW w:w="5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20" w:type="dxa"/>
            <w:vAlign w:val="bottom"/>
          </w:tcPr>
          <w:p>
            <w:pPr>
              <w:ind w:left="160"/>
              <w:spacing w:after="0"/>
              <w:rPr>
                <w:sz w:val="20"/>
                <w:szCs w:val="20"/>
                <w:color w:val="auto"/>
              </w:rPr>
            </w:pPr>
            <w:r>
              <w:rPr>
                <w:rFonts w:ascii="Arial" w:cs="Arial" w:eastAsia="Arial" w:hAnsi="Arial"/>
                <w:sz w:val="18"/>
                <w:szCs w:val="18"/>
                <w:color w:val="auto"/>
              </w:rPr>
              <w:t>reclassifications, net of taxes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r>
      <w:tr>
        <w:trPr>
          <w:trHeight w:val="250"/>
        </w:trPr>
        <w:tc>
          <w:tcPr>
            <w:tcW w:w="5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spacing w:after="0"/>
              <w:rPr>
                <w:sz w:val="21"/>
                <w:szCs w:val="21"/>
                <w:color w:val="auto"/>
              </w:rPr>
            </w:pPr>
          </w:p>
        </w:tc>
      </w:tr>
      <w:tr>
        <w:trPr>
          <w:trHeight w:val="243"/>
        </w:trPr>
        <w:tc>
          <w:tcPr>
            <w:tcW w:w="52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Recognition of loss on pension termination, net of taxes </w:t>
            </w:r>
            <w:r>
              <w:rPr>
                <w:rFonts w:ascii="Arial" w:cs="Arial" w:eastAsia="Arial" w:hAnsi="Arial"/>
                <w:sz w:val="24"/>
                <w:szCs w:val="24"/>
                <w:color w:val="auto"/>
                <w:vertAlign w:val="superscript"/>
              </w:rPr>
              <w:t>(1)</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180"/>
        </w:trPr>
        <w:tc>
          <w:tcPr>
            <w:tcW w:w="5220" w:type="dxa"/>
            <w:vAlign w:val="bottom"/>
          </w:tcPr>
          <w:p>
            <w:pPr>
              <w:ind w:left="20"/>
              <w:spacing w:after="0" w:line="180"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6"/>
        </w:trPr>
        <w:tc>
          <w:tcPr>
            <w:tcW w:w="522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24"/>
                <w:szCs w:val="24"/>
                <w:color w:val="auto"/>
                <w:vertAlign w:val="superscript"/>
              </w:rPr>
              <w:t>(2)</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3"/>
                <w:szCs w:val="23"/>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36"/>
        </w:trPr>
        <w:tc>
          <w:tcPr>
            <w:tcW w:w="5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 for the period</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r>
      <w:tr>
        <w:trPr>
          <w:trHeight w:val="249"/>
        </w:trPr>
        <w:tc>
          <w:tcPr>
            <w:tcW w:w="5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Balance at end of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(1,751 )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9"/>
              <w:spacing w:after="0"/>
              <w:rPr>
                <w:sz w:val="20"/>
                <w:szCs w:val="20"/>
                <w:color w:val="auto"/>
              </w:rPr>
            </w:pPr>
            <w:r>
              <w:rPr>
                <w:rFonts w:ascii="Arial" w:cs="Arial" w:eastAsia="Arial" w:hAnsi="Arial"/>
                <w:sz w:val="18"/>
                <w:szCs w:val="18"/>
                <w:color w:val="auto"/>
              </w:rPr>
              <w:t>(1,751 )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(5,331 )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(66 )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(5,397 )</w:t>
            </w: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-2794000</wp:posOffset>
            </wp:positionV>
            <wp:extent cx="7747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-2794000</wp:posOffset>
            </wp:positionV>
            <wp:extent cx="685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-2794000</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-2794000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-2794000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-187960</wp:posOffset>
            </wp:positionV>
            <wp:extent cx="7747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-187960</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-187960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ind w:left="760" w:hanging="379"/>
        <w:spacing w:after="0" w:line="265" w:lineRule="auto"/>
        <w:tabs>
          <w:tab w:leader="none" w:pos="740" w:val="left"/>
        </w:tabs>
        <w:rPr>
          <w:sz w:val="20"/>
          <w:szCs w:val="20"/>
          <w:color w:val="auto"/>
        </w:rPr>
      </w:pPr>
      <w:r>
        <w:rPr>
          <w:rFonts w:ascii="Arial" w:cs="Arial" w:eastAsia="Arial" w:hAnsi="Arial"/>
          <w:sz w:val="17"/>
          <w:szCs w:val="17"/>
          <w:color w:val="auto"/>
        </w:rPr>
        <w:t>(1)</w:t>
        <w:tab/>
        <w:t>In connection with the Company's decision to terminate its pension plan, during the second quarter of fiscal 2023 the Company completed a partial settlement and accordingly recognized a pro-rated portion of AOCI in the amount of $4.2 million, or $3.1 million net of taxes.</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both"/>
        <w:ind w:left="760" w:hanging="378"/>
        <w:spacing w:after="0" w:line="296"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the amortization of the unrecognized loss on pension plans, which was charged to “Selling, General and Administrative” Expense on the Consolidated Statements of Operations for all periods presented. The Company recognized expense of $34,000, or $25,000 net of taxes, for the three months ended July 29, 2023 and expense of $92,000, or $68,000 net of taxes, for the six months ended July 29, 2023. For the three and six months ended July 30, 2022, the Company recognized income of $8,000 and $20,000, respectively, as a result of a change in amortization from average remaining future service to average remaining lifetime. There was no related tax effect for the three and six months ended July 30,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based on the assumptions in the table below as it relates to stock options granted during the first six months of fiscal 2023 and fiscal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July 29, 2023</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July 30, 2022</w:t>
            </w:r>
          </w:p>
        </w:tc>
        <w:tc>
          <w:tcPr>
            <w:tcW w:w="100" w:type="dxa"/>
            <w:vAlign w:val="bottom"/>
          </w:tcPr>
          <w:p>
            <w:pPr>
              <w:spacing w:after="0"/>
              <w:rPr>
                <w:sz w:val="15"/>
                <w:szCs w:val="15"/>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 - 92.1%</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109.0% - 123.7%</w:t>
            </w: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3.71%-4.42%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 - 2.87%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yrs.</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2.5 - 3.5 yrs.</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were no impairments or non-cash gains recognized in the three months and six months ended July 29, 2023. For the three months and six months ended July 30, 2022, the Company recognized non-cash gains of $0.1 million and $0.6 million, respectively. These non-cash gains related to the Company’s decision to close certain retail stores, which resulted in a revaluation of the existing lease liabilities. The portion of the gains that related to previously recorded impairment charges against the operating lease right-of-use asset were included as an offset to previously recorded asset impairment charges. Accordingly, for the three months and six months ended July 30, 2022, $0.1 million and $0.4 million, respectively, were included as an offset to asset impairment charges. The remaining gains for the three months and six months ended July 30, 2022 were included as a reduction of store occupancy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requirement of ASC 842 will not be applied to certain, if any, non-store leases, with a term of 12 months or less, recognizing those lease payments on a straight-line basis over the lease term. At July 29, 2023, the Company had no short-term leases.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See Note 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September 2022, the FASB issued Accounting Standards Update ("ASU") </w:t>
      </w:r>
      <w:r>
        <w:rPr>
          <w:rFonts w:ascii="Arial" w:cs="Arial" w:eastAsia="Arial" w:hAnsi="Arial"/>
          <w:sz w:val="17"/>
          <w:szCs w:val="17"/>
          <w:color w:val="252525"/>
        </w:rPr>
        <w:t>2022</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xml:space="preserve"> </w:t>
      </w:r>
      <w:r>
        <w:rPr>
          <w:rFonts w:ascii="Arial" w:cs="Arial" w:eastAsia="Arial" w:hAnsi="Arial"/>
          <w:sz w:val="17"/>
          <w:szCs w:val="17"/>
          <w:i w:val="1"/>
          <w:iCs w:val="1"/>
          <w:color w:val="252525"/>
        </w:rPr>
        <w:t>Liabilities – Supplier Finance Programs,</w:t>
      </w:r>
      <w:r>
        <w:rPr>
          <w:rFonts w:ascii="Arial" w:cs="Arial" w:eastAsia="Arial" w:hAnsi="Arial"/>
          <w:sz w:val="17"/>
          <w:szCs w:val="17"/>
          <w:color w:val="auto"/>
        </w:rPr>
        <w:t xml:space="preserve"> which is intended to enhance the transparency surrounding the use of supplier finance programs in connection with the purchase of goods and services. The guidance requires companies that use supplier finance programs to make annual disclosures about the program’s key terms, the balance sheet presentation of related amounts, the confirmed amount outstanding at the end of the period and associated rollforward information. The new standard does not affect the recognition, measurement, or financial statement presentation of supplier finance program obligations. ASU 2022-04 was adopted in the first quarter of fiscal 2023, with the exception of the rollforward information, which is not effective until fiscal 2024. The adoption of ASU 2022-04 did not have a material effect on the Company's Consolidated Financial Statements as the Company does not participate in supplier finance programs.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Not Yet Adopted</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July 2023, the FASB issued ASU 2023-03, </w:t>
      </w:r>
      <w:r>
        <w:rPr>
          <w:rFonts w:ascii="Arial" w:cs="Arial" w:eastAsia="Arial" w:hAnsi="Arial"/>
          <w:sz w:val="17"/>
          <w:szCs w:val="17"/>
          <w:i w:val="1"/>
          <w:iCs w:val="1"/>
          <w:color w:val="auto"/>
        </w:rPr>
        <w:t>Presentation of Financial Statements (Topic 205), Income Statement - Reporting 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w:t>
      </w:r>
      <w:r>
        <w:rPr>
          <w:rFonts w:ascii="Arial" w:cs="Arial" w:eastAsia="Arial" w:hAnsi="Arial"/>
          <w:sz w:val="17"/>
          <w:szCs w:val="17"/>
          <w:color w:val="auto"/>
        </w:rPr>
        <w:t>which amends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supersedes various SEC paragraphs within the Accounting Standards Codification to conform to past SEC announcements and guidance issued by the SEC. The ASU does not provide any new guidance, and as such, there is no transition effective date. ASU </w:t>
      </w:r>
      <w:r>
        <w:rPr>
          <w:rFonts w:ascii="Arial" w:cs="Arial" w:eastAsia="Arial" w:hAnsi="Arial"/>
          <w:sz w:val="17"/>
          <w:szCs w:val="17"/>
          <w:i w:val="1"/>
          <w:iCs w:val="1"/>
          <w:color w:val="auto"/>
        </w:rPr>
        <w:t>2023</w:t>
      </w:r>
      <w:r>
        <w:rPr>
          <w:rFonts w:ascii="Arial" w:cs="Arial" w:eastAsia="Arial" w:hAnsi="Arial"/>
          <w:sz w:val="17"/>
          <w:szCs w:val="17"/>
          <w:color w:val="auto"/>
        </w:rPr>
        <w:t>-</w:t>
      </w:r>
      <w:r>
        <w:rPr>
          <w:rFonts w:ascii="Arial" w:cs="Arial" w:eastAsia="Arial" w:hAnsi="Arial"/>
          <w:sz w:val="17"/>
          <w:szCs w:val="17"/>
          <w:i w:val="1"/>
          <w:iCs w:val="1"/>
          <w:color w:val="auto"/>
        </w:rPr>
        <w:t>03</w:t>
      </w:r>
      <w:r>
        <w:rPr>
          <w:rFonts w:ascii="Arial" w:cs="Arial" w:eastAsia="Arial" w:hAnsi="Arial"/>
          <w:sz w:val="17"/>
          <w:szCs w:val="17"/>
          <w:color w:val="auto"/>
        </w:rPr>
        <w:t xml:space="preserve"> is not expected to have a material impact on the Company's Consolidated Financial Statements.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other new accounting pronouncements, issued or effective during the first six months of fiscal 2023, which had or are expected to have a significant impact on the Company’s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121"/>
        </w:rPr>
        <w:t xml:space="preserve">The Company operates as a retailer of big and tall men’s clothing, which includes stores and direct. </w:t>
      </w:r>
      <w:r>
        <w:rPr>
          <w:rFonts w:ascii="Arial" w:cs="Arial" w:eastAsia="Arial" w:hAnsi="Arial"/>
          <w:sz w:val="18"/>
          <w:szCs w:val="18"/>
          <w:color w:val="000000"/>
        </w:rPr>
        <w:t>Revenue is recognized by the operating segment that</w:t>
      </w:r>
      <w:r>
        <w:rPr>
          <w:rFonts w:ascii="Arial" w:cs="Arial" w:eastAsia="Arial" w:hAnsi="Arial"/>
          <w:sz w:val="18"/>
          <w:szCs w:val="18"/>
          <w:color w:val="212121"/>
        </w:rPr>
        <w:t xml:space="preserve"> </w:t>
      </w:r>
      <w:r>
        <w:rPr>
          <w:rFonts w:ascii="Arial" w:cs="Arial" w:eastAsia="Arial" w:hAnsi="Arial"/>
          <w:sz w:val="18"/>
          <w:szCs w:val="18"/>
          <w:color w:val="000000"/>
        </w:rPr>
        <w:t xml:space="preserve">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Arial" w:cs="Arial" w:eastAsia="Arial" w:hAnsi="Arial"/>
          <w:sz w:val="18"/>
          <w:szCs w:val="18"/>
          <w:color w:val="212121"/>
        </w:rPr>
        <w:t>Generally, all revenues are recognized</w:t>
      </w:r>
      <w:r>
        <w:rPr>
          <w:rFonts w:ascii="Arial" w:cs="Arial" w:eastAsia="Arial" w:hAnsi="Arial"/>
          <w:sz w:val="18"/>
          <w:szCs w:val="18"/>
          <w:color w:val="000000"/>
        </w:rPr>
        <w:t xml:space="preserve"> </w:t>
      </w:r>
      <w:r>
        <w:rPr>
          <w:rFonts w:ascii="Arial" w:cs="Arial" w:eastAsia="Arial" w:hAnsi="Arial"/>
          <w:sz w:val="18"/>
          <w:szCs w:val="18"/>
          <w:color w:val="212121"/>
        </w:rPr>
        <w:t xml:space="preserve">when control of the promised goods is transferred to customers, in an amount that reflects the consideration in exchange for those goods. </w:t>
      </w:r>
      <w:r>
        <w:rPr>
          <w:rFonts w:ascii="Arial" w:cs="Arial" w:eastAsia="Arial" w:hAnsi="Arial"/>
          <w:sz w:val="18"/>
          <w:szCs w:val="18"/>
          <w:color w:val="000000"/>
        </w:rPr>
        <w:t>Sales tax</w:t>
      </w:r>
      <w:r>
        <w:rPr>
          <w:rFonts w:ascii="Arial" w:cs="Arial" w:eastAsia="Arial" w:hAnsi="Arial"/>
          <w:sz w:val="18"/>
          <w:szCs w:val="18"/>
          <w:color w:val="212121"/>
        </w:rPr>
        <w:t xml:space="preserve"> </w:t>
      </w:r>
      <w:r>
        <w:rPr>
          <w:rFonts w:ascii="Arial" w:cs="Arial" w:eastAsia="Arial" w:hAnsi="Arial"/>
          <w:sz w:val="18"/>
          <w:szCs w:val="18"/>
          <w:color w:val="000000"/>
        </w:rPr>
        <w:t>collected from customers and remitted to taxing authorities is excluded from revenue and is included as part of accrued expenses on the Consolidated Balance Sheets.</w:t>
      </w:r>
    </w:p>
    <w:p>
      <w:pPr>
        <w:spacing w:after="0" w:line="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Unredeemed Gift Cards, Gift Certificates, and Credit Vouchers. </w:t>
      </w:r>
      <w:r>
        <w:rPr>
          <w:rFonts w:ascii="Arial" w:cs="Arial" w:eastAsia="Arial" w:hAnsi="Arial"/>
          <w:sz w:val="16"/>
          <w:szCs w:val="16"/>
          <w:color w:val="auto"/>
        </w:rPr>
        <w:t>Upon issuance of a gift card, gift certificate, or credit voucher, a liability is established for</w:t>
      </w:r>
      <w:r>
        <w:rPr>
          <w:rFonts w:ascii="Arial" w:cs="Arial" w:eastAsia="Arial" w:hAnsi="Arial"/>
          <w:sz w:val="16"/>
          <w:szCs w:val="16"/>
          <w:i w:val="1"/>
          <w:iCs w:val="1"/>
          <w:color w:val="auto"/>
        </w:rPr>
        <w:t xml:space="preserve"> </w:t>
      </w:r>
      <w:r>
        <w:rPr>
          <w:rFonts w:ascii="Arial" w:cs="Arial" w:eastAsia="Arial" w:hAnsi="Arial"/>
          <w:sz w:val="16"/>
          <w:szCs w:val="16"/>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$2.3 million and $3.4 million at July 29, 2023 and January 28, 2023,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right="60"/>
        <w:spacing w:after="0" w:line="279" w:lineRule="auto"/>
        <w:rPr>
          <w:sz w:val="20"/>
          <w:szCs w:val="20"/>
          <w:color w:val="auto"/>
        </w:rPr>
      </w:pPr>
      <w:r>
        <w:rPr>
          <w:rFonts w:ascii="Arial" w:cs="Arial" w:eastAsia="Arial" w:hAnsi="Arial"/>
          <w:sz w:val="17"/>
          <w:szCs w:val="17"/>
          <w:i w:val="1"/>
          <w:iCs w:val="1"/>
          <w:color w:val="auto"/>
        </w:rPr>
        <w:t xml:space="preserve">Unredeemed Loyalty Coupons. </w:t>
      </w:r>
      <w:r>
        <w:rPr>
          <w:rFonts w:ascii="Arial" w:cs="Arial" w:eastAsia="Arial" w:hAnsi="Arial"/>
          <w:sz w:val="17"/>
          <w:szCs w:val="17"/>
          <w:color w:val="auto"/>
        </w:rPr>
        <w:t>The Company offers a free loyalty program to its customers for which points accumulate based on the purchase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merchandise. 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$1.6 million at July 29, 2023 and at January 28, 2023.</w:t>
      </w:r>
    </w:p>
    <w:p>
      <w:pPr>
        <w:spacing w:after="0" w:line="6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Shipping and handling costs are accounted for as fulfillment costs and are included in cost of sales for all periods presented.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 xml:space="preserve">As noted above under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in Note 1, the Company’s business consists of one reportable segment, its retail segment. Substantially all of the Company’s revenue is generated from its stores and direct businesses. Results for the second quarter and first six months of fiscal 2022 included operating results from the wholesale segment, which was discontinued in the first quarter of fiscal 2022. Accordingly, the Company has determined that the following sales channels depict the nature, amount, timing, and uncertainty of how revenue and cash flows are affected by economic factors: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5"/>
          </w:tcPr>
          <w:p>
            <w:pPr>
              <w:jc w:val="center"/>
              <w:ind w:right="70"/>
              <w:spacing w:after="0"/>
              <w:rPr>
                <w:sz w:val="20"/>
                <w:szCs w:val="20"/>
                <w:color w:val="auto"/>
              </w:rPr>
            </w:pPr>
            <w:r>
              <w:rPr>
                <w:rFonts w:ascii="Arial" w:cs="Arial" w:eastAsia="Arial" w:hAnsi="Arial"/>
                <w:sz w:val="18"/>
                <w:szCs w:val="18"/>
                <w:color w:val="auto"/>
                <w:w w:val="90"/>
              </w:rPr>
              <w:t>For the Three Months Ended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jc w:val="right"/>
              <w:ind w:right="590"/>
              <w:spacing w:after="0"/>
              <w:rPr>
                <w:sz w:val="20"/>
                <w:szCs w:val="20"/>
                <w:color w:val="auto"/>
              </w:rPr>
            </w:pPr>
            <w:r>
              <w:rPr>
                <w:rFonts w:ascii="Arial" w:cs="Arial" w:eastAsia="Arial" w:hAnsi="Arial"/>
                <w:sz w:val="18"/>
                <w:szCs w:val="18"/>
                <w:color w:val="auto"/>
              </w:rPr>
              <w:t>For the Six Months Ended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July 29, 2023</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July 30, 2022</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July 29, 2023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July 30, 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4"/>
        </w:trPr>
        <w:tc>
          <w:tcPr>
            <w:tcW w:w="2260" w:type="dxa"/>
            <w:vAlign w:val="bottom"/>
          </w:tcPr>
          <w:p>
            <w:pPr>
              <w:ind w:left="20"/>
              <w:spacing w:after="0"/>
              <w:rPr>
                <w:sz w:val="20"/>
                <w:szCs w:val="20"/>
                <w:color w:val="auto"/>
              </w:rPr>
            </w:pPr>
            <w:r>
              <w:rPr>
                <w:rFonts w:ascii="Arial" w:cs="Arial" w:eastAsia="Arial" w:hAnsi="Arial"/>
                <w:sz w:val="18"/>
                <w:szCs w:val="18"/>
                <w:color w:val="auto"/>
              </w:rPr>
              <w:t>Store sales</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97,445</w:t>
            </w:r>
          </w:p>
        </w:tc>
        <w:tc>
          <w:tcPr>
            <w:tcW w:w="880" w:type="dxa"/>
            <w:vAlign w:val="bottom"/>
            <w:gridSpan w:val="2"/>
          </w:tcPr>
          <w:p>
            <w:pPr>
              <w:jc w:val="center"/>
              <w:ind w:right="50"/>
              <w:spacing w:after="0"/>
              <w:rPr>
                <w:sz w:val="20"/>
                <w:szCs w:val="20"/>
                <w:color w:val="auto"/>
              </w:rPr>
            </w:pPr>
            <w:r>
              <w:rPr>
                <w:rFonts w:ascii="Arial" w:cs="Arial" w:eastAsia="Arial" w:hAnsi="Arial"/>
                <w:sz w:val="18"/>
                <w:szCs w:val="18"/>
                <w:i w:val="1"/>
                <w:iCs w:val="1"/>
                <w:color w:val="auto"/>
                <w:w w:val="90"/>
              </w:rPr>
              <w:t>69.6%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100,924</w:t>
            </w:r>
          </w:p>
        </w:tc>
        <w:tc>
          <w:tcPr>
            <w:tcW w:w="860" w:type="dxa"/>
            <w:vAlign w:val="bottom"/>
            <w:gridSpan w:val="2"/>
          </w:tcPr>
          <w:p>
            <w:pPr>
              <w:jc w:val="right"/>
              <w:ind w:right="170"/>
              <w:spacing w:after="0"/>
              <w:rPr>
                <w:sz w:val="20"/>
                <w:szCs w:val="20"/>
                <w:color w:val="auto"/>
              </w:rPr>
            </w:pPr>
            <w:r>
              <w:rPr>
                <w:rFonts w:ascii="Arial" w:cs="Arial" w:eastAsia="Arial" w:hAnsi="Arial"/>
                <w:sz w:val="18"/>
                <w:szCs w:val="18"/>
                <w:i w:val="1"/>
                <w:iCs w:val="1"/>
                <w:color w:val="auto"/>
              </w:rPr>
              <w:t>69.8%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184,742</w:t>
            </w:r>
          </w:p>
        </w:tc>
        <w:tc>
          <w:tcPr>
            <w:tcW w:w="920" w:type="dxa"/>
            <w:vAlign w:val="bottom"/>
            <w:gridSpan w:val="4"/>
          </w:tcPr>
          <w:p>
            <w:pPr>
              <w:jc w:val="right"/>
              <w:spacing w:after="0"/>
              <w:rPr>
                <w:sz w:val="20"/>
                <w:szCs w:val="20"/>
                <w:color w:val="auto"/>
              </w:rPr>
            </w:pPr>
            <w:r>
              <w:rPr>
                <w:rFonts w:ascii="Arial" w:cs="Arial" w:eastAsia="Arial" w:hAnsi="Arial"/>
                <w:sz w:val="18"/>
                <w:szCs w:val="18"/>
                <w:i w:val="1"/>
                <w:iCs w:val="1"/>
                <w:color w:val="auto"/>
              </w:rPr>
              <w:t>69.6 %</w:t>
            </w: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189,203</w:t>
            </w:r>
          </w:p>
        </w:tc>
        <w:tc>
          <w:tcPr>
            <w:tcW w:w="980" w:type="dxa"/>
            <w:vAlign w:val="bottom"/>
            <w:gridSpan w:val="4"/>
          </w:tcPr>
          <w:p>
            <w:pPr>
              <w:jc w:val="right"/>
              <w:spacing w:after="0"/>
              <w:rPr>
                <w:sz w:val="20"/>
                <w:szCs w:val="20"/>
                <w:color w:val="auto"/>
              </w:rPr>
            </w:pPr>
            <w:r>
              <w:rPr>
                <w:rFonts w:ascii="Arial" w:cs="Arial" w:eastAsia="Arial" w:hAnsi="Arial"/>
                <w:sz w:val="18"/>
                <w:szCs w:val="18"/>
                <w:i w:val="1"/>
                <w:iCs w:val="1"/>
                <w:color w:val="auto"/>
              </w:rPr>
              <w:t>69.6 %</w:t>
            </w:r>
          </w:p>
        </w:tc>
      </w:tr>
      <w:tr>
        <w:trPr>
          <w:trHeight w:val="256"/>
        </w:trPr>
        <w:tc>
          <w:tcPr>
            <w:tcW w:w="2260" w:type="dxa"/>
            <w:vAlign w:val="bottom"/>
          </w:tcPr>
          <w:p>
            <w:pPr>
              <w:ind w:left="20"/>
              <w:spacing w:after="0"/>
              <w:rPr>
                <w:sz w:val="20"/>
                <w:szCs w:val="20"/>
                <w:color w:val="auto"/>
              </w:rPr>
            </w:pPr>
            <w:r>
              <w:rPr>
                <w:rFonts w:ascii="Arial" w:cs="Arial" w:eastAsia="Arial" w:hAnsi="Arial"/>
                <w:sz w:val="18"/>
                <w:szCs w:val="18"/>
                <w:color w:val="auto"/>
              </w:rPr>
              <w:t>Direct sales</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42,598</w:t>
            </w:r>
          </w:p>
        </w:tc>
        <w:tc>
          <w:tcPr>
            <w:tcW w:w="120" w:type="dxa"/>
            <w:vAlign w:val="bottom"/>
          </w:tcPr>
          <w:p>
            <w:pPr>
              <w:spacing w:after="0"/>
              <w:rPr>
                <w:sz w:val="22"/>
                <w:szCs w:val="22"/>
                <w:color w:val="auto"/>
              </w:rPr>
            </w:pPr>
          </w:p>
        </w:tc>
        <w:tc>
          <w:tcPr>
            <w:tcW w:w="760" w:type="dxa"/>
            <w:vAlign w:val="bottom"/>
          </w:tcPr>
          <w:p>
            <w:pPr>
              <w:jc w:val="center"/>
              <w:ind w:right="170"/>
              <w:spacing w:after="0"/>
              <w:rPr>
                <w:sz w:val="20"/>
                <w:szCs w:val="20"/>
                <w:color w:val="auto"/>
              </w:rPr>
            </w:pPr>
            <w:r>
              <w:rPr>
                <w:rFonts w:ascii="Arial" w:cs="Arial" w:eastAsia="Arial" w:hAnsi="Arial"/>
                <w:sz w:val="18"/>
                <w:szCs w:val="18"/>
                <w:i w:val="1"/>
                <w:iCs w:val="1"/>
                <w:color w:val="auto"/>
                <w:w w:val="90"/>
              </w:rPr>
              <w:t>30.4%</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43,693</w:t>
            </w:r>
          </w:p>
        </w:tc>
        <w:tc>
          <w:tcPr>
            <w:tcW w:w="120" w:type="dxa"/>
            <w:vAlign w:val="bottom"/>
          </w:tcPr>
          <w:p>
            <w:pPr>
              <w:spacing w:after="0"/>
              <w:rPr>
                <w:sz w:val="22"/>
                <w:szCs w:val="22"/>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i w:val="1"/>
                <w:iCs w:val="1"/>
                <w:color w:val="auto"/>
                <w:w w:val="90"/>
              </w:rPr>
              <w:t>30.2%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80,743</w:t>
            </w:r>
          </w:p>
        </w:tc>
        <w:tc>
          <w:tcPr>
            <w:tcW w:w="12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i w:val="1"/>
                <w:iCs w:val="1"/>
                <w:color w:val="auto"/>
              </w:rPr>
              <w:t>30.4 %</w:t>
            </w:r>
          </w:p>
        </w:tc>
        <w:tc>
          <w:tcPr>
            <w:tcW w:w="1120" w:type="dxa"/>
            <w:vAlign w:val="bottom"/>
          </w:tcPr>
          <w:p>
            <w:pPr>
              <w:jc w:val="right"/>
              <w:spacing w:after="0"/>
              <w:rPr>
                <w:sz w:val="20"/>
                <w:szCs w:val="20"/>
                <w:color w:val="auto"/>
              </w:rPr>
            </w:pPr>
            <w:r>
              <w:rPr>
                <w:rFonts w:ascii="Arial" w:cs="Arial" w:eastAsia="Arial" w:hAnsi="Arial"/>
                <w:sz w:val="18"/>
                <w:szCs w:val="18"/>
                <w:color w:val="auto"/>
              </w:rPr>
              <w:t>82,687</w:t>
            </w:r>
          </w:p>
        </w:tc>
        <w:tc>
          <w:tcPr>
            <w:tcW w:w="980" w:type="dxa"/>
            <w:vAlign w:val="bottom"/>
            <w:gridSpan w:val="4"/>
          </w:tcPr>
          <w:p>
            <w:pPr>
              <w:jc w:val="right"/>
              <w:spacing w:after="0"/>
              <w:rPr>
                <w:sz w:val="20"/>
                <w:szCs w:val="20"/>
                <w:color w:val="auto"/>
              </w:rPr>
            </w:pPr>
            <w:r>
              <w:rPr>
                <w:rFonts w:ascii="Arial" w:cs="Arial" w:eastAsia="Arial" w:hAnsi="Arial"/>
                <w:sz w:val="18"/>
                <w:szCs w:val="18"/>
                <w:i w:val="1"/>
                <w:iCs w:val="1"/>
                <w:color w:val="auto"/>
              </w:rPr>
              <w:t>30.4 %</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Retail segment</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140,043</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144,617</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265,485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271,890</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Wholesale segment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26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140,043</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144,634</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265,485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272,289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316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-187960</wp:posOffset>
            </wp:positionV>
            <wp:extent cx="7747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-187960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Citizens Bank, N.A.</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On October 28, 2021, the Company entered into a credit facility with Citizens Bank, N.A. On April 20, 2023, the Company entered into the First Amendment to Credit Agreement which provided for the replacement of the London Interbank Offering Rate (“LIBOR”) interest rate options with the secured overnight financing rate ("SOFR") based options (as amended, the "Credit Facility").</w:t>
      </w:r>
    </w:p>
    <w:p>
      <w:pPr>
        <w:spacing w:after="0" w:line="76"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Credit Facility provides for a $125.0 million secured, asset-based credit facility with a maturity date of October 28, 2026.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4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of April 20, 2023, borrowings under the Credit Facility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6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July 29, 2023, the Company had no borrowings outstanding under the Credit Facility and unused availability was $81.8 million. The Company had no borrowings during the first six months of fiscal 2023, resulting in an average unused excess availability of approximately $85.6 million. Outstanding standby letters of credit were $4.0 million and outstanding documentary letters were $1.2 million at July 29, 2023. At July 29, 2023, the Company’s prime-based interest rate was 8.75%.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2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is for 20 years, with the opportunity to extend for six additional</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July 29, 2023, the Company’s operating leases liabilities represent the present value of the remaining future minimum lease payments updated based on concessions and lease modifications.</w:t>
      </w:r>
    </w:p>
    <w:p>
      <w:pPr>
        <w:spacing w:after="0" w:line="7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the Company’s components of net lease cost for the three and six months ended July 29, 2023 and July 30, 2022:</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180" w:type="dxa"/>
            <w:vAlign w:val="bottom"/>
            <w:gridSpan w:val="6"/>
            <w:shd w:val="clear" w:color="auto" w:fill="CFF0FC"/>
          </w:tcPr>
          <w:p>
            <w:pPr>
              <w:jc w:val="right"/>
              <w:ind w:right="760"/>
              <w:spacing w:after="0"/>
              <w:rPr>
                <w:sz w:val="20"/>
                <w:szCs w:val="20"/>
                <w:color w:val="auto"/>
              </w:rPr>
            </w:pPr>
            <w:r>
              <w:rPr>
                <w:rFonts w:ascii="Arial" w:cs="Arial" w:eastAsia="Arial" w:hAnsi="Arial"/>
                <w:sz w:val="18"/>
                <w:szCs w:val="18"/>
                <w:color w:val="auto"/>
              </w:rPr>
              <w:t>For the three months ended</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180" w:type="dxa"/>
            <w:vAlign w:val="bottom"/>
            <w:gridSpan w:val="8"/>
            <w:shd w:val="clear" w:color="auto" w:fill="CFF0FC"/>
          </w:tcPr>
          <w:p>
            <w:pPr>
              <w:ind w:left="480"/>
              <w:spacing w:after="0"/>
              <w:rPr>
                <w:sz w:val="20"/>
                <w:szCs w:val="20"/>
                <w:color w:val="auto"/>
              </w:rPr>
            </w:pPr>
            <w:r>
              <w:rPr>
                <w:rFonts w:ascii="Arial" w:cs="Arial" w:eastAsia="Arial" w:hAnsi="Arial"/>
                <w:sz w:val="18"/>
                <w:szCs w:val="18"/>
                <w:color w:val="auto"/>
              </w:rPr>
              <w:t>For the six months ended</w:t>
            </w:r>
          </w:p>
        </w:tc>
      </w:tr>
      <w:tr>
        <w:trPr>
          <w:trHeight w:val="189"/>
        </w:trPr>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w w:val="89"/>
              </w:rPr>
              <w:t>July 29, 2023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w w:val="89"/>
              </w:rPr>
              <w:t>July 30, 2022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right"/>
              <w:ind w:right="280"/>
              <w:spacing w:after="0" w:line="189" w:lineRule="exact"/>
              <w:rPr>
                <w:sz w:val="20"/>
                <w:szCs w:val="20"/>
                <w:color w:val="auto"/>
              </w:rPr>
            </w:pPr>
            <w:r>
              <w:rPr>
                <w:rFonts w:ascii="Arial" w:cs="Arial" w:eastAsia="Arial" w:hAnsi="Arial"/>
                <w:sz w:val="18"/>
                <w:szCs w:val="18"/>
                <w:color w:val="auto"/>
                <w:w w:val="98"/>
              </w:rPr>
              <w:t>July 29, 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4"/>
          </w:tcPr>
          <w:p>
            <w:pPr>
              <w:ind w:left="80"/>
              <w:spacing w:after="0" w:line="189" w:lineRule="exact"/>
              <w:rPr>
                <w:sz w:val="20"/>
                <w:szCs w:val="20"/>
                <w:color w:val="auto"/>
              </w:rPr>
            </w:pPr>
            <w:r>
              <w:rPr>
                <w:rFonts w:ascii="Arial" w:cs="Arial" w:eastAsia="Arial" w:hAnsi="Arial"/>
                <w:sz w:val="18"/>
                <w:szCs w:val="18"/>
                <w:color w:val="auto"/>
              </w:rPr>
              <w:t>July 30, 2022</w:t>
            </w:r>
          </w:p>
        </w:tc>
      </w:tr>
      <w:tr>
        <w:trPr>
          <w:trHeight w:val="34"/>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11,374</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10,744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22,041</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21,758</w:t>
            </w:r>
          </w:p>
        </w:tc>
        <w:tc>
          <w:tcPr>
            <w:tcW w:w="100" w:type="dxa"/>
            <w:vAlign w:val="bottom"/>
          </w:tcPr>
          <w:p>
            <w:pPr>
              <w:spacing w:after="0"/>
              <w:rPr>
                <w:sz w:val="20"/>
                <w:szCs w:val="20"/>
                <w:color w:val="auto"/>
              </w:rPr>
            </w:pPr>
          </w:p>
        </w:tc>
      </w:tr>
      <w:tr>
        <w:trPr>
          <w:trHeight w:val="249"/>
        </w:trPr>
        <w:tc>
          <w:tcPr>
            <w:tcW w:w="4040" w:type="dxa"/>
            <w:vAlign w:val="bottom"/>
            <w:tcBorders>
              <w:bottom w:val="single" w:sz="8" w:color="CFF0FC"/>
            </w:tcBorders>
            <w:shd w:val="clear" w:color="auto" w:fill="CFF0FC"/>
          </w:tcPr>
          <w:p>
            <w:pPr>
              <w:ind w:left="20"/>
              <w:spacing w:after="0" w:line="249"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4"/>
                <w:szCs w:val="24"/>
                <w:color w:val="auto"/>
                <w:vertAlign w:val="superscript"/>
              </w:rPr>
              <w:t>(1)</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6,458</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6,273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14,667</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13,863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28,499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28,031</w:t>
            </w:r>
          </w:p>
        </w:tc>
        <w:tc>
          <w:tcPr>
            <w:tcW w:w="10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-187960</wp:posOffset>
            </wp:positionV>
            <wp:extent cx="7683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Variable lease costs include the cost of property taxes, insurance and common area maintenance fees related to its leases.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and balance sheet information related to leases for the first six months ended July 29, 2023 and July 30, 2022 was as follows: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500" w:type="dxa"/>
            <w:vAlign w:val="bottom"/>
            <w:shd w:val="clear" w:color="auto" w:fill="CFF0FC"/>
          </w:tcPr>
          <w:p>
            <w:pPr>
              <w:spacing w:after="0"/>
              <w:rPr>
                <w:sz w:val="21"/>
                <w:szCs w:val="21"/>
                <w:color w:val="auto"/>
              </w:rPr>
            </w:pPr>
          </w:p>
        </w:tc>
        <w:tc>
          <w:tcPr>
            <w:tcW w:w="3300" w:type="dxa"/>
            <w:vAlign w:val="bottom"/>
            <w:gridSpan w:val="6"/>
            <w:shd w:val="clear" w:color="auto" w:fill="CFF0FC"/>
          </w:tcPr>
          <w:p>
            <w:pPr>
              <w:jc w:val="right"/>
              <w:ind w:right="940"/>
              <w:spacing w:after="0"/>
              <w:rPr>
                <w:sz w:val="20"/>
                <w:szCs w:val="20"/>
                <w:color w:val="auto"/>
              </w:rPr>
            </w:pPr>
            <w:r>
              <w:rPr>
                <w:rFonts w:ascii="Arial" w:cs="Arial" w:eastAsia="Arial" w:hAnsi="Arial"/>
                <w:sz w:val="18"/>
                <w:szCs w:val="18"/>
                <w:color w:val="auto"/>
              </w:rPr>
              <w:t>For the six months ended</w:t>
            </w:r>
          </w:p>
        </w:tc>
      </w:tr>
      <w:tr>
        <w:trPr>
          <w:trHeight w:val="189"/>
        </w:trPr>
        <w:tc>
          <w:tcPr>
            <w:tcW w:w="7440" w:type="dxa"/>
            <w:vAlign w:val="bottom"/>
          </w:tcPr>
          <w:p>
            <w:pPr>
              <w:ind w:left="20"/>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500" w:type="dxa"/>
            <w:vAlign w:val="bottom"/>
          </w:tcPr>
          <w:p>
            <w:pPr>
              <w:spacing w:after="0"/>
              <w:rPr>
                <w:sz w:val="16"/>
                <w:szCs w:val="16"/>
                <w:color w:val="auto"/>
              </w:rPr>
            </w:pPr>
          </w:p>
        </w:tc>
        <w:tc>
          <w:tcPr>
            <w:tcW w:w="1420" w:type="dxa"/>
            <w:vAlign w:val="bottom"/>
            <w:gridSpan w:val="2"/>
          </w:tcPr>
          <w:p>
            <w:pPr>
              <w:jc w:val="center"/>
              <w:ind w:right="440"/>
              <w:spacing w:after="0" w:line="189" w:lineRule="exact"/>
              <w:rPr>
                <w:sz w:val="20"/>
                <w:szCs w:val="20"/>
                <w:color w:val="auto"/>
              </w:rPr>
            </w:pPr>
            <w:r>
              <w:rPr>
                <w:rFonts w:ascii="Arial" w:cs="Arial" w:eastAsia="Arial" w:hAnsi="Arial"/>
                <w:sz w:val="18"/>
                <w:szCs w:val="18"/>
                <w:color w:val="auto"/>
                <w:w w:val="91"/>
              </w:rPr>
              <w:t>July 29, 2023</w:t>
            </w:r>
          </w:p>
        </w:tc>
        <w:tc>
          <w:tcPr>
            <w:tcW w:w="340" w:type="dxa"/>
            <w:vAlign w:val="bottom"/>
          </w:tcPr>
          <w:p>
            <w:pPr>
              <w:spacing w:after="0"/>
              <w:rPr>
                <w:sz w:val="16"/>
                <w:szCs w:val="16"/>
                <w:color w:val="auto"/>
              </w:rPr>
            </w:pPr>
          </w:p>
        </w:tc>
        <w:tc>
          <w:tcPr>
            <w:tcW w:w="1540" w:type="dxa"/>
            <w:vAlign w:val="bottom"/>
            <w:gridSpan w:val="3"/>
          </w:tcPr>
          <w:p>
            <w:pPr>
              <w:jc w:val="center"/>
              <w:ind w:right="320"/>
              <w:spacing w:after="0" w:line="189" w:lineRule="exact"/>
              <w:rPr>
                <w:sz w:val="20"/>
                <w:szCs w:val="20"/>
                <w:color w:val="auto"/>
              </w:rPr>
            </w:pPr>
            <w:r>
              <w:rPr>
                <w:rFonts w:ascii="Arial" w:cs="Arial" w:eastAsia="Arial" w:hAnsi="Arial"/>
                <w:sz w:val="18"/>
                <w:szCs w:val="18"/>
                <w:color w:val="auto"/>
                <w:w w:val="91"/>
              </w:rPr>
              <w:t>July 30, 2022</w:t>
            </w:r>
          </w:p>
        </w:tc>
      </w:tr>
      <w:tr>
        <w:trPr>
          <w:trHeight w:val="34"/>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7440" w:type="dxa"/>
            <w:vAlign w:val="bottom"/>
            <w:shd w:val="clear" w:color="auto" w:fill="CFF0FC"/>
          </w:tcPr>
          <w:p>
            <w:pPr>
              <w:ind w:left="120"/>
              <w:spacing w:after="0" w:line="243" w:lineRule="exact"/>
              <w:rPr>
                <w:sz w:val="20"/>
                <w:szCs w:val="20"/>
                <w:color w:val="auto"/>
              </w:rPr>
            </w:pPr>
            <w:r>
              <w:rPr>
                <w:rFonts w:ascii="Arial" w:cs="Arial" w:eastAsia="Arial" w:hAnsi="Arial"/>
                <w:sz w:val="18"/>
                <w:szCs w:val="18"/>
                <w:color w:val="auto"/>
              </w:rPr>
              <w:t xml:space="preserve">Operating cash flows for operating leases </w:t>
            </w:r>
            <w:r>
              <w:rPr>
                <w:rFonts w:ascii="Arial" w:cs="Arial" w:eastAsia="Arial" w:hAnsi="Arial"/>
                <w:sz w:val="24"/>
                <w:szCs w:val="24"/>
                <w:color w:val="auto"/>
                <w:vertAlign w:val="superscript"/>
              </w:rPr>
              <w:t>(1)</w:t>
            </w:r>
          </w:p>
        </w:tc>
        <w:tc>
          <w:tcPr>
            <w:tcW w:w="5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24,513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28,281</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Non-cash operating activities: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7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5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23,533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14,167</w:t>
            </w:r>
          </w:p>
        </w:tc>
      </w:tr>
      <w:tr>
        <w:trPr>
          <w:trHeight w:val="256"/>
        </w:trPr>
        <w:tc>
          <w:tcPr>
            <w:tcW w:w="74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50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4.4 yrs.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4.4 yrs.</w:t>
            </w: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6.41%</w:t>
            </w:r>
          </w:p>
        </w:tc>
        <w:tc>
          <w:tcPr>
            <w:tcW w:w="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0"/>
              </w:rPr>
              <w:t>6.56%</w:t>
            </w:r>
          </w:p>
        </w:tc>
        <w:tc>
          <w:tcPr>
            <w:tcW w:w="4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cash paid for the first six months of fiscal 2023 and fiscal 2022 included prepaid rent of $3.7 million and $3.6 million,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July 29,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 thousands)</w:t>
            </w:r>
          </w:p>
        </w:tc>
        <w:tc>
          <w:tcPr>
            <w:tcW w:w="34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2023 (remaining)</w:t>
            </w:r>
          </w:p>
        </w:tc>
        <w:tc>
          <w:tcPr>
            <w:tcW w:w="34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21,518</w:t>
            </w:r>
          </w:p>
        </w:tc>
        <w:tc>
          <w:tcPr>
            <w:tcW w:w="100" w:type="dxa"/>
            <w:vAlign w:val="bottom"/>
          </w:tcPr>
          <w:p>
            <w:pPr>
              <w:spacing w:after="0"/>
              <w:rPr>
                <w:sz w:val="20"/>
                <w:szCs w:val="20"/>
                <w:color w:val="auto"/>
              </w:rPr>
            </w:pPr>
          </w:p>
        </w:tc>
      </w:tr>
      <w:tr>
        <w:trPr>
          <w:trHeight w:val="24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4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47,118</w:t>
            </w: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2025</w:t>
            </w:r>
          </w:p>
        </w:tc>
        <w:tc>
          <w:tcPr>
            <w:tcW w:w="3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38,081</w:t>
            </w:r>
          </w:p>
        </w:tc>
        <w:tc>
          <w:tcPr>
            <w:tcW w:w="100" w:type="dxa"/>
            <w:vAlign w:val="bottom"/>
          </w:tcPr>
          <w:p>
            <w:pPr>
              <w:spacing w:after="0"/>
              <w:rPr>
                <w:sz w:val="20"/>
                <w:szCs w:val="20"/>
                <w:color w:val="auto"/>
              </w:rPr>
            </w:pPr>
          </w:p>
        </w:tc>
      </w:tr>
      <w:tr>
        <w:trPr>
          <w:trHeight w:val="24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4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25,440</w:t>
            </w: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2027</w:t>
            </w:r>
          </w:p>
        </w:tc>
        <w:tc>
          <w:tcPr>
            <w:tcW w:w="3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17,863</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34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171,922</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149,634</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Long-term lease obligations</w:t>
            </w:r>
          </w:p>
        </w:tc>
        <w:tc>
          <w:tcPr>
            <w:tcW w:w="34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111,907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-788670</wp:posOffset>
            </wp:positionV>
            <wp:extent cx="6858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2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As of July 29, 2023, the Company had entered into a ten-year store lease that has not yet commenced with aggregated estimated future lease payments of approximately $3.0 million, which are not included in the above table. The lease is expected to commence in the fall of 2023.</w:t>
      </w: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Long-Term Incentive Plans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2020-2022 LTIP</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performance targets for the Company’s 2020-2022 LTIP were approved by the Compensation Committee of the Board of Directors (the "Compensation Committee”) on June 11, 2020, and covered a three-year period performance period, which ended on January 28, 2023. The time-vested portion of the 2020-2022 LTIP vests in four annual installments, with the remaining installment vesting on April 1, 2024.</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6, 2023, the Compensation Committee approved a grant of awards equal to $2.8 million for the achievement of the performance target for the 2020-2022 LTIP. The awards were granted on March 23, 2023, following completion of the audited financial statements, in a combination of 50% cash and 50% restricted stock units ("RSUs"). All awards are subject to further vesting through August 31, 2023. In connection with the grant of 267,219 RSUs, the Company reclassified $1.1 million of its liability accrual from “Accrued expenses and other current liabilities” to “Additional paid-in capital”. See the Consolidated Statement of Changes in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Active LTIPs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July 29, 2023, the Company had three active LTIPs: the 2021-2023 LTIP, the 2022-2024 LTIP and the 2023-2025 LTIP. The time-based awards under the 2021-2023 LTIP were granted in a combination of 25% stock options and 75% cash, and the time-based awards under the 2022-2024 LTIP and the 2023-2025 LTIP were granted in a combination of 50% RSUs and 50% cash.</w:t>
      </w:r>
    </w:p>
    <w:p>
      <w:pPr>
        <w:spacing w:after="0" w:line="7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Performance targets for the 2021-2023 LTIP, 2022-2024 LTIP and the 2023-2025 LITP were established and approved by the Compensation Committee on March 8, 2021, April 9, 2022 and May 1, 2023, respectively. The performance period for each LTIP is three years. Awards for any achievement of performance targets will not be granted until the performance targets are achieved and then will be subject to an additional service requirement through August 31, 2024, August 31, 2025 and August 31, 2026, respectively. The time-based awards under the 2021-2023 LTIP, 2022-2024 LTIP and 2023-2025 LTIP vest in four equal installments through April 1, 2025, April 1, 2026 and April 1, 2027, respectively. Assuming that the Company achieves the performance targets at target levels and all time-based awards vest, the compensation expense associated with the 2021-2023 LTIP, 2022-2024 LTIP and 2023-2025 LTIP is estimated to be approximately $4.1 million, $4.7 million and $4.9 million, respectively. Approximately half of the compensation expense for each LTIP relates to the time-based awards, which are being expensed straight-line over 49 months, 48 months and 47 months, respectively.</w:t>
      </w:r>
    </w:p>
    <w:p>
      <w:pPr>
        <w:spacing w:after="0" w:line="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July 29, 2023, the Company had accrued $2.0 million under the 2021-2023 LTIP and $1.4 million under the 2022-2024 LTIP for the performance awards. At July 29, 2023, the Company had no accrual for the performance-based awards under the 2023-2025 LTIP.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Company has one active stock-based compensation plan: the 2016 Incentive Compensation Plan (as amended,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 additional 1,740,000 shares on August 12, 2020, and an additional 4,855,000 on August 5, 2021. At July 29, 2023, the Company had 3,374,231 shares available under the 2016 Plan.</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July 29, 2023, 90,487 stock options remained outstanding under the 2006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right="22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share activity and stock option activity for the first six months of fiscal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4"/>
                <w:szCs w:val="14"/>
                <w:color w:val="auto"/>
                <w:w w:val="93"/>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rPr>
              <w:t xml:space="preserve">RSUs </w:t>
            </w:r>
            <w:r>
              <w:rPr>
                <w:rFonts w:ascii="Arial" w:cs="Arial" w:eastAsia="Arial" w:hAnsi="Arial"/>
                <w:sz w:val="19"/>
                <w:szCs w:val="19"/>
                <w:color w:val="auto"/>
                <w:vertAlign w:val="superscript"/>
              </w:rPr>
              <w:t>(1)</w:t>
            </w:r>
          </w:p>
        </w:tc>
        <w:tc>
          <w:tcPr>
            <w:tcW w:w="820" w:type="dxa"/>
            <w:vAlign w:val="bottom"/>
          </w:tcPr>
          <w:p>
            <w:pPr>
              <w:jc w:val="right"/>
              <w:ind w:right="75"/>
              <w:spacing w:after="0" w:line="141" w:lineRule="exact"/>
              <w:rPr>
                <w:sz w:val="20"/>
                <w:szCs w:val="20"/>
                <w:color w:val="auto"/>
              </w:rPr>
            </w:pPr>
            <w:r>
              <w:rPr>
                <w:rFonts w:ascii="Arial" w:cs="Arial" w:eastAsia="Arial" w:hAnsi="Arial"/>
                <w:sz w:val="14"/>
                <w:szCs w:val="14"/>
                <w:color w:val="auto"/>
              </w:rPr>
              <w:t>Deferred</w:t>
            </w:r>
          </w:p>
        </w:tc>
        <w:tc>
          <w:tcPr>
            <w:tcW w:w="240" w:type="dxa"/>
            <w:vAlign w:val="bottom"/>
          </w:tcPr>
          <w:p>
            <w:pPr>
              <w:spacing w:after="0"/>
              <w:rPr>
                <w:sz w:val="12"/>
                <w:szCs w:val="12"/>
                <w:color w:val="auto"/>
              </w:rPr>
            </w:pP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w w:val="99"/>
              </w:rPr>
              <w:t>Performance</w:t>
            </w: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Fully-Vested</w:t>
            </w:r>
          </w:p>
        </w:tc>
        <w:tc>
          <w:tcPr>
            <w:tcW w:w="1040" w:type="dxa"/>
            <w:vAlign w:val="bottom"/>
            <w:gridSpan w:val="2"/>
          </w:tcPr>
          <w:p>
            <w:pPr>
              <w:jc w:val="right"/>
              <w:ind w:right="240"/>
              <w:spacing w:after="0" w:line="141" w:lineRule="exact"/>
              <w:rPr>
                <w:sz w:val="20"/>
                <w:szCs w:val="20"/>
                <w:color w:val="auto"/>
              </w:rPr>
            </w:pPr>
            <w:r>
              <w:rPr>
                <w:rFonts w:ascii="Arial" w:cs="Arial" w:eastAsia="Arial" w:hAnsi="Arial"/>
                <w:sz w:val="14"/>
                <w:szCs w:val="14"/>
                <w:color w:val="auto"/>
                <w:w w:val="94"/>
              </w:rPr>
              <w:t>Total number</w:t>
            </w:r>
          </w:p>
        </w:tc>
        <w:tc>
          <w:tcPr>
            <w:tcW w:w="120" w:type="dxa"/>
            <w:vAlign w:val="bottom"/>
          </w:tcPr>
          <w:p>
            <w:pPr>
              <w:spacing w:after="0"/>
              <w:rPr>
                <w:sz w:val="12"/>
                <w:szCs w:val="12"/>
                <w:color w:val="auto"/>
              </w:rPr>
            </w:pPr>
          </w:p>
        </w:tc>
        <w:tc>
          <w:tcPr>
            <w:tcW w:w="780" w:type="dxa"/>
            <w:vAlign w:val="bottom"/>
          </w:tcPr>
          <w:p>
            <w:pPr>
              <w:jc w:val="center"/>
              <w:ind w:right="37"/>
              <w:spacing w:after="0" w:line="141" w:lineRule="exact"/>
              <w:rPr>
                <w:sz w:val="20"/>
                <w:szCs w:val="20"/>
                <w:color w:val="auto"/>
              </w:rPr>
            </w:pPr>
            <w:r>
              <w:rPr>
                <w:rFonts w:ascii="Arial" w:cs="Arial" w:eastAsia="Arial" w:hAnsi="Arial"/>
                <w:sz w:val="14"/>
                <w:szCs w:val="14"/>
                <w:color w:val="auto"/>
                <w:w w:val="90"/>
              </w:rPr>
              <w:t>grant-date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20" w:type="dxa"/>
            <w:vAlign w:val="bottom"/>
          </w:tcPr>
          <w:p>
            <w:pPr>
              <w:jc w:val="right"/>
              <w:ind w:right="75"/>
              <w:spacing w:after="0" w:line="189"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9"/>
                <w:szCs w:val="19"/>
                <w:color w:val="auto"/>
                <w:vertAlign w:val="superscript"/>
              </w:rPr>
              <w:t>(2)</w:t>
            </w:r>
          </w:p>
        </w:tc>
        <w:tc>
          <w:tcPr>
            <w:tcW w:w="24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4"/>
                <w:szCs w:val="14"/>
                <w:color w:val="auto"/>
                <w:w w:val="90"/>
              </w:rPr>
              <w:t xml:space="preserve">Share Units </w:t>
            </w:r>
            <w:r>
              <w:rPr>
                <w:rFonts w:ascii="Arial" w:cs="Arial" w:eastAsia="Arial" w:hAnsi="Arial"/>
                <w:sz w:val="19"/>
                <w:szCs w:val="19"/>
                <w:color w:val="auto"/>
                <w:w w:val="90"/>
                <w:vertAlign w:val="superscript"/>
              </w:rPr>
              <w:t>(3)</w:t>
            </w:r>
          </w:p>
        </w:tc>
        <w:tc>
          <w:tcPr>
            <w:tcW w:w="1120" w:type="dxa"/>
            <w:vAlign w:val="bottom"/>
            <w:gridSpan w:val="2"/>
          </w:tcPr>
          <w:p>
            <w:pPr>
              <w:jc w:val="right"/>
              <w:ind w:right="380"/>
              <w:spacing w:after="0" w:line="189"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9"/>
                <w:szCs w:val="19"/>
                <w:color w:val="auto"/>
                <w:vertAlign w:val="superscript"/>
              </w:rPr>
              <w:t>(4)</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of shares</w:t>
            </w:r>
          </w:p>
        </w:tc>
        <w:tc>
          <w:tcPr>
            <w:tcW w:w="12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non-vested shares at beginning of year</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520,008</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435,568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240,000</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Shares 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547,294</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11,924</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559,218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vested and/or issued</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(251,053 )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(11,924 )</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(262,977 )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Shares expired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(240,000 )</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(240,000 )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forfeited</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(50,612 )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(50,612 )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1,201,20</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0"/>
              <w:spacing w:after="0"/>
              <w:rPr>
                <w:sz w:val="20"/>
                <w:szCs w:val="20"/>
                <w:color w:val="auto"/>
              </w:rPr>
            </w:pPr>
            <w:r>
              <w:rPr>
                <w:rFonts w:ascii="Arial" w:cs="Arial" w:eastAsia="Arial" w:hAnsi="Arial"/>
                <w:sz w:val="18"/>
                <w:szCs w:val="18"/>
                <w:color w:val="auto"/>
              </w:rPr>
              <w:t>Outstanding non-vested shares at end of quarter</w:t>
            </w:r>
          </w:p>
        </w:tc>
        <w:tc>
          <w:tcPr>
            <w:tcW w:w="940" w:type="dxa"/>
            <w:vAlign w:val="bottom"/>
          </w:tcPr>
          <w:p>
            <w:pPr>
              <w:jc w:val="right"/>
              <w:spacing w:after="0"/>
              <w:rPr>
                <w:sz w:val="20"/>
                <w:szCs w:val="20"/>
                <w:color w:val="auto"/>
              </w:rPr>
            </w:pPr>
            <w:r>
              <w:rPr>
                <w:rFonts w:ascii="Arial" w:cs="Arial" w:eastAsia="Arial" w:hAnsi="Arial"/>
                <w:sz w:val="18"/>
                <w:szCs w:val="18"/>
                <w:color w:val="auto"/>
              </w:rPr>
              <w:t>765,637</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435,568</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-290830</wp:posOffset>
            </wp:positionV>
            <wp:extent cx="77470"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-290830</wp:posOffset>
            </wp:positionV>
            <wp:extent cx="76835" cy="300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-290830</wp:posOffset>
            </wp:positionV>
            <wp:extent cx="68580" cy="300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-290830</wp:posOffset>
            </wp:positionV>
            <wp:extent cx="68580" cy="3003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-290830</wp:posOffset>
            </wp:positionV>
            <wp:extent cx="68580" cy="3003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222" w:lineRule="exact"/>
        <w:rPr>
          <w:sz w:val="20"/>
          <w:szCs w:val="20"/>
          <w:color w:val="auto"/>
        </w:rPr>
      </w:pPr>
    </w:p>
    <w:p>
      <w:pPr>
        <w:jc w:val="both"/>
        <w:ind w:left="760" w:hanging="378"/>
        <w:spacing w:after="0" w:line="311"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During the first six months of fiscal 2023, the Company granted RSUs for the achievement of performance metrics under the 2020-2022 LTIP that are subject to additional vesting through August 31, 2023 and time-based RSUs under its 2023-2025 LTIP. See Note 5, </w:t>
      </w:r>
      <w:r>
        <w:rPr>
          <w:rFonts w:ascii="Arial" w:cs="Arial" w:eastAsia="Arial" w:hAnsi="Arial"/>
          <w:sz w:val="16"/>
          <w:szCs w:val="16"/>
          <w:i w:val="1"/>
          <w:iCs w:val="1"/>
          <w:color w:val="auto"/>
        </w:rPr>
        <w:t>Long-Term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As a result of net share settlements, of the 251,053 RSUs that vested, only 169,825 shares of common stock were issued.</w:t>
      </w:r>
    </w:p>
    <w:p>
      <w:pPr>
        <w:spacing w:after="0" w:line="40" w:lineRule="exact"/>
        <w:rPr>
          <w:rFonts w:ascii="Arial" w:cs="Arial" w:eastAsia="Arial" w:hAnsi="Arial"/>
          <w:sz w:val="16"/>
          <w:szCs w:val="16"/>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outstanding deferred shares will be issued upon the director’s separation from service.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Represented the remaining performance share units (“PSUs”) granted to Mr. Kanter in February 2019 which expired unvested on April 1, 2023.</w:t>
      </w:r>
    </w:p>
    <w:p>
      <w:pPr>
        <w:spacing w:after="0" w:line="140"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Represented compensation, with a fair value of $60,746, to certain directors, who are required to receive shares, in lieu of cash, in order to satisfy their minimum equity ownership under the Non-Employee Director Compensation Plan. Voluntary shares received, in lieu of cash, are reported below under </w:t>
      </w:r>
      <w:r>
        <w:rPr>
          <w:rFonts w:ascii="Arial" w:cs="Arial" w:eastAsia="Arial" w:hAnsi="Arial"/>
          <w:sz w:val="18"/>
          <w:szCs w:val="18"/>
          <w:i w:val="1"/>
          <w:iCs w:val="1"/>
          <w:color w:val="auto"/>
        </w:rPr>
        <w:t>Non-Employee Director Compensation Plan</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
              <w:spacing w:after="0"/>
              <w:rPr>
                <w:sz w:val="20"/>
                <w:szCs w:val="20"/>
                <w:color w:val="auto"/>
              </w:rPr>
            </w:pPr>
            <w:r>
              <w:rPr>
                <w:rFonts w:ascii="Arial" w:cs="Arial" w:eastAsia="Arial" w:hAnsi="Arial"/>
                <w:sz w:val="14"/>
                <w:szCs w:val="14"/>
                <w:color w:val="auto"/>
                <w:w w:val="93"/>
              </w:rPr>
              <w:t>Weighted-</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86"/>
              </w:rPr>
              <w:t>average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20" w:type="dxa"/>
            <w:vAlign w:val="bottom"/>
          </w:tcPr>
          <w:p>
            <w:pPr>
              <w:spacing w:after="0"/>
              <w:rPr>
                <w:sz w:val="12"/>
                <w:szCs w:val="12"/>
                <w:color w:val="auto"/>
              </w:rPr>
            </w:pPr>
          </w:p>
        </w:tc>
        <w:tc>
          <w:tcPr>
            <w:tcW w:w="14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2"/>
              </w:rPr>
              <w:t>exercise price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195"/>
              <w:spacing w:after="0" w:line="149" w:lineRule="exact"/>
              <w:rPr>
                <w:sz w:val="20"/>
                <w:szCs w:val="20"/>
                <w:color w:val="auto"/>
              </w:rPr>
            </w:pPr>
            <w:r>
              <w:rPr>
                <w:rFonts w:ascii="Arial" w:cs="Arial" w:eastAsia="Arial" w:hAnsi="Arial"/>
                <w:sz w:val="14"/>
                <w:szCs w:val="14"/>
                <w:color w:val="auto"/>
              </w:rPr>
              <w:t>Aggregate</w:t>
            </w:r>
          </w:p>
        </w:tc>
        <w:tc>
          <w:tcPr>
            <w:tcW w:w="100" w:type="dxa"/>
            <w:vAlign w:val="bottom"/>
          </w:tcPr>
          <w:p>
            <w:pPr>
              <w:spacing w:after="0"/>
              <w:rPr>
                <w:sz w:val="12"/>
                <w:szCs w:val="12"/>
                <w:color w:val="auto"/>
              </w:rPr>
            </w:pPr>
          </w:p>
        </w:tc>
      </w:tr>
      <w:tr>
        <w:trPr>
          <w:trHeight w:val="181"/>
        </w:trPr>
        <w:tc>
          <w:tcPr>
            <w:tcW w:w="5920" w:type="dxa"/>
            <w:vAlign w:val="bottom"/>
          </w:tcPr>
          <w:p>
            <w:pPr>
              <w:spacing w:after="0"/>
              <w:rPr>
                <w:sz w:val="15"/>
                <w:szCs w:val="15"/>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940" w:type="dxa"/>
            <w:vAlign w:val="bottom"/>
          </w:tcPr>
          <w:p>
            <w:pPr>
              <w:jc w:val="center"/>
              <w:ind w:right="17"/>
              <w:spacing w:after="0"/>
              <w:rPr>
                <w:sz w:val="20"/>
                <w:szCs w:val="20"/>
                <w:color w:val="auto"/>
              </w:rPr>
            </w:pPr>
            <w:r>
              <w:rPr>
                <w:rFonts w:ascii="Arial" w:cs="Arial" w:eastAsia="Arial" w:hAnsi="Arial"/>
                <w:sz w:val="14"/>
                <w:szCs w:val="14"/>
                <w:color w:val="auto"/>
                <w:w w:val="96"/>
              </w:rPr>
              <w:t>per option</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color w:val="auto"/>
                <w:w w:val="99"/>
              </w:rPr>
              <w:t>intrinsic value</w:t>
            </w:r>
          </w:p>
        </w:tc>
        <w:tc>
          <w:tcPr>
            <w:tcW w:w="100" w:type="dxa"/>
            <w:vAlign w:val="bottom"/>
          </w:tcPr>
          <w:p>
            <w:pPr>
              <w:spacing w:after="0"/>
              <w:rPr>
                <w:sz w:val="15"/>
                <w:szCs w:val="15"/>
                <w:color w:val="auto"/>
              </w:rPr>
            </w:pPr>
          </w:p>
        </w:tc>
      </w:tr>
      <w:tr>
        <w:trPr>
          <w:trHeight w:val="23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 Options</w:t>
            </w:r>
          </w:p>
        </w:tc>
        <w:tc>
          <w:tcPr>
            <w:tcW w:w="11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920" w:type="dxa"/>
            <w:vAlign w:val="bottom"/>
          </w:tcPr>
          <w:p>
            <w:pPr>
              <w:ind w:left="200"/>
              <w:spacing w:after="0"/>
              <w:rPr>
                <w:sz w:val="20"/>
                <w:szCs w:val="20"/>
                <w:color w:val="auto"/>
              </w:rPr>
            </w:pPr>
            <w:r>
              <w:rPr>
                <w:rFonts w:ascii="Arial" w:cs="Arial" w:eastAsia="Arial" w:hAnsi="Arial"/>
                <w:sz w:val="18"/>
                <w:szCs w:val="18"/>
                <w:color w:val="auto"/>
              </w:rPr>
              <w:t>Outstanding options at beginning of year</w:t>
            </w:r>
          </w:p>
        </w:tc>
        <w:tc>
          <w:tcPr>
            <w:tcW w:w="1180" w:type="dxa"/>
            <w:vAlign w:val="bottom"/>
          </w:tcPr>
          <w:p>
            <w:pPr>
              <w:jc w:val="right"/>
              <w:spacing w:after="0"/>
              <w:rPr>
                <w:sz w:val="20"/>
                <w:szCs w:val="20"/>
                <w:color w:val="auto"/>
              </w:rPr>
            </w:pPr>
            <w:r>
              <w:rPr>
                <w:rFonts w:ascii="Arial" w:cs="Arial" w:eastAsia="Arial" w:hAnsi="Arial"/>
                <w:sz w:val="18"/>
                <w:szCs w:val="18"/>
                <w:color w:val="auto"/>
              </w:rPr>
              <w:t>3,556,434</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 years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23,238,665</w:t>
            </w:r>
          </w:p>
        </w:tc>
        <w:tc>
          <w:tcPr>
            <w:tcW w:w="100" w:type="dxa"/>
            <w:vAlign w:val="bottom"/>
          </w:tcPr>
          <w:p>
            <w:pPr>
              <w:spacing w:after="0"/>
              <w:rPr>
                <w:sz w:val="20"/>
                <w:szCs w:val="20"/>
                <w:color w:val="auto"/>
              </w:rPr>
            </w:pPr>
          </w:p>
        </w:tc>
      </w:tr>
      <w:tr>
        <w:trPr>
          <w:trHeight w:val="249"/>
        </w:trPr>
        <w:tc>
          <w:tcPr>
            <w:tcW w:w="5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granted</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92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(165,878 )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567,537</w:t>
            </w:r>
          </w:p>
        </w:tc>
        <w:tc>
          <w:tcPr>
            <w:tcW w:w="100" w:type="dxa"/>
            <w:vAlign w:val="bottom"/>
          </w:tcPr>
          <w:p>
            <w:pPr>
              <w:spacing w:after="0"/>
              <w:rPr>
                <w:sz w:val="20"/>
                <w:szCs w:val="20"/>
                <w:color w:val="auto"/>
              </w:rPr>
            </w:pPr>
          </w:p>
        </w:tc>
      </w:tr>
      <w:tr>
        <w:trPr>
          <w:trHeight w:val="249"/>
        </w:trPr>
        <w:tc>
          <w:tcPr>
            <w:tcW w:w="5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expired and canceled</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(31,007 )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49,037</w:t>
            </w:r>
          </w:p>
        </w:tc>
        <w:tc>
          <w:tcPr>
            <w:tcW w:w="100" w:type="dxa"/>
            <w:vAlign w:val="bottom"/>
            <w:shd w:val="clear" w:color="auto" w:fill="CFF0FC"/>
          </w:tcPr>
          <w:p>
            <w:pPr>
              <w:spacing w:after="0"/>
              <w:rPr>
                <w:sz w:val="21"/>
                <w:szCs w:val="21"/>
                <w:color w:val="auto"/>
              </w:rPr>
            </w:pPr>
          </w:p>
        </w:tc>
      </w:tr>
      <w:tr>
        <w:trPr>
          <w:trHeight w:val="230"/>
        </w:trPr>
        <w:tc>
          <w:tcPr>
            <w:tcW w:w="59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Outstanding options at end of quarter</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3,360,866</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20" w:type="dxa"/>
            <w:vAlign w:val="bottom"/>
            <w:tcBorders>
              <w:top w:val="single" w:sz="8" w:color="CFF0FC"/>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 years</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14,904,397</w:t>
            </w:r>
          </w:p>
        </w:tc>
        <w:tc>
          <w:tcPr>
            <w:tcW w:w="100" w:type="dxa"/>
            <w:vAlign w:val="bottom"/>
            <w:tcBorders>
              <w:top w:val="single" w:sz="8" w:color="CFF0FC"/>
            </w:tcBorders>
          </w:tcPr>
          <w:p>
            <w:pPr>
              <w:spacing w:after="0"/>
              <w:rPr>
                <w:sz w:val="20"/>
                <w:szCs w:val="20"/>
                <w:color w:val="auto"/>
              </w:rPr>
            </w:pPr>
          </w:p>
        </w:tc>
      </w:tr>
      <w:tr>
        <w:trPr>
          <w:trHeight w:val="249"/>
        </w:trPr>
        <w:tc>
          <w:tcPr>
            <w:tcW w:w="5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exercisable at end of quarter</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2,102,251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 years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9,216,556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-316865</wp:posOffset>
            </wp:positionV>
            <wp:extent cx="7683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-316865</wp:posOffset>
            </wp:positionV>
            <wp:extent cx="685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-316865</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six months of fiscal 2023, the Company granted stock options to purchase an aggregate of 1,317 shares of common stock, 547,294 restricted stock units and 11,924 fully-vested shares. For the first six months of fiscal 2022, the Company granted stock options to purchase an aggregate of 3,640 shares of common stock, 496,467 restricted stock units and 17,532 fully-vested shares.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the end of the second quarter of fiscal 2023, on August 11, 2023, in connection with the extension of Mr. Kanter's employment agreement, the Company granted 573,000 PSUs to Mr. Kanter. The award consists of nine tranches, with the first tranche vesting if and when the 30-day volume-weighted closing price of the Company's common stock is equal to or greater than $6.50 per share. Each subsequent tranche will vest in $0.25 increments with the ninth tranche vesting when the 30-day volume-weighted closing price of the Company common stock is equal to or greater than $8.50 per share. The PSUs are subject to a one-year minimum vesting period, and any unvested PSUs will expire on August 11, 2026.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granted 28,349 shares of common stock, with a fair value of approximately $159,357, to certain of its non-employee directors as compensation in lieu of cash in the first six months of fiscal 2023.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total stock-based compensation expense of $0.8 million for the first six months of both fiscal 2023 and fiscal 2022. The total compensation cost related to time-vested stock options and RSU awards not yet recognized as of July 29, 2023 was approximately $2.5 million, net of estimated forfeitures, which will be expensed over a weighted average remaining life of 34 months.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2600" w:type="dxa"/>
            <w:vAlign w:val="bottom"/>
            <w:gridSpan w:val="3"/>
          </w:tcPr>
          <w:p>
            <w:pPr>
              <w:jc w:val="right"/>
              <w:ind w:right="439"/>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5"/>
                <w:szCs w:val="15"/>
                <w:color w:val="auto"/>
              </w:rPr>
            </w:pPr>
          </w:p>
        </w:tc>
        <w:tc>
          <w:tcPr>
            <w:tcW w:w="2540" w:type="dxa"/>
            <w:vAlign w:val="bottom"/>
            <w:gridSpan w:val="3"/>
          </w:tcPr>
          <w:p>
            <w:pPr>
              <w:jc w:val="right"/>
              <w:ind w:right="459"/>
              <w:spacing w:after="0"/>
              <w:rPr>
                <w:sz w:val="20"/>
                <w:szCs w:val="20"/>
                <w:color w:val="auto"/>
              </w:rPr>
            </w:pPr>
            <w:r>
              <w:rPr>
                <w:rFonts w:ascii="Arial" w:cs="Arial" w:eastAsia="Arial" w:hAnsi="Arial"/>
                <w:sz w:val="14"/>
                <w:szCs w:val="14"/>
                <w:color w:val="auto"/>
              </w:rPr>
              <w:t>For the 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July 29, 2023</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July 30, 2022</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July 29, 2023</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July 30,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200" w:type="dxa"/>
            <w:vAlign w:val="bottom"/>
          </w:tcPr>
          <w:p>
            <w:pPr>
              <w:jc w:val="right"/>
              <w:spacing w:after="0"/>
              <w:rPr>
                <w:sz w:val="20"/>
                <w:szCs w:val="20"/>
                <w:color w:val="auto"/>
              </w:rPr>
            </w:pPr>
            <w:r>
              <w:rPr>
                <w:rFonts w:ascii="Arial" w:cs="Arial" w:eastAsia="Arial" w:hAnsi="Arial"/>
                <w:sz w:val="18"/>
                <w:szCs w:val="18"/>
                <w:color w:val="auto"/>
              </w:rPr>
              <w:t>61,977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62,688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62,334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w w:val="98"/>
              </w:rPr>
              <w:t>Common stock equivalents – stock options, restricted stock</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200" w:type="dxa"/>
            <w:vAlign w:val="bottom"/>
            <w:vMerge w:val="restart"/>
            <w:shd w:val="clear" w:color="auto" w:fill="CFF0FC"/>
          </w:tcPr>
          <w:p>
            <w:pPr>
              <w:spacing w:after="0"/>
              <w:rPr>
                <w:sz w:val="19"/>
                <w:szCs w:val="1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3,982</w:t>
            </w:r>
          </w:p>
        </w:tc>
        <w:tc>
          <w:tcPr>
            <w:tcW w:w="200" w:type="dxa"/>
            <w:vAlign w:val="bottom"/>
            <w:vMerge w:val="restart"/>
            <w:shd w:val="clear" w:color="auto" w:fill="CFF0FC"/>
          </w:tcPr>
          <w:p>
            <w:pPr>
              <w:spacing w:after="0"/>
              <w:rPr>
                <w:sz w:val="19"/>
                <w:szCs w:val="19"/>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200" w:type="dxa"/>
            <w:vAlign w:val="bottom"/>
            <w:vMerge w:val="restart"/>
            <w:shd w:val="clear" w:color="auto" w:fill="CFF0FC"/>
          </w:tcPr>
          <w:p>
            <w:pPr>
              <w:spacing w:after="0"/>
              <w:rPr>
                <w:sz w:val="19"/>
                <w:szCs w:val="19"/>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units and deferred stock</w:t>
            </w: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200" w:type="dxa"/>
            <w:vAlign w:val="bottom"/>
          </w:tcPr>
          <w:p>
            <w:pPr>
              <w:jc w:val="right"/>
              <w:spacing w:after="0"/>
              <w:rPr>
                <w:sz w:val="20"/>
                <w:szCs w:val="20"/>
                <w:color w:val="auto"/>
              </w:rPr>
            </w:pPr>
            <w:r>
              <w:rPr>
                <w:rFonts w:ascii="Arial" w:cs="Arial" w:eastAsia="Arial" w:hAnsi="Arial"/>
                <w:sz w:val="18"/>
                <w:szCs w:val="18"/>
                <w:color w:val="auto"/>
              </w:rPr>
              <w:t>65,449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66,670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65,829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67,519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-154305</wp:posOffset>
            </wp:positionV>
            <wp:extent cx="685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-154305</wp:posOffset>
            </wp:positionV>
            <wp:extent cx="6858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-154305</wp:posOffset>
            </wp:positionV>
            <wp:extent cx="60325"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-154305</wp:posOffset>
            </wp:positionV>
            <wp:extent cx="60325"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63195"/>
                    </a:xfrm>
                    <a:prstGeom prst="rect">
                      <a:avLst/>
                    </a:prstGeom>
                    <a:noFill/>
                  </pic:spPr>
                </pic:pic>
              </a:graphicData>
            </a:graphic>
          </wp:anchor>
        </w:drawing>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or restricted stock units had an anti-dilutive effect.</w:t>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2680" w:type="dxa"/>
            <w:vAlign w:val="bottom"/>
            <w:gridSpan w:val="3"/>
          </w:tcPr>
          <w:p>
            <w:pPr>
              <w:jc w:val="right"/>
              <w:ind w:right="488"/>
              <w:spacing w:after="0"/>
              <w:rPr>
                <w:sz w:val="20"/>
                <w:szCs w:val="20"/>
                <w:color w:val="auto"/>
              </w:rPr>
            </w:pPr>
            <w:r>
              <w:rPr>
                <w:rFonts w:ascii="Arial" w:cs="Arial" w:eastAsia="Arial" w:hAnsi="Arial"/>
                <w:sz w:val="14"/>
                <w:szCs w:val="14"/>
                <w:color w:val="auto"/>
              </w:rPr>
              <w:t>For the three months ended</w:t>
            </w:r>
          </w:p>
        </w:tc>
        <w:tc>
          <w:tcPr>
            <w:tcW w:w="220" w:type="dxa"/>
            <w:vAlign w:val="bottom"/>
          </w:tcPr>
          <w:p>
            <w:pPr>
              <w:spacing w:after="0"/>
              <w:rPr>
                <w:sz w:val="15"/>
                <w:szCs w:val="15"/>
                <w:color w:val="auto"/>
              </w:rPr>
            </w:pPr>
          </w:p>
        </w:tc>
        <w:tc>
          <w:tcPr>
            <w:tcW w:w="2620" w:type="dxa"/>
            <w:vAlign w:val="bottom"/>
            <w:gridSpan w:val="3"/>
          </w:tcPr>
          <w:p>
            <w:pPr>
              <w:jc w:val="right"/>
              <w:ind w:right="528"/>
              <w:spacing w:after="0"/>
              <w:rPr>
                <w:sz w:val="20"/>
                <w:szCs w:val="20"/>
                <w:color w:val="auto"/>
              </w:rPr>
            </w:pPr>
            <w:r>
              <w:rPr>
                <w:rFonts w:ascii="Arial" w:cs="Arial" w:eastAsia="Arial" w:hAnsi="Arial"/>
                <w:sz w:val="14"/>
                <w:szCs w:val="14"/>
                <w:color w:val="auto"/>
              </w:rPr>
              <w:t>For the six months ended</w:t>
            </w:r>
          </w:p>
        </w:tc>
        <w:tc>
          <w:tcPr>
            <w:tcW w:w="80" w:type="dxa"/>
            <w:vAlign w:val="bottom"/>
          </w:tcPr>
          <w:p>
            <w:pPr>
              <w:spacing w:after="0"/>
              <w:rPr>
                <w:sz w:val="15"/>
                <w:szCs w:val="15"/>
                <w:color w:val="auto"/>
              </w:rPr>
            </w:pPr>
          </w:p>
        </w:tc>
      </w:tr>
      <w:tr>
        <w:trPr>
          <w:trHeight w:val="181"/>
        </w:trPr>
        <w:tc>
          <w:tcPr>
            <w:tcW w:w="4820" w:type="dxa"/>
            <w:vAlign w:val="bottom"/>
          </w:tcPr>
          <w:p>
            <w:pPr>
              <w:spacing w:after="0"/>
              <w:rPr>
                <w:sz w:val="15"/>
                <w:szCs w:val="15"/>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July 29, 2023</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July 30, 2022</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July 29, 2023</w:t>
            </w:r>
          </w:p>
        </w:tc>
        <w:tc>
          <w:tcPr>
            <w:tcW w:w="180" w:type="dxa"/>
            <w:vAlign w:val="bottom"/>
          </w:tcPr>
          <w:p>
            <w:pPr>
              <w:spacing w:after="0"/>
              <w:rPr>
                <w:sz w:val="15"/>
                <w:szCs w:val="15"/>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July 30, 2022</w:t>
            </w:r>
          </w:p>
        </w:tc>
        <w:tc>
          <w:tcPr>
            <w:tcW w:w="80" w:type="dxa"/>
            <w:vAlign w:val="bottom"/>
          </w:tcPr>
          <w:p>
            <w:pPr>
              <w:spacing w:after="0"/>
              <w:rPr>
                <w:sz w:val="15"/>
                <w:szCs w:val="15"/>
                <w:color w:val="auto"/>
              </w:rPr>
            </w:pPr>
          </w:p>
        </w:tc>
      </w:tr>
      <w:tr>
        <w:trPr>
          <w:trHeight w:val="183"/>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FF0FC"/>
          </w:tcPr>
          <w:p>
            <w:pPr>
              <w:spacing w:after="0"/>
              <w:rPr>
                <w:sz w:val="21"/>
                <w:szCs w:val="2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179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20"/>
                <w:szCs w:val="20"/>
                <w:color w:val="auto"/>
              </w:rPr>
            </w:pP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Range of exercise prices of such options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$4.48-$6.59</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$4.48 - $5.50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$4.48 - $6.59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$4.48 - $5.50</w:t>
            </w:r>
          </w:p>
        </w:tc>
        <w:tc>
          <w:tcPr>
            <w:tcW w:w="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July 29, 2023, expire from January 29, 2024 to March 20, 2033.</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stock of 435,568 shares at July 29, 2023 and at July 30, 2022 was excluded from the computation of basic earnings per share. Shares of deferred stock are not considered issued and outstanding until the vesting date of the deferral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 Program</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March 14, 2023, the Company's Board of Directors approved a stock repurchase program, effective March 16, 2023. Under the program, the Company is authorized to repurchase up to $15.0 million of its common stock, including excise tax, through open market and privately negotiated transactions. The timing and the amount of any repurchases of common stock will be determined based on the Company’s evaluation of market conditions and other factors. The stock repurchase program will expire on March 16, 2024, but may be suspended, terminated or modified at any time for any reason. The Company expects to finance the repurchases from cash generated from operations.</w:t>
      </w:r>
    </w:p>
    <w:p>
      <w:pPr>
        <w:spacing w:after="0" w:line="8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the second quarter of fiscal 2023, the Company repurchased 2.2 million shares at an aggregate cost of $10.8 million, excluding excise taxes. The Inflation Reduction Act of 2022 imposed a nondeductible 1% excise tax on the net value of certain share repurchases made after December 31, 2022. Beginning in fiscal year 2023, the applicable excise tax is being charged to additional paid-in capital in the Company's Consolidated Balance Sheet as part of the cost basis of the shares repurchased, with the corresponding liability for the excise tax payable recorded in accrued expenses and other current liabilities. This liability is partially offset by a 1% credit permitted under the rules for the fair value of shares issued by the Company. For the six months ended July 29, 2023, the Company has accrued $0.1 million for the payment of excise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second quarter of fiscal 2022, the Company determined that it was more likely than not that it would be able to realize the benefits of substantially all of its deferred tax assets in the United States. Accordingly, in the second quarter of fiscal 2022, the Company released substantially all of its deferred tax valuation allowance. As a result of the valuation allowance being released, the Company returned to a normal tax provision for fiscal 2023.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and first six months of fiscal 2023, the Company’s effective tax rate was 26.4% and 26.5%, respectively.</w:t>
      </w:r>
    </w:p>
    <w:p>
      <w:pPr>
        <w:spacing w:after="0" w:line="117" w:lineRule="exact"/>
        <w:rPr>
          <w:sz w:val="20"/>
          <w:szCs w:val="20"/>
          <w:color w:val="auto"/>
        </w:rPr>
      </w:pPr>
    </w:p>
    <w:p>
      <w:pPr>
        <w:ind w:right="640"/>
        <w:spacing w:after="0" w:line="255" w:lineRule="auto"/>
        <w:rPr>
          <w:sz w:val="20"/>
          <w:szCs w:val="20"/>
          <w:color w:val="auto"/>
        </w:rPr>
      </w:pPr>
      <w:r>
        <w:rPr>
          <w:rFonts w:ascii="Arial" w:cs="Arial" w:eastAsia="Arial" w:hAnsi="Arial"/>
          <w:sz w:val="18"/>
          <w:szCs w:val="18"/>
          <w:color w:val="auto"/>
        </w:rPr>
        <w:t>During the second quarter and first six months of fiscal 2022, the Company recorded an income tax benefit of $35.1 million and $35.0 million, respectively. Excluding the release of $35.5 million in valuation allowance, the Company recorded income tax expense of $408,000 and $511,000, respectively, primarily related to income tax in states where NOL usage was statutorily limited.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The Company made tax payments of $0.3 million for the first six months of fiscal 2023, and no tax payments for the first six months of fiscal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Termination of Noncontributory Pension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acquisition of Casual Male Corp.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 2023, the Audit Committee approved the termination of the Pension Plan, which was then approved and ratified by the Board of Directors on May 4, 2023 with a final termination approval on June 8, 2023. On July 1, 2023, the Company completed a partial settlement through the purchase of nonparticipating annuities. The Company made a cash contribution during the first six months of fiscal 2023 of $1.6 million. The remaining pension liability, net of plan assets, at July 29, 2023 is approximately $0.2 million. The remaining plan assets are invested in short-term investments and cash equivalents.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fiscal 2023, the Company recognized a charge of $4.2 million, representing a pro-rata portion of the unrealized loss in "Accumulated Other Comprehensive Loss" on the Consolidated Balance Sheet. The Company expects to settle the remaining obligation and terminate the Pension Plan by the end of fiscal 2023, at which time the Company will recognize the remaining unrealized loss that is part of "Accumulated Other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for the three and six months ended July 29, 2023 and July 30, 2022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gridSpan w:val="6"/>
          </w:tcPr>
          <w:p>
            <w:pPr>
              <w:jc w:val="right"/>
              <w:ind w:right="580"/>
              <w:spacing w:after="0"/>
              <w:rPr>
                <w:sz w:val="20"/>
                <w:szCs w:val="20"/>
                <w:color w:val="auto"/>
              </w:rPr>
            </w:pPr>
            <w:r>
              <w:rPr>
                <w:rFonts w:ascii="Arial" w:cs="Arial" w:eastAsia="Arial" w:hAnsi="Arial"/>
                <w:sz w:val="16"/>
                <w:szCs w:val="16"/>
                <w:color w:val="auto"/>
              </w:rPr>
              <w:t>For the three months ended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gridSpan w:val="7"/>
          </w:tcPr>
          <w:p>
            <w:pPr>
              <w:jc w:val="right"/>
              <w:ind w:right="660"/>
              <w:spacing w:after="0"/>
              <w:rPr>
                <w:sz w:val="20"/>
                <w:szCs w:val="20"/>
                <w:color w:val="auto"/>
              </w:rPr>
            </w:pPr>
            <w:r>
              <w:rPr>
                <w:rFonts w:ascii="Arial" w:cs="Arial" w:eastAsia="Arial" w:hAnsi="Arial"/>
                <w:sz w:val="16"/>
                <w:szCs w:val="16"/>
                <w:color w:val="auto"/>
                <w:w w:val="91"/>
              </w:rPr>
              <w:t>For the six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July 29, 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color w:val="auto"/>
                <w:w w:val="98"/>
              </w:rPr>
              <w:t>July 30. 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w w:val="98"/>
              </w:rPr>
              <w:t>July 29, 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w w:val="98"/>
              </w:rPr>
              <w:t>July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8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89"/>
              </w:rPr>
              <w:t>Net periodic pension cost:</w:t>
            </w:r>
          </w:p>
        </w:tc>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8"/>
          </w:tcPr>
          <w:p>
            <w:pPr>
              <w:jc w:val="right"/>
              <w:ind w:right="1148"/>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3"/>
                <w:szCs w:val="2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(160 )</w:t>
            </w:r>
          </w:p>
        </w:tc>
        <w:tc>
          <w:tcPr>
            <w:tcW w:w="18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(178 )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4"/>
            <w:shd w:val="clear" w:color="auto" w:fill="CFF0FC"/>
          </w:tcPr>
          <w:p>
            <w:pPr>
              <w:jc w:val="right"/>
              <w:ind w:right="108"/>
              <w:spacing w:after="0"/>
              <w:rPr>
                <w:sz w:val="20"/>
                <w:szCs w:val="20"/>
                <w:color w:val="auto"/>
              </w:rPr>
            </w:pPr>
            <w:r>
              <w:rPr>
                <w:rFonts w:ascii="Arial" w:cs="Arial" w:eastAsia="Arial" w:hAnsi="Arial"/>
                <w:sz w:val="18"/>
                <w:szCs w:val="18"/>
                <w:color w:val="auto"/>
              </w:rPr>
              <w:t>(300 )</w:t>
            </w:r>
          </w:p>
        </w:tc>
        <w:tc>
          <w:tcPr>
            <w:tcW w:w="18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37"/>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Amortization of unrecognized loss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Loss on pension plan termination</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4,174</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Net periodic pension cost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4,208</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(8 )</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4,266</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Assumptions used were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3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6"/>
          </w:tcPr>
          <w:p>
            <w:pPr>
              <w:jc w:val="right"/>
              <w:spacing w:after="0"/>
              <w:rPr>
                <w:sz w:val="20"/>
                <w:szCs w:val="20"/>
                <w:color w:val="auto"/>
              </w:rPr>
            </w:pPr>
            <w:r>
              <w:rPr>
                <w:rFonts w:ascii="Arial" w:cs="Arial" w:eastAsia="Arial" w:hAnsi="Arial"/>
                <w:sz w:val="16"/>
                <w:szCs w:val="16"/>
                <w:color w:val="auto"/>
                <w:w w:val="90"/>
              </w:rPr>
              <w:t>For the six months ended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4"/>
                <w:szCs w:val="14"/>
                <w:color w:val="auto"/>
              </w:rPr>
              <w:t>July 29, 2023</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gridSpan w:val="5"/>
          </w:tcPr>
          <w:p>
            <w:pPr>
              <w:jc w:val="right"/>
              <w:ind w:right="820"/>
              <w:spacing w:after="0"/>
              <w:rPr>
                <w:sz w:val="20"/>
                <w:szCs w:val="20"/>
                <w:color w:val="auto"/>
              </w:rPr>
            </w:pPr>
            <w:r>
              <w:rPr>
                <w:rFonts w:ascii="Arial" w:cs="Arial" w:eastAsia="Arial" w:hAnsi="Arial"/>
                <w:sz w:val="14"/>
                <w:szCs w:val="14"/>
                <w:color w:val="auto"/>
                <w:w w:val="91"/>
              </w:rPr>
              <w:t>July 30. 2022</w:t>
            </w: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Discount rate</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-1310640</wp:posOffset>
            </wp:positionV>
            <wp:extent cx="7747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-1310640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-1310640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 July 29, 2023 and January 28, 2023, the Company held U.S. treasury bills which were classified as held-to maturity and carried at amortized cost.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Fair Value</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Quoted Prices</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6"/>
              </w:rPr>
              <w:t>in Active</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Markets for</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500" w:type="dxa"/>
            <w:vAlign w:val="bottom"/>
          </w:tcPr>
          <w:p>
            <w:pPr>
              <w:ind w:left="320"/>
              <w:spacing w:after="0"/>
              <w:rPr>
                <w:sz w:val="20"/>
                <w:szCs w:val="20"/>
                <w:color w:val="auto"/>
              </w:rPr>
            </w:pPr>
            <w:r>
              <w:rPr>
                <w:rFonts w:ascii="Arial" w:cs="Arial" w:eastAsia="Arial" w:hAnsi="Arial"/>
                <w:sz w:val="18"/>
                <w:szCs w:val="18"/>
                <w:color w:val="auto"/>
              </w:rPr>
              <w:t>Significant</w:t>
            </w: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Identical Assets</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00" w:type="dxa"/>
            <w:vAlign w:val="bottom"/>
          </w:tcPr>
          <w:p>
            <w:pPr>
              <w:spacing w:after="0"/>
              <w:rPr>
                <w:sz w:val="18"/>
                <w:szCs w:val="18"/>
                <w:color w:val="auto"/>
              </w:rPr>
            </w:pPr>
          </w:p>
        </w:tc>
      </w:tr>
      <w:tr>
        <w:trPr>
          <w:trHeight w:val="244"/>
        </w:trPr>
        <w:tc>
          <w:tcPr>
            <w:tcW w:w="41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Carrying value</w:t>
            </w:r>
          </w:p>
        </w:tc>
        <w:tc>
          <w:tcPr>
            <w:tcW w:w="240" w:type="dxa"/>
            <w:vAlign w:val="bottom"/>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1)</w:t>
            </w:r>
          </w:p>
        </w:tc>
        <w:tc>
          <w:tcPr>
            <w:tcW w:w="26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Inputs (Level 3)</w:t>
            </w:r>
          </w:p>
        </w:tc>
        <w:tc>
          <w:tcPr>
            <w:tcW w:w="100" w:type="dxa"/>
            <w:vAlign w:val="bottom"/>
          </w:tcPr>
          <w:p>
            <w:pPr>
              <w:spacing w:after="0"/>
              <w:rPr>
                <w:sz w:val="21"/>
                <w:szCs w:val="2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At July 29, 2023:</w:t>
            </w: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140" w:type="dxa"/>
            <w:vAlign w:val="bottom"/>
          </w:tcPr>
          <w:p>
            <w:pPr>
              <w:ind w:left="120"/>
              <w:spacing w:after="0"/>
              <w:rPr>
                <w:sz w:val="20"/>
                <w:szCs w:val="20"/>
                <w:color w:val="auto"/>
              </w:rPr>
            </w:pPr>
            <w:r>
              <w:rPr>
                <w:rFonts w:ascii="Arial" w:cs="Arial" w:eastAsia="Arial" w:hAnsi="Arial"/>
                <w:sz w:val="18"/>
                <w:szCs w:val="18"/>
                <w:b w:val="1"/>
                <w:bCs w:val="1"/>
                <w:color w:val="auto"/>
              </w:rPr>
              <w:t>Cash equivalents: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U.S. Treasury Bills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5,058</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5,061</w:t>
            </w: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120"/>
              <w:spacing w:after="0"/>
              <w:rPr>
                <w:sz w:val="20"/>
                <w:szCs w:val="20"/>
                <w:color w:val="auto"/>
              </w:rPr>
            </w:pPr>
            <w:r>
              <w:rPr>
                <w:rFonts w:ascii="Arial" w:cs="Arial" w:eastAsia="Arial" w:hAnsi="Arial"/>
                <w:sz w:val="18"/>
                <w:szCs w:val="18"/>
                <w:b w:val="1"/>
                <w:bCs w:val="1"/>
                <w:color w:val="auto"/>
              </w:rPr>
              <w:t>Short-term investments: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U.S. Treasury Bills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43,536</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43,513</w:t>
            </w: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4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At January 28, 2023</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120"/>
              <w:spacing w:after="0"/>
              <w:rPr>
                <w:sz w:val="20"/>
                <w:szCs w:val="20"/>
                <w:color w:val="auto"/>
              </w:rPr>
            </w:pPr>
            <w:r>
              <w:rPr>
                <w:rFonts w:ascii="Arial" w:cs="Arial" w:eastAsia="Arial" w:hAnsi="Arial"/>
                <w:sz w:val="18"/>
                <w:szCs w:val="18"/>
                <w:b w:val="1"/>
                <w:bCs w:val="1"/>
                <w:color w:val="auto"/>
              </w:rPr>
              <w:t>Cash equivalents: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U.S. Treasury Bills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29,076</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29,071</w:t>
            </w: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675"/>
        </w:trPr>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long-range strategic growth plan and our ability to achieve accelerated growth in the future; the expected impact of our strategic initiatives, including with respect to raising brand awareness, store development and future alliances and collaborations; expected marketing costs, gross margin rates and expected capital expenditures in 2023; expected timing of stock repurchases under our board-approved stock repurchase program; and expected changes in our store portfolio and long-term plans for new or relocated stores.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28, 2023, included in our Annual Report on Form 10-K for the year ended January 28, 2023, as filed with the Securities and Exchange Commission on March 16, 2023 (our “Fiscal 2022 Annual Report”).</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Numerous factors could cause our actual results to differ materially from such forward-looking statements. This discussion sets forth certain risks and uncertainties that may have an impact on future results and direction of our Company, including, without limitation, risks related to inflationary pressures, changes in consumer spending in response to economic factors, increased labor costs and potential labor shortages, the continuing economic impact of the Russian invasion of Ukraine, our ability to manage appropriate inventory levels, our ability to successfully execute on our strategic initiatives, our ability to predict customer tastes and fashion trends, our ability to grow market share, our ability to forecast sales growth trends and compete in the market, and the other risks and uncertainties set forth in the “Risk Factors” section in Part I, Item 1A of our Fiscal 2022 Annual Report.</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Destination XL Group, Inc., together with our consolidated subsidiaries (the “Company”), is the largest specialty retailer of big and tall men’s clothing with retail and direct operations in the United States. We operate under the trade names of Destination XL</w:t>
      </w:r>
      <w:r>
        <w:rPr>
          <w:rFonts w:ascii="Arial" w:cs="Arial" w:eastAsia="Arial" w:hAnsi="Arial"/>
          <w:sz w:val="21"/>
          <w:szCs w:val="21"/>
          <w:color w:val="auto"/>
          <w:vertAlign w:val="superscript"/>
        </w:rPr>
        <w:t>®</w:t>
      </w:r>
      <w:r>
        <w:rPr>
          <w:rFonts w:ascii="Arial" w:cs="Arial" w:eastAsia="Arial" w:hAnsi="Arial"/>
          <w:sz w:val="18"/>
          <w:szCs w:val="18"/>
          <w:color w:val="auto"/>
        </w:rPr>
        <w:t>, DXL</w:t>
      </w:r>
      <w:r>
        <w:rPr>
          <w:rFonts w:ascii="Arial" w:cs="Arial" w:eastAsia="Arial" w:hAnsi="Arial"/>
          <w:sz w:val="21"/>
          <w:szCs w:val="21"/>
          <w:color w:val="auto"/>
          <w:vertAlign w:val="superscript"/>
        </w:rPr>
        <w:t>®</w:t>
      </w:r>
      <w:r>
        <w:rPr>
          <w:rFonts w:ascii="Arial" w:cs="Arial" w:eastAsia="Arial" w:hAnsi="Arial"/>
          <w:sz w:val="18"/>
          <w:szCs w:val="18"/>
          <w:color w:val="auto"/>
        </w:rPr>
        <w:t>, DXL Outlets, Casual Male XL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Casual Male XL Outlets. At July 29, 2023, we operated 219 Destination XL stores, 16 DXL outlet stores, 27 Casual Male XL retail stores, 19 Casual Male XL outlet stores and a digital business, including an e-commerce site at dxl.com and a mobile site, m.destinationXL.com, mobile app and third-party marketplaces.</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February 3, 2024, January 28, 2023 and January 29, 2022 as "fiscal 2023", “fiscal 2022,” and “fiscal 2021” respectively. Fiscal 2023 is a 53-week period and fiscal 2022 and fiscal 2021 were 52-week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currently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omni-channel business approach.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line="263" w:lineRule="auto"/>
        <w:rPr>
          <w:sz w:val="20"/>
          <w:szCs w:val="20"/>
          <w:color w:val="auto"/>
        </w:rPr>
      </w:pPr>
      <w:r>
        <w:rPr>
          <w:rFonts w:ascii="Arial" w:cs="Arial" w:eastAsia="Arial" w:hAnsi="Arial"/>
          <w:sz w:val="18"/>
          <w:szCs w:val="18"/>
          <w:color w:val="auto"/>
        </w:rPr>
        <w:t>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8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5"/>
          </w:tcPr>
          <w:p>
            <w:pPr>
              <w:jc w:val="right"/>
              <w:ind w:right="780"/>
              <w:spacing w:after="0"/>
              <w:rPr>
                <w:sz w:val="20"/>
                <w:szCs w:val="20"/>
                <w:color w:val="auto"/>
              </w:rPr>
            </w:pPr>
            <w:r>
              <w:rPr>
                <w:rFonts w:ascii="Arial" w:cs="Arial" w:eastAsia="Arial" w:hAnsi="Arial"/>
                <w:sz w:val="14"/>
                <w:szCs w:val="14"/>
                <w:color w:val="auto"/>
              </w:rPr>
              <w:t>For the three months ended</w:t>
            </w:r>
          </w:p>
        </w:tc>
        <w:tc>
          <w:tcPr>
            <w:tcW w:w="160" w:type="dxa"/>
            <w:vAlign w:val="bottom"/>
          </w:tcPr>
          <w:p>
            <w:pPr>
              <w:spacing w:after="0"/>
              <w:rPr>
                <w:sz w:val="15"/>
                <w:szCs w:val="15"/>
                <w:color w:val="auto"/>
              </w:rPr>
            </w:pPr>
          </w:p>
        </w:tc>
        <w:tc>
          <w:tcPr>
            <w:tcW w:w="2860" w:type="dxa"/>
            <w:vAlign w:val="bottom"/>
            <w:gridSpan w:val="5"/>
          </w:tcPr>
          <w:p>
            <w:pPr>
              <w:jc w:val="right"/>
              <w:ind w:right="780"/>
              <w:spacing w:after="0"/>
              <w:rPr>
                <w:sz w:val="20"/>
                <w:szCs w:val="20"/>
                <w:color w:val="auto"/>
              </w:rPr>
            </w:pPr>
            <w:r>
              <w:rPr>
                <w:rFonts w:ascii="Arial" w:cs="Arial" w:eastAsia="Arial" w:hAnsi="Arial"/>
                <w:sz w:val="14"/>
                <w:szCs w:val="14"/>
                <w:color w:val="auto"/>
              </w:rPr>
              <w:t>For the six months ended</w:t>
            </w: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color w:val="auto"/>
              </w:rPr>
              <w:t>July 29, 2023</w:t>
            </w:r>
          </w:p>
        </w:tc>
        <w:tc>
          <w:tcPr>
            <w:tcW w:w="16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July 30, 2022</w:t>
            </w:r>
          </w:p>
        </w:tc>
        <w:tc>
          <w:tcPr>
            <w:tcW w:w="160" w:type="dxa"/>
            <w:vAlign w:val="bottom"/>
          </w:tcPr>
          <w:p>
            <w:pPr>
              <w:spacing w:after="0"/>
              <w:rPr>
                <w:sz w:val="15"/>
                <w:szCs w:val="15"/>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w w:val="98"/>
              </w:rPr>
              <w:t>July 29, 2023</w:t>
            </w:r>
          </w:p>
        </w:tc>
        <w:tc>
          <w:tcPr>
            <w:tcW w:w="180" w:type="dxa"/>
            <w:vAlign w:val="bottom"/>
          </w:tcPr>
          <w:p>
            <w:pPr>
              <w:spacing w:after="0"/>
              <w:rPr>
                <w:sz w:val="15"/>
                <w:szCs w:val="15"/>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July 30, 2022</w:t>
            </w: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3420" w:type="dxa"/>
            <w:vAlign w:val="bottom"/>
            <w:tcBorders>
              <w:bottom w:val="single" w:sz="8" w:color="auto"/>
            </w:tcBorders>
            <w:gridSpan w:val="2"/>
            <w:shd w:val="clear" w:color="auto" w:fill="CFF0FC"/>
          </w:tcPr>
          <w:p>
            <w:pPr>
              <w:spacing w:after="0" w:line="142" w:lineRule="exact"/>
              <w:rPr>
                <w:sz w:val="20"/>
                <w:szCs w:val="20"/>
                <w:color w:val="auto"/>
              </w:rPr>
            </w:pPr>
            <w:r>
              <w:rPr>
                <w:rFonts w:ascii="Arial" w:cs="Arial" w:eastAsia="Arial" w:hAnsi="Arial"/>
                <w:sz w:val="14"/>
                <w:szCs w:val="14"/>
                <w:i w:val="1"/>
                <w:iCs w:val="1"/>
                <w:color w:val="auto"/>
                <w:w w:val="92"/>
              </w:rPr>
              <w:t>(in millions, except percentage of sales and per share data)</w:t>
            </w:r>
          </w:p>
        </w:tc>
        <w:tc>
          <w:tcPr>
            <w:tcW w:w="16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CFF0FC"/>
            </w:tcBorders>
            <w:shd w:val="clear" w:color="auto" w:fill="CFF0FC"/>
          </w:tcPr>
          <w:p>
            <w:pPr>
              <w:spacing w:after="0"/>
              <w:rPr>
                <w:sz w:val="12"/>
                <w:szCs w:val="12"/>
                <w:color w:val="auto"/>
              </w:rPr>
            </w:pPr>
          </w:p>
        </w:tc>
        <w:tc>
          <w:tcPr>
            <w:tcW w:w="1120" w:type="dxa"/>
            <w:vAlign w:val="bottom"/>
            <w:tcBorders>
              <w:top w:val="single" w:sz="8" w:color="auto"/>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CFF0FC"/>
            </w:tcBorders>
            <w:shd w:val="clear" w:color="auto" w:fill="CFF0FC"/>
          </w:tcPr>
          <w:p>
            <w:pPr>
              <w:spacing w:after="0"/>
              <w:rPr>
                <w:sz w:val="12"/>
                <w:szCs w:val="12"/>
                <w:color w:val="auto"/>
              </w:rPr>
            </w:pPr>
          </w:p>
        </w:tc>
        <w:tc>
          <w:tcPr>
            <w:tcW w:w="1120" w:type="dxa"/>
            <w:vAlign w:val="bottom"/>
            <w:tcBorders>
              <w:top w:val="single" w:sz="8" w:color="auto"/>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r>
      <w:tr>
        <w:trPr>
          <w:trHeight w:val="176"/>
        </w:trPr>
        <w:tc>
          <w:tcPr>
            <w:tcW w:w="5100" w:type="dxa"/>
            <w:vAlign w:val="bottom"/>
            <w:gridSpan w:val="4"/>
          </w:tcPr>
          <w:p>
            <w:pPr>
              <w:ind w:left="20"/>
              <w:spacing w:after="0"/>
              <w:rPr>
                <w:sz w:val="20"/>
                <w:szCs w:val="20"/>
                <w:color w:val="auto"/>
              </w:rPr>
            </w:pPr>
            <w:r>
              <w:rPr>
                <w:rFonts w:ascii="Arial" w:cs="Arial" w:eastAsia="Arial" w:hAnsi="Arial"/>
                <w:sz w:val="14"/>
                <w:szCs w:val="14"/>
                <w:color w:val="auto"/>
              </w:rPr>
              <w:t>Sales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140.0</w:t>
            </w:r>
          </w:p>
        </w:tc>
        <w:tc>
          <w:tcPr>
            <w:tcW w:w="3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144.6</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265.5</w:t>
            </w:r>
          </w:p>
        </w:tc>
        <w:tc>
          <w:tcPr>
            <w:tcW w:w="28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272.3</w:t>
            </w:r>
          </w:p>
        </w:tc>
        <w:tc>
          <w:tcPr>
            <w:tcW w:w="220" w:type="dxa"/>
            <w:vAlign w:val="bottom"/>
          </w:tcPr>
          <w:p>
            <w:pPr>
              <w:spacing w:after="0"/>
              <w:rPr>
                <w:sz w:val="15"/>
                <w:szCs w:val="15"/>
                <w:color w:val="auto"/>
              </w:rPr>
            </w:pPr>
          </w:p>
        </w:tc>
      </w:tr>
      <w:tr>
        <w:trPr>
          <w:trHeight w:val="175"/>
        </w:trPr>
        <w:tc>
          <w:tcPr>
            <w:tcW w:w="51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w:t>
            </w:r>
          </w:p>
        </w:tc>
        <w:tc>
          <w:tcPr>
            <w:tcW w:w="220" w:type="dxa"/>
            <w:vAlign w:val="bottom"/>
            <w:shd w:val="clear" w:color="auto" w:fill="CFF0FC"/>
          </w:tcPr>
          <w:p>
            <w:pPr>
              <w:spacing w:after="0"/>
              <w:rPr>
                <w:sz w:val="15"/>
                <w:szCs w:val="15"/>
                <w:color w:val="auto"/>
              </w:rPr>
            </w:pPr>
          </w:p>
        </w:tc>
      </w:tr>
      <w:tr>
        <w:trPr>
          <w:trHeight w:val="176"/>
        </w:trPr>
        <w:tc>
          <w:tcPr>
            <w:tcW w:w="5100" w:type="dxa"/>
            <w:vAlign w:val="bottom"/>
            <w:gridSpan w:val="4"/>
          </w:tcPr>
          <w:p>
            <w:pPr>
              <w:ind w:left="20"/>
              <w:spacing w:after="0"/>
              <w:rPr>
                <w:sz w:val="20"/>
                <w:szCs w:val="20"/>
                <w:color w:val="auto"/>
              </w:rPr>
            </w:pPr>
            <w:r>
              <w:rPr>
                <w:rFonts w:ascii="Arial" w:cs="Arial" w:eastAsia="Arial" w:hAnsi="Arial"/>
                <w:sz w:val="14"/>
                <w:szCs w:val="14"/>
                <w:color w:val="auto"/>
              </w:rPr>
              <w:t>Adjusted net income (Non-GAAP basis)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14.8</w:t>
            </w:r>
          </w:p>
        </w:tc>
        <w:tc>
          <w:tcPr>
            <w:tcW w:w="3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16.1</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21.8</w:t>
            </w:r>
          </w:p>
        </w:tc>
        <w:tc>
          <w:tcPr>
            <w:tcW w:w="28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25.8</w:t>
            </w:r>
          </w:p>
        </w:tc>
        <w:tc>
          <w:tcPr>
            <w:tcW w:w="220" w:type="dxa"/>
            <w:vAlign w:val="bottom"/>
          </w:tcPr>
          <w:p>
            <w:pPr>
              <w:spacing w:after="0"/>
              <w:rPr>
                <w:sz w:val="15"/>
                <w:szCs w:val="15"/>
                <w:color w:val="auto"/>
              </w:rPr>
            </w:pPr>
          </w:p>
        </w:tc>
      </w:tr>
      <w:tr>
        <w:trPr>
          <w:trHeight w:val="175"/>
        </w:trPr>
        <w:tc>
          <w:tcPr>
            <w:tcW w:w="51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Adjusted EBITDA (Non-GAAP basis)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w:t>
            </w:r>
          </w:p>
        </w:tc>
        <w:tc>
          <w:tcPr>
            <w:tcW w:w="2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spacing w:after="0"/>
              <w:rPr>
                <w:sz w:val="15"/>
                <w:szCs w:val="15"/>
                <w:color w:val="auto"/>
              </w:rPr>
            </w:pPr>
          </w:p>
        </w:tc>
      </w:tr>
      <w:tr>
        <w:trPr>
          <w:trHeight w:val="176"/>
        </w:trPr>
        <w:tc>
          <w:tcPr>
            <w:tcW w:w="51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Gross margin. as a percentage of sales</w:t>
            </w:r>
          </w:p>
        </w:tc>
        <w:tc>
          <w:tcPr>
            <w:tcW w:w="18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50.3 %</w:t>
            </w: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52.1 %</w:t>
            </w: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49.5 %</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51.1 %</w:t>
            </w:r>
          </w:p>
        </w:tc>
      </w:tr>
      <w:tr>
        <w:trPr>
          <w:trHeight w:val="175"/>
        </w:trPr>
        <w:tc>
          <w:tcPr>
            <w:tcW w:w="5100" w:type="dxa"/>
            <w:vAlign w:val="bottom"/>
            <w:gridSpan w:val="4"/>
          </w:tcPr>
          <w:p>
            <w:pPr>
              <w:ind w:left="20"/>
              <w:spacing w:after="0"/>
              <w:rPr>
                <w:sz w:val="20"/>
                <w:szCs w:val="20"/>
                <w:color w:val="auto"/>
              </w:rPr>
            </w:pPr>
            <w:r>
              <w:rPr>
                <w:rFonts w:ascii="Arial" w:cs="Arial" w:eastAsia="Arial" w:hAnsi="Arial"/>
                <w:sz w:val="14"/>
                <w:szCs w:val="14"/>
                <w:color w:val="auto"/>
              </w:rPr>
              <w:t>SG&amp;A expenses, as a percentage of sales</w:t>
            </w:r>
          </w:p>
        </w:tc>
        <w:tc>
          <w:tcPr>
            <w:tcW w:w="18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33.9 %</w:t>
            </w:r>
          </w:p>
        </w:tc>
        <w:tc>
          <w:tcPr>
            <w:tcW w:w="16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34.2 %</w:t>
            </w:r>
          </w:p>
        </w:tc>
        <w:tc>
          <w:tcPr>
            <w:tcW w:w="16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36.1 %</w:t>
            </w:r>
          </w:p>
        </w:tc>
        <w:tc>
          <w:tcPr>
            <w:tcW w:w="18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35.3 %</w:t>
            </w:r>
          </w:p>
        </w:tc>
      </w:tr>
      <w:tr>
        <w:trPr>
          <w:trHeight w:val="176"/>
        </w:trPr>
        <w:tc>
          <w:tcPr>
            <w:tcW w:w="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5080" w:type="dxa"/>
            <w:vAlign w:val="bottom"/>
            <w:gridSpan w:val="3"/>
          </w:tcPr>
          <w:p>
            <w:pPr>
              <w:spacing w:after="0" w:line="149" w:lineRule="exact"/>
              <w:rPr>
                <w:sz w:val="20"/>
                <w:szCs w:val="20"/>
                <w:color w:val="auto"/>
              </w:rPr>
            </w:pPr>
            <w:r>
              <w:rPr>
                <w:rFonts w:ascii="Arial" w:cs="Arial" w:eastAsia="Arial" w:hAnsi="Arial"/>
                <w:sz w:val="14"/>
                <w:szCs w:val="14"/>
                <w:color w:val="auto"/>
              </w:rPr>
              <w:t>Per diluted share:</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6"/>
        </w:trPr>
        <w:tc>
          <w:tcPr>
            <w:tcW w:w="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Net income</w:t>
            </w:r>
          </w:p>
        </w:tc>
        <w:tc>
          <w:tcPr>
            <w:tcW w:w="4080" w:type="dxa"/>
            <w:vAlign w:val="bottom"/>
            <w:gridSpan w:val="2"/>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0.18</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0.28</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220" w:type="dxa"/>
            <w:vAlign w:val="bottom"/>
            <w:shd w:val="clear" w:color="auto" w:fill="CFF0FC"/>
          </w:tcPr>
          <w:p>
            <w:pPr>
              <w:spacing w:after="0"/>
              <w:rPr>
                <w:sz w:val="15"/>
                <w:szCs w:val="15"/>
                <w:color w:val="auto"/>
              </w:rPr>
            </w:pPr>
          </w:p>
        </w:tc>
      </w:tr>
      <w:tr>
        <w:trPr>
          <w:trHeight w:val="182"/>
        </w:trPr>
        <w:tc>
          <w:tcPr>
            <w:tcW w:w="5100" w:type="dxa"/>
            <w:vAlign w:val="bottom"/>
            <w:gridSpan w:val="4"/>
          </w:tcPr>
          <w:p>
            <w:pPr>
              <w:ind w:left="20"/>
              <w:spacing w:after="0"/>
              <w:rPr>
                <w:sz w:val="20"/>
                <w:szCs w:val="20"/>
                <w:color w:val="auto"/>
              </w:rPr>
            </w:pPr>
            <w:r>
              <w:rPr>
                <w:rFonts w:ascii="Arial" w:cs="Arial" w:eastAsia="Arial" w:hAnsi="Arial"/>
                <w:sz w:val="14"/>
                <w:szCs w:val="14"/>
                <w:color w:val="auto"/>
              </w:rPr>
              <w:t>Adjusted net income (Non-GAAP basis)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0.23</w:t>
            </w:r>
          </w:p>
        </w:tc>
        <w:tc>
          <w:tcPr>
            <w:tcW w:w="3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0.24</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0.38</w:t>
            </w:r>
          </w:p>
        </w:tc>
        <w:tc>
          <w:tcPr>
            <w:tcW w:w="220" w:type="dxa"/>
            <w:vAlign w:val="bottom"/>
          </w:tcPr>
          <w:p>
            <w:pPr>
              <w:spacing w:after="0"/>
              <w:rPr>
                <w:sz w:val="15"/>
                <w:szCs w:val="15"/>
                <w:color w:val="auto"/>
              </w:rPr>
            </w:pPr>
          </w:p>
        </w:tc>
      </w:tr>
    </w:tbl>
    <w:p>
      <w:pPr>
        <w:spacing w:after="0" w:line="200" w:lineRule="exact"/>
        <w:rPr>
          <w:sz w:val="20"/>
          <w:szCs w:val="20"/>
          <w:color w:val="auto"/>
        </w:rPr>
      </w:pP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comparable sales for the second quarter of fiscal 2023 decreased 1.4%, our first decrease since the fourth quarter of fiscal 2020, as we compared against a strong prior year second quarter. During the second quarter, we saw a decrease in dollars per transaction, a reflection of the continuing economic headwinds. However, traffic improved as the quarter progressed, resulting in a positive comp of 1.0% in July. Despite the pressure on top-line growth, we continue to proactively manage our inventory and operating costs, which has resulted in a strong adjusted EBITDA margin (a non-GAAP measure) for the quarter of 16.4%. While we saw improvement at the end of the second quarter, traffic has slowed during the first few weeks of the third quarter, up against a strong prior year, with comparable sales trending down in the mid-single digits.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second quarter of fiscal 2023, our Board approved the termination of our frozen, noncontributory pension plan. Given the current high interest rates, we saw this as an opportunistic use of excess cash to eliminate this variable liability. In connection with that decision, during the second quarter, we completed a partial settlement of our pension obligations through the purchase of nonparticipating annuities. As a result, during the second quarter of fiscal 2023, we recognized a loss of $4.2 million, representing a pro-rata portion of the unrealized loss in Accumulated Other Comprehensive Loss. We expect to complete the termination of the pension plan by the end of fiscal 2023.</w:t>
      </w:r>
    </w:p>
    <w:p>
      <w:pPr>
        <w:spacing w:after="0" w:line="8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Net income for the second quarter of fiscal 2023 was $11.6 million, or $0.18 per diluted share, as compared to net income of $56.9 million, or $0.85 per diluted share, for the second quarter of fiscal 2022. Net income for the second quarter of fiscal 2022 included the release of substantially all of the valuation allowance against our deferred tax assets. Assuming a normalized tax rate and adjusting for the loss from the pension plan termination and asset impairments (gains), if any, on a non-GAAP basis, net income for the second quarter of fiscal 2023 was $14.8 million, or $0.23 per diluted share, as compared to adjusted net income of $16.1 million, or $0.24 per diluted share, for the second quarter of fiscal 2022.</w:t>
      </w:r>
    </w:p>
    <w:p>
      <w:pPr>
        <w:spacing w:after="0" w:line="6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the first six months of fiscal 2023, net income was $18.6 million, or $0.28 per diluted share, as compared to net income of $70.3 million, or $1.04 per diluted share, for the first six months of fiscal 2022. Adjusted net income for the first six months of fiscal 2023, was $21.8 million, or $0.33 per diluted share, as compared to net income of $25.8 million, or $0.38 per diluted share, for the first six months of fiscal 2022.</w:t>
      </w:r>
    </w:p>
    <w:p>
      <w:pPr>
        <w:spacing w:after="0" w:line="5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of July 29, 2023, we had cash and investments of $62.8 million as compared to $22.2 million at July 30, 2022. As of July 29, 2023, we had no debt outstanding, unused excess availability of $81.8 million, and no borrowings during the quarter. Our inventory was in a healthy position at quarter-end, down 9.5% as compared to July 30, 2022. Inventory turnover, as of July 29, 2023, has improved over 28% from fiscal 2019 levels. With cash on hand, no outstanding debt and full availability under our credit facility, we are continuing to pursue our strategic initiatives this year to grow our business.</w:t>
      </w:r>
    </w:p>
    <w:p>
      <w:pPr>
        <w:spacing w:after="0" w:line="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discussed below, during the second quarter of fiscal 2023, we repurchased 2.2 million shares at a total cost, including fees of $10.8 million, within the Board's authorized $15.0 million share repurchase.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Future Growth Strategy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80"/>
        <w:spacing w:after="0" w:line="301" w:lineRule="auto"/>
        <w:rPr>
          <w:sz w:val="20"/>
          <w:szCs w:val="20"/>
          <w:color w:val="auto"/>
        </w:rPr>
      </w:pPr>
      <w:r>
        <w:rPr>
          <w:rFonts w:ascii="Arial" w:cs="Arial" w:eastAsia="Arial" w:hAnsi="Arial"/>
          <w:sz w:val="16"/>
          <w:szCs w:val="16"/>
          <w:color w:val="auto"/>
        </w:rPr>
        <w:t>Our Company is in a fundamentally different position today than it was pre-pandemic. We have achieved a heightened level of operational excellence, recapitalized our balance sheet to provide a greater level of financial flexibility, made investments in our technical capabilities, and upgraded our leadership team. As we look beyond fiscal 2023, we are excited about our long-term growth plan. Our goal is to meaningfully accelerate the trajectory of the Company over the next three to five years, by focusing on three specific growth initiatives: brand-building, store development, and alliances/collaborations.</w:t>
      </w:r>
    </w:p>
    <w:p>
      <w:pPr>
        <w:spacing w:after="0" w:line="4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u w:val="single" w:color="auto"/>
          <w:color w:val="auto"/>
        </w:rPr>
        <w:t>Marketing and Brand-Building</w:t>
      </w:r>
      <w:r>
        <w:rPr>
          <w:rFonts w:ascii="Arial" w:cs="Arial" w:eastAsia="Arial" w:hAnsi="Arial"/>
          <w:sz w:val="16"/>
          <w:szCs w:val="16"/>
          <w:color w:val="auto"/>
        </w:rPr>
        <w:t>: We believe one of our greatest opportunities is to address our overall brand awareness levels. Over the past few years, we have transformed our brand position and differentiated ourselves in terms of experience, fit, and assortment. However, many of our target consumers simply do not know DXL. We now have the financial flexibility, informed consumer research, and the right messaging to invest in building our brand. For the past several years, our advertising-to-sales ratio has been between 5.0% to 6.0%. Our plan is to increase our advertising-to-sales ratio over the next few years. We expect over the next few years to invest more in brand building and top-of-funnel marketing to grow our customer file.</w:t>
      </w:r>
    </w:p>
    <w:p>
      <w:pPr>
        <w:spacing w:after="0" w:line="5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Store Development</w:t>
      </w:r>
      <w:r>
        <w:rPr>
          <w:rFonts w:ascii="Arial" w:cs="Arial" w:eastAsia="Arial" w:hAnsi="Arial"/>
          <w:sz w:val="18"/>
          <w:szCs w:val="18"/>
          <w:color w:val="auto"/>
        </w:rPr>
        <w:t>: As we have stated before, we believe there are at least 50 net new store opportunities. New store development addresses another factor critical to our growth. While we have stores in every major metro market across the United States, there are voids in certain markets where big &amp; tall consumers are not being serviced by a DXL. In our most recent research across 2,500 big + tall men, both customers and non-customers, 49% self-reported that they do not shop with us because a store is not near them, while 37% self-reported that they do not shop with us because a store location is not convenient. This year, we expect to open our first three new stores since fiscal 2018, with plans to open another 10 new stores in fiscal 2024 and 15 to 20 new stores in fiscal 2025.</w:t>
      </w:r>
    </w:p>
    <w:p>
      <w:pPr>
        <w:spacing w:after="0" w:line="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u w:val="single" w:color="auto"/>
          <w:color w:val="auto"/>
        </w:rPr>
        <w:t>Alliances/Collaborations</w:t>
      </w:r>
      <w:r>
        <w:rPr>
          <w:rFonts w:ascii="Arial" w:cs="Arial" w:eastAsia="Arial" w:hAnsi="Arial"/>
          <w:sz w:val="17"/>
          <w:szCs w:val="17"/>
          <w:color w:val="auto"/>
        </w:rPr>
        <w:t>: We strongly believe that our "fit authority" is one of our biggest assets and that we can develop successful collaborations with other brands, who are interested in finding a cost-effective way to expand their offering to include big &amp; tall men's apparel. In September, we will be launching Untuckit, Fit by DXL in partnership with Untuckit to be sold exclusively by DXL. In addition, we also are adding Hugo Boss and Faherty to our list of national brands this Fall, each with a level of merchandise exclusivity that cannot be found elsewhere. We believe these examples are only the beginning, and we are working in real-time on additional retail brand alliances. Lastly, we also launched our new fit technology and size mapping in two of our stores, with plans to expand to an additional 10 stores by the end of the month.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by segment for the three and six months ended July 29, 2023 and July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5"/>
          </w:tcPr>
          <w:p>
            <w:pPr>
              <w:jc w:val="center"/>
              <w:ind w:right="70"/>
              <w:spacing w:after="0"/>
              <w:rPr>
                <w:sz w:val="20"/>
                <w:szCs w:val="20"/>
                <w:color w:val="auto"/>
              </w:rPr>
            </w:pPr>
            <w:r>
              <w:rPr>
                <w:rFonts w:ascii="Arial" w:cs="Arial" w:eastAsia="Arial" w:hAnsi="Arial"/>
                <w:sz w:val="18"/>
                <w:szCs w:val="18"/>
                <w:color w:val="auto"/>
                <w:w w:val="90"/>
              </w:rPr>
              <w:t>For the Three Months Ended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jc w:val="right"/>
              <w:ind w:right="590"/>
              <w:spacing w:after="0"/>
              <w:rPr>
                <w:sz w:val="20"/>
                <w:szCs w:val="20"/>
                <w:color w:val="auto"/>
              </w:rPr>
            </w:pPr>
            <w:r>
              <w:rPr>
                <w:rFonts w:ascii="Arial" w:cs="Arial" w:eastAsia="Arial" w:hAnsi="Arial"/>
                <w:sz w:val="18"/>
                <w:szCs w:val="18"/>
                <w:color w:val="auto"/>
              </w:rPr>
              <w:t>For the Six Months Ended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July 29, 2023</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July 30, 2022</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July 29, 2023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July 30, 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4"/>
        </w:trPr>
        <w:tc>
          <w:tcPr>
            <w:tcW w:w="2260" w:type="dxa"/>
            <w:vAlign w:val="bottom"/>
          </w:tcPr>
          <w:p>
            <w:pPr>
              <w:ind w:left="20"/>
              <w:spacing w:after="0"/>
              <w:rPr>
                <w:sz w:val="20"/>
                <w:szCs w:val="20"/>
                <w:color w:val="auto"/>
              </w:rPr>
            </w:pPr>
            <w:r>
              <w:rPr>
                <w:rFonts w:ascii="Arial" w:cs="Arial" w:eastAsia="Arial" w:hAnsi="Arial"/>
                <w:sz w:val="18"/>
                <w:szCs w:val="18"/>
                <w:color w:val="auto"/>
              </w:rPr>
              <w:t>Store sales</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97,445</w:t>
            </w:r>
          </w:p>
        </w:tc>
        <w:tc>
          <w:tcPr>
            <w:tcW w:w="880" w:type="dxa"/>
            <w:vAlign w:val="bottom"/>
            <w:gridSpan w:val="2"/>
          </w:tcPr>
          <w:p>
            <w:pPr>
              <w:jc w:val="center"/>
              <w:ind w:right="50"/>
              <w:spacing w:after="0"/>
              <w:rPr>
                <w:sz w:val="20"/>
                <w:szCs w:val="20"/>
                <w:color w:val="auto"/>
              </w:rPr>
            </w:pPr>
            <w:r>
              <w:rPr>
                <w:rFonts w:ascii="Arial" w:cs="Arial" w:eastAsia="Arial" w:hAnsi="Arial"/>
                <w:sz w:val="18"/>
                <w:szCs w:val="18"/>
                <w:i w:val="1"/>
                <w:iCs w:val="1"/>
                <w:color w:val="auto"/>
                <w:w w:val="90"/>
              </w:rPr>
              <w:t>69.6%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100,924</w:t>
            </w:r>
          </w:p>
        </w:tc>
        <w:tc>
          <w:tcPr>
            <w:tcW w:w="860" w:type="dxa"/>
            <w:vAlign w:val="bottom"/>
            <w:gridSpan w:val="2"/>
          </w:tcPr>
          <w:p>
            <w:pPr>
              <w:jc w:val="right"/>
              <w:ind w:right="170"/>
              <w:spacing w:after="0"/>
              <w:rPr>
                <w:sz w:val="20"/>
                <w:szCs w:val="20"/>
                <w:color w:val="auto"/>
              </w:rPr>
            </w:pPr>
            <w:r>
              <w:rPr>
                <w:rFonts w:ascii="Arial" w:cs="Arial" w:eastAsia="Arial" w:hAnsi="Arial"/>
                <w:sz w:val="18"/>
                <w:szCs w:val="18"/>
                <w:i w:val="1"/>
                <w:iCs w:val="1"/>
                <w:color w:val="auto"/>
              </w:rPr>
              <w:t>69.8%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184,742</w:t>
            </w:r>
          </w:p>
        </w:tc>
        <w:tc>
          <w:tcPr>
            <w:tcW w:w="920" w:type="dxa"/>
            <w:vAlign w:val="bottom"/>
            <w:gridSpan w:val="4"/>
          </w:tcPr>
          <w:p>
            <w:pPr>
              <w:jc w:val="right"/>
              <w:spacing w:after="0"/>
              <w:rPr>
                <w:sz w:val="20"/>
                <w:szCs w:val="20"/>
                <w:color w:val="auto"/>
              </w:rPr>
            </w:pPr>
            <w:r>
              <w:rPr>
                <w:rFonts w:ascii="Arial" w:cs="Arial" w:eastAsia="Arial" w:hAnsi="Arial"/>
                <w:sz w:val="18"/>
                <w:szCs w:val="18"/>
                <w:i w:val="1"/>
                <w:iCs w:val="1"/>
                <w:color w:val="auto"/>
              </w:rPr>
              <w:t>69.6 %</w:t>
            </w: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189,203</w:t>
            </w:r>
          </w:p>
        </w:tc>
        <w:tc>
          <w:tcPr>
            <w:tcW w:w="980" w:type="dxa"/>
            <w:vAlign w:val="bottom"/>
            <w:gridSpan w:val="4"/>
          </w:tcPr>
          <w:p>
            <w:pPr>
              <w:jc w:val="right"/>
              <w:spacing w:after="0"/>
              <w:rPr>
                <w:sz w:val="20"/>
                <w:szCs w:val="20"/>
                <w:color w:val="auto"/>
              </w:rPr>
            </w:pPr>
            <w:r>
              <w:rPr>
                <w:rFonts w:ascii="Arial" w:cs="Arial" w:eastAsia="Arial" w:hAnsi="Arial"/>
                <w:sz w:val="18"/>
                <w:szCs w:val="18"/>
                <w:i w:val="1"/>
                <w:iCs w:val="1"/>
                <w:color w:val="auto"/>
              </w:rPr>
              <w:t>69.6 %</w:t>
            </w:r>
          </w:p>
        </w:tc>
      </w:tr>
      <w:tr>
        <w:trPr>
          <w:trHeight w:val="256"/>
        </w:trPr>
        <w:tc>
          <w:tcPr>
            <w:tcW w:w="2260" w:type="dxa"/>
            <w:vAlign w:val="bottom"/>
          </w:tcPr>
          <w:p>
            <w:pPr>
              <w:ind w:left="20"/>
              <w:spacing w:after="0"/>
              <w:rPr>
                <w:sz w:val="20"/>
                <w:szCs w:val="20"/>
                <w:color w:val="auto"/>
              </w:rPr>
            </w:pPr>
            <w:r>
              <w:rPr>
                <w:rFonts w:ascii="Arial" w:cs="Arial" w:eastAsia="Arial" w:hAnsi="Arial"/>
                <w:sz w:val="18"/>
                <w:szCs w:val="18"/>
                <w:color w:val="auto"/>
              </w:rPr>
              <w:t>Direct sales</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42,598</w:t>
            </w:r>
          </w:p>
        </w:tc>
        <w:tc>
          <w:tcPr>
            <w:tcW w:w="120" w:type="dxa"/>
            <w:vAlign w:val="bottom"/>
          </w:tcPr>
          <w:p>
            <w:pPr>
              <w:spacing w:after="0"/>
              <w:rPr>
                <w:sz w:val="22"/>
                <w:szCs w:val="22"/>
                <w:color w:val="auto"/>
              </w:rPr>
            </w:pPr>
          </w:p>
        </w:tc>
        <w:tc>
          <w:tcPr>
            <w:tcW w:w="760" w:type="dxa"/>
            <w:vAlign w:val="bottom"/>
          </w:tcPr>
          <w:p>
            <w:pPr>
              <w:jc w:val="center"/>
              <w:ind w:right="170"/>
              <w:spacing w:after="0"/>
              <w:rPr>
                <w:sz w:val="20"/>
                <w:szCs w:val="20"/>
                <w:color w:val="auto"/>
              </w:rPr>
            </w:pPr>
            <w:r>
              <w:rPr>
                <w:rFonts w:ascii="Arial" w:cs="Arial" w:eastAsia="Arial" w:hAnsi="Arial"/>
                <w:sz w:val="18"/>
                <w:szCs w:val="18"/>
                <w:i w:val="1"/>
                <w:iCs w:val="1"/>
                <w:color w:val="auto"/>
                <w:w w:val="90"/>
              </w:rPr>
              <w:t>30.4%</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43,693</w:t>
            </w:r>
          </w:p>
        </w:tc>
        <w:tc>
          <w:tcPr>
            <w:tcW w:w="120" w:type="dxa"/>
            <w:vAlign w:val="bottom"/>
          </w:tcPr>
          <w:p>
            <w:pPr>
              <w:spacing w:after="0"/>
              <w:rPr>
                <w:sz w:val="22"/>
                <w:szCs w:val="22"/>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i w:val="1"/>
                <w:iCs w:val="1"/>
                <w:color w:val="auto"/>
                <w:w w:val="90"/>
              </w:rPr>
              <w:t>30.2%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80,743</w:t>
            </w:r>
          </w:p>
        </w:tc>
        <w:tc>
          <w:tcPr>
            <w:tcW w:w="12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i w:val="1"/>
                <w:iCs w:val="1"/>
                <w:color w:val="auto"/>
              </w:rPr>
              <w:t>30.4 %</w:t>
            </w:r>
          </w:p>
        </w:tc>
        <w:tc>
          <w:tcPr>
            <w:tcW w:w="1120" w:type="dxa"/>
            <w:vAlign w:val="bottom"/>
          </w:tcPr>
          <w:p>
            <w:pPr>
              <w:jc w:val="right"/>
              <w:spacing w:after="0"/>
              <w:rPr>
                <w:sz w:val="20"/>
                <w:szCs w:val="20"/>
                <w:color w:val="auto"/>
              </w:rPr>
            </w:pPr>
            <w:r>
              <w:rPr>
                <w:rFonts w:ascii="Arial" w:cs="Arial" w:eastAsia="Arial" w:hAnsi="Arial"/>
                <w:sz w:val="18"/>
                <w:szCs w:val="18"/>
                <w:color w:val="auto"/>
              </w:rPr>
              <w:t>82,687</w:t>
            </w:r>
          </w:p>
        </w:tc>
        <w:tc>
          <w:tcPr>
            <w:tcW w:w="980" w:type="dxa"/>
            <w:vAlign w:val="bottom"/>
            <w:gridSpan w:val="4"/>
          </w:tcPr>
          <w:p>
            <w:pPr>
              <w:jc w:val="right"/>
              <w:spacing w:after="0"/>
              <w:rPr>
                <w:sz w:val="20"/>
                <w:szCs w:val="20"/>
                <w:color w:val="auto"/>
              </w:rPr>
            </w:pPr>
            <w:r>
              <w:rPr>
                <w:rFonts w:ascii="Arial" w:cs="Arial" w:eastAsia="Arial" w:hAnsi="Arial"/>
                <w:sz w:val="18"/>
                <w:szCs w:val="18"/>
                <w:i w:val="1"/>
                <w:iCs w:val="1"/>
                <w:color w:val="auto"/>
              </w:rPr>
              <w:t>30.4 %</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Retail segment</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140,043</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144,617</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265,485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271,890</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Wholesale segment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26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140,043</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144,634</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265,485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272,289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3175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-187960</wp:posOffset>
            </wp:positionV>
            <wp:extent cx="7747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-187960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-187960</wp:posOffset>
            </wp:positionV>
            <wp:extent cx="685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Total sales for the second quarter of fiscal 2023 were $140.0 million, as compared to $144.6 million in the second quarter of fiscal 2022. Comparable sales for the second quarter decreased 1.4% with comparable sales from our stores down 1.4% and our direct business down 1.3%. The remainder of the decrease was due to sales from closed stores and a decrease in non-comparable sales.</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quarter, we saw a decrease in dollars per transaction, which we believe was the result of inflationary pressures impacting customer spending. These decreases were partially offset by an increase in conversion. Despite these headwinds, during the quarter we saw comparable sales improve each month, with May down 2.8%, June down 1.7% and July up 1.0%. Both stores and our direct business improved throughout the quarter, driven largely by improvement in traffic to our stores and growth in our mobile app and email marketing.</w:t>
      </w:r>
    </w:p>
    <w:p>
      <w:pPr>
        <w:spacing w:after="0" w:line="7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Sales for the first six months of fiscal 2023 were $265.5 million as compared to $272.3 million for the first six months of fiscal 2022. Comparable sales for the first six months of fiscal 2023 decreased 0.5%, with comparable sales from our stores flat to the prior year period and direct down 1.5%.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 Rate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second quarter of fiscal 2023, our gross margin rate, inclusive of occupancy costs, was 50.3% as compared to a gross margin rate of 52.1% for the second quarter of fiscal 2022.</w:t>
      </w:r>
    </w:p>
    <w:p>
      <w:pPr>
        <w:spacing w:after="0" w:line="62"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Our gross margin rate decreased by 180-basis points, with a decrease in merchandise margin of 110-basis points and an increase of 70-basis points in occupancy costs primarily due to the deleveraging of sales and increased rents as a result of lease extensions. The</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21" w:name="page22"/>
    <w:bookmarkEnd w:id="21"/>
    <w:p>
      <w:pPr>
        <w:ind w:right="40"/>
        <w:spacing w:after="0" w:line="257" w:lineRule="auto"/>
        <w:rPr>
          <w:sz w:val="20"/>
          <w:szCs w:val="20"/>
          <w:color w:val="auto"/>
        </w:rPr>
      </w:pPr>
      <w:r>
        <w:rPr>
          <w:rFonts w:ascii="Arial" w:cs="Arial" w:eastAsia="Arial" w:hAnsi="Arial"/>
          <w:sz w:val="18"/>
          <w:szCs w:val="18"/>
          <w:color w:val="auto"/>
        </w:rPr>
        <w:t>decrease in merchandise margin of 110-basis points was due to continued cost pressures on certain private-label merchandise, much of which we continued to absorb rather than passing on to the customer through price increases. We also experienced increased shipping costs related to direct-to-consumer shipments and costs related to our loyalty program with more sales tendered with loyalty certificates, as compared to the second quarter of fiscal 2022. These cost increases were partially offset by lower inbound freight costs. For the year, we expect gross margin rates to be approximately 100-basis points lower than fiscal 2022.</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first six months of fiscal 2023, our gross margin rate, inclusive of occupancy costs, was 49.5% as compared to a gross margin rate of 51.1% for the first six months of fiscal 2022. The decrease of 160-basis points was due to a decrease in merchandise margins of 110-basis points and a 50-basis point increase in occupancy costs. Similar to the second quarter merchandise margin, the decrease was due to cost pressures on certain private-label merchandise, increased direct-to-consumer shipping costs and costs related to our loyalty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a percentage of sales, SG&amp;A (selling, general and administrative) expenses for the second quarter of fiscal 2023 were 33.9% as compared to 34.2% for the second quarter of fiscal 2022. For the first six months of fiscal 2023, SG&amp;A expenses, as a percentage of sales, were 36.1% as compared to 35.3% for the first six months of fiscal 2022.</w:t>
      </w:r>
    </w:p>
    <w:p>
      <w:pPr>
        <w:spacing w:after="0" w:line="7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a dollar basis, SG&amp;A expenses decreased by $2.0 million and $0.3 million for the second quarter and first six months of fiscal 2023, respectively as compared to the second quarter and first six months of fiscal 2022. The decreases were primarily due to a decrease in performance-based incentive accruals and marketing costs, partially offset by an increase in payroll-related costs from new positions added in the past year to support our long-range growth initiatives.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20.3% of sales in the first six months of fiscal 2023 as compared to 19.8% of sales in the first six months of fiscal 2022. Corporate Support Costs, which include the distribution center and corporate overhead costs, represented 15.8% of sales in the first six months of fiscal 2023 as compared to 15.5% of sales in the first six months of fiscal 2022. Marketing costs for the first six months were 5.3% of sales for both fiscal 2023 and fiscal 2022. For fiscal 2023, marketing costs are expected to be approximately 5.7% of sales.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(Gain) of Assets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There were no impairments or non-cash gains recognized in the first six months of fiscal 2023. During the second quarter and first six months of fiscal 2022, we recorded non-cash gains of $0.1 million and $0.6 million related to the reduction of our operating lease liability in connection with our decision to close certain retail stores, which resulted in a revaluation of the lease liability. The portion of the gain that related to a previously recorded impairment charge against the operating lease right-of-use asset was included as an offset to previously recorded asset impairment charge. Accordingly, $0.1 million and $0.4 million were included in the Impairment (Gain) of Assets line of the Consolidated Statement of Operations for the second quarter and first six months of fiscal 2022. The remaining gain was recorded as a reduction to occupancy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Depreciation and amortization for the second quarter of fiscal 2023 decreased to $3.5 million as compared to $4.0 million for the second quarter of fiscal 2022. For the first six months of fiscal 2023, depreciation and amortization decreased to $6.9 million as compared to $8.0 million for the first six months of fiscal 2022. The decrease was due to a lower depreciable cost base, especially from our store assets, due to our limited capital spending since fiscal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Termination of Pension Plan</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During the second quarter of fiscal 2023, we identified an opportunity to eliminate a variable liability by taking advantage of the current high-interest rate environment and terminating the frozen pension plan. We completed a partial settlement of the pension obligation in the second quarter through the purchase of nonparticipating annuities. We made a cash contribution to the plan during the first six months of fiscal 2023 of $1.6 million. The remaining pension liability as of July 29, 2023, was approximately $0.2 million. In the second quarter of fiscal 2023, we recognized a charge of $4.2 million, representing a pro-rata portion of the unrealized loss that is part of accumulated other comprehensive loss on the balance sheet. We expect to settle the remaining obligation, recognize the remaining unrealized loss and terminate the plan by the end of fiscal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Income/Expense, Net</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interest income for the second quarter of fiscal 2023 was $0.5 million, as compared to net interest expense of $0.1 million for the second quarter of fiscal 2022. For the first six months of fiscal 2023, net interest income was $0.8 million as compared to net interest expense of $0.2 million for the first six months of fiscal 2022. For the second quarter and first six months of fiscal 2023, interest income was earned from investments in U.S. government-backed investments and money market accounts. Interest costs for both periods were minimal because we had no outstanding debt and no borrowings under our credit facility during either period.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a result of releasing substantially all of the valuation allowance against our deferred tax assets during fiscal 2022, we have returned to a normal tax provision for fiscal 2023. Accordingly, for the second quarter and first six months of fiscal 2023, the effective tax rate was 26.4% and 26.5%, respectively. For the second quarter and first six months of fiscal 2022, we recognized a tax benefit of $35.1 million and $35.0 million, respectively, which reflects the release of approximately $35.5 million, or $0.53 per diluted share, in valuation allowance against our deferred tax assets, partially offset by income tax expense of $0.4 million and $0.5 million, respectively, in states where our usage of net operating losses ("NOL") is limited.</w:t>
      </w:r>
    </w:p>
    <w:p>
      <w:pPr>
        <w:spacing w:after="0" w:line="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able to utilize our remaining NOL carryforwards to reduce our cash federal and state income taxes. We began the year with $78.9 million in federal NOL carryforwards.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the second quarter of fiscal 2023, we recorded net income of $11.6 million, or $0.18 per diluted share, as compared to net income of $56.9 million, or $0.85 per diluted share, for the second quarter of fiscal 2022. Net income for the first six months of fiscal 2023 was $18.6 million, or $0.28 per diluted share, as compared to net income of $70.3 million, or $1.04 per diluted share for the first six months of fiscal 2022.</w:t>
      </w:r>
    </w:p>
    <w:p>
      <w:pPr>
        <w:spacing w:after="0" w:line="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 non-GAAP basis, assuming a normalized tax rate of 26% and adjusting for asset impairments (gains), if any, and for the loss on the termination of the pension plan, adjusted net income for the second quarter of fiscal 2023 was $14.8 million, or $0.23 per diluted share, as compared to adjusted net income of $16.1 million, or $0.24 per diluted share for the second quarter of fiscal 2022. For the first six months of fiscal 2023, adjusted net income was $21.8 million, or $0.33 per diluted share, as compared to adjusted net income of $25.8 million, or $0.38 per diluted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of July 29, 2023, our inventory decreased by approximately $9.2 million to $87.5 million, as compared to $96.7 million at July 30, 2022. Managing our inventory remains a primary focus for us given the impact that inflation appears to have had on consumer spending. Based on the sales trends we started to see in March 2023, we took proactive measures and adjusted our receipt plan. At July 29, 2023, our clearance inventory was 9.3% of our total inventory, as compared to 6.9% at July 30, 2022 and still below our historical benchmark of approximately 10.0%.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primary sources of liquidity are our cash and cash equivalents, short-term investments, cash generated from operations and availability under our credit facility, which is discussed below. At July 29, 2023, we had no outstanding debt, including no borrowings under our credit facility during the first six months of fiscal 2023. Cash that is in excess of our forecasted needs may be invested in money market accounts and U.S. government-backed securities.</w:t>
      </w:r>
    </w:p>
    <w:p>
      <w:pPr>
        <w:spacing w:after="0" w:line="4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However, we remain cautious regarding the effect that the current macroeconomic conditions, including inflation and rising interest costs, may have on consumer spending as well as the continuing geopolitical impact of Russia's invasion of Ukraine on our business and the global economy. We also believe that cash flows from operating activities and cash on hand will be sufficient to satisfy our capital requirements in the longer-term, however, to the extent future capital requirements exceed cash on hand plus cash flows from operating activities, we anticipate that working capital will be financed by our credit facility, as discussed below.</w:t>
      </w:r>
    </w:p>
    <w:p>
      <w:pPr>
        <w:spacing w:after="0" w:line="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six months of fiscal 2023, cash flow from operations increased to $26.2 million as compared to $23.8 million for the first six months of fiscal 2022. Free cash flow, a non-GAAP measure, increased to $21.6 million for the first six months of fiscal 2023 as compared to $19.8 million for the first six months of fiscal 2022. The increase in free cash flow was primarily due to a decrease in merchandise purchases as we continue to proactively manage inventory levels.</w:t>
      </w:r>
    </w:p>
    <w:p>
      <w:pPr>
        <w:spacing w:after="0" w:line="7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Cash flow used for investing activities increased by $44.0 million for the first six months of fiscal 2023 as compared to the first six months of fiscal 2022, primarily due to the purchase of $43.5 million of short-term investments.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auto"/>
        </w:rPr>
        <w:t>Cash flow used for financing activities for the first six months of fiscal 2023 decreased by $2.1 million as compared to the first six months of fiscal 2022, primarily due to a decrease in shares repurchased as compared to the second quarter of fiscal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1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March 2023, the Company’s Board of Directors approved a stock repurchase program. Under the stock repurchase program, the Company may repurchase up to $15.0 million of its common stock through open market and privately negotiated transactions. During the second quarter of fiscal 2023, we repurchased 2.2 million shares at a total cost, including fees of $10.8 million. Shares of repurchased common stock are held as treasury stock. The timing and the amount of any remaining repurchases will be determined based on the Company’s evaluation of market conditions and other factors. The stock repurchase program will expire on March 16, 2024 and may be suspended, terminated or modified at any time for any reason.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October 28, 2021, we entered into a $125.0 million revolving credit agreement with Citizens Bank, N.A., with a maturity date of October 28, 2026. On April 20, 2023, the Company entered into the First Amendment to Credit Agreement which provided for the replacement of the London Interbank Offering Rate (“LIBOR”) interest rate options with the secured overnight financing rate ("SOFR") based options (as amended, the "Credit Facility"). The Credit Facility includes a sublimit of $20.0 million for commercial and standby letters of credit and a sublimit of up to $15.0 million for swingline loans. April 20, 2023, borrowings under the Credit Facility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had no outstanding borrowings under the Credit Facility at July 29, 2023 and no borrowings during the first six months of fiscal 2023. At July 29, 2023, outstanding standby letters of credit were $4.0 million and outstanding documentary letters of credit were $1.2 million. The average unused excess availability during the first six months of fiscal 2023 was approximately $85.6 million and the unused excess availability at July 29, 2023 was $81.8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fiscal 2023, we expect our capital expenditures to range from $19.0 million to $21.0 million, of which approximately $7.8 million is discretionary spending for new or improved stores with the remaining for non-discretionary, infrastructure improvements.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July 29, 2023 and July 30, 2022,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tcPr>
          <w:p>
            <w:pPr>
              <w:ind w:left="900"/>
              <w:spacing w:after="0"/>
              <w:rPr>
                <w:sz w:val="20"/>
                <w:szCs w:val="20"/>
                <w:color w:val="auto"/>
              </w:rPr>
            </w:pPr>
            <w:r>
              <w:rPr>
                <w:rFonts w:ascii="Arial" w:cs="Arial" w:eastAsia="Arial" w:hAnsi="Arial"/>
                <w:sz w:val="14"/>
                <w:szCs w:val="14"/>
                <w:color w:val="auto"/>
                <w:w w:val="96"/>
              </w:rPr>
              <w:t>July 29, 2023</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ind w:left="880"/>
              <w:spacing w:after="0"/>
              <w:rPr>
                <w:sz w:val="20"/>
                <w:szCs w:val="20"/>
                <w:color w:val="auto"/>
              </w:rPr>
            </w:pPr>
            <w:r>
              <w:rPr>
                <w:rFonts w:ascii="Arial" w:cs="Arial" w:eastAsia="Arial" w:hAnsi="Arial"/>
                <w:sz w:val="14"/>
                <w:szCs w:val="14"/>
                <w:color w:val="auto"/>
                <w:w w:val="93"/>
              </w:rPr>
              <w:t>July 30, 2022</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4"/>
              </w:rPr>
              <w:t>Number of</w:t>
            </w:r>
          </w:p>
        </w:tc>
        <w:tc>
          <w:tcPr>
            <w:tcW w:w="840" w:type="dxa"/>
            <w:vAlign w:val="bottom"/>
          </w:tcPr>
          <w:p>
            <w:pPr>
              <w:jc w:val="right"/>
              <w:ind w:right="295"/>
              <w:spacing w:after="0" w:line="149" w:lineRule="exact"/>
              <w:rPr>
                <w:sz w:val="20"/>
                <w:szCs w:val="20"/>
                <w:color w:val="auto"/>
              </w:rPr>
            </w:pPr>
            <w:r>
              <w:rPr>
                <w:rFonts w:ascii="Arial" w:cs="Arial" w:eastAsia="Arial" w:hAnsi="Arial"/>
                <w:sz w:val="14"/>
                <w:szCs w:val="14"/>
                <w:color w:val="auto"/>
                <w:w w:val="97"/>
              </w:rPr>
              <w:t>Square</w:t>
            </w:r>
          </w:p>
        </w:tc>
        <w:tc>
          <w:tcPr>
            <w:tcW w:w="220" w:type="dxa"/>
            <w:vAlign w:val="bottom"/>
          </w:tcPr>
          <w:p>
            <w:pPr>
              <w:spacing w:after="0"/>
              <w:rPr>
                <w:sz w:val="12"/>
                <w:szCs w:val="12"/>
                <w:color w:val="auto"/>
              </w:rPr>
            </w:pPr>
          </w:p>
        </w:tc>
        <w:tc>
          <w:tcPr>
            <w:tcW w:w="168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4"/>
              </w:rPr>
              <w:t>Number of</w:t>
            </w:r>
          </w:p>
        </w:tc>
        <w:tc>
          <w:tcPr>
            <w:tcW w:w="840" w:type="dxa"/>
            <w:vAlign w:val="bottom"/>
          </w:tcPr>
          <w:p>
            <w:pPr>
              <w:jc w:val="right"/>
              <w:ind w:right="295"/>
              <w:spacing w:after="0" w:line="149" w:lineRule="exact"/>
              <w:rPr>
                <w:sz w:val="20"/>
                <w:szCs w:val="20"/>
                <w:color w:val="auto"/>
              </w:rPr>
            </w:pPr>
            <w:r>
              <w:rPr>
                <w:rFonts w:ascii="Arial" w:cs="Arial" w:eastAsia="Arial" w:hAnsi="Arial"/>
                <w:sz w:val="14"/>
                <w:szCs w:val="14"/>
                <w:color w:val="auto"/>
                <w:w w:val="97"/>
              </w:rPr>
              <w:t>Square</w:t>
            </w:r>
          </w:p>
        </w:tc>
        <w:tc>
          <w:tcPr>
            <w:tcW w:w="220" w:type="dxa"/>
            <w:vAlign w:val="bottom"/>
          </w:tcPr>
          <w:p>
            <w:pPr>
              <w:spacing w:after="0"/>
              <w:rPr>
                <w:sz w:val="12"/>
                <w:szCs w:val="12"/>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color w:val="auto"/>
              </w:rPr>
              <w:t>Store Concept</w:t>
            </w:r>
          </w:p>
        </w:tc>
        <w:tc>
          <w:tcPr>
            <w:tcW w:w="120" w:type="dxa"/>
            <w:vAlign w:val="bottom"/>
          </w:tcPr>
          <w:p>
            <w:pPr>
              <w:spacing w:after="0"/>
              <w:rPr>
                <w:sz w:val="15"/>
                <w:szCs w:val="15"/>
                <w:color w:val="auto"/>
              </w:rPr>
            </w:pPr>
          </w:p>
        </w:tc>
        <w:tc>
          <w:tcPr>
            <w:tcW w:w="1720" w:type="dxa"/>
            <w:vAlign w:val="bottom"/>
            <w:gridSpan w:val="3"/>
          </w:tcPr>
          <w:p>
            <w:pPr>
              <w:jc w:val="center"/>
              <w:ind w:right="560"/>
              <w:spacing w:after="0"/>
              <w:rPr>
                <w:sz w:val="20"/>
                <w:szCs w:val="20"/>
                <w:color w:val="auto"/>
              </w:rPr>
            </w:pPr>
            <w:r>
              <w:rPr>
                <w:rFonts w:ascii="Arial" w:cs="Arial" w:eastAsia="Arial" w:hAnsi="Arial"/>
                <w:sz w:val="14"/>
                <w:szCs w:val="14"/>
                <w:color w:val="auto"/>
                <w:w w:val="88"/>
              </w:rPr>
              <w:t>Stores</w:t>
            </w:r>
          </w:p>
        </w:tc>
        <w:tc>
          <w:tcPr>
            <w:tcW w:w="840" w:type="dxa"/>
            <w:vAlign w:val="bottom"/>
          </w:tcPr>
          <w:p>
            <w:pPr>
              <w:jc w:val="right"/>
              <w:ind w:right="255"/>
              <w:spacing w:after="0"/>
              <w:rPr>
                <w:sz w:val="20"/>
                <w:szCs w:val="20"/>
                <w:color w:val="auto"/>
              </w:rPr>
            </w:pPr>
            <w:r>
              <w:rPr>
                <w:rFonts w:ascii="Arial" w:cs="Arial" w:eastAsia="Arial" w:hAnsi="Arial"/>
                <w:sz w:val="14"/>
                <w:szCs w:val="14"/>
                <w:color w:val="auto"/>
                <w:w w:val="93"/>
              </w:rPr>
              <w:t>Footage</w:t>
            </w:r>
          </w:p>
        </w:tc>
        <w:tc>
          <w:tcPr>
            <w:tcW w:w="220" w:type="dxa"/>
            <w:vAlign w:val="bottom"/>
          </w:tcPr>
          <w:p>
            <w:pPr>
              <w:spacing w:after="0"/>
              <w:rPr>
                <w:sz w:val="15"/>
                <w:szCs w:val="15"/>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4"/>
                <w:szCs w:val="14"/>
                <w:color w:val="auto"/>
                <w:w w:val="88"/>
              </w:rPr>
              <w:t>Stores</w:t>
            </w:r>
          </w:p>
        </w:tc>
        <w:tc>
          <w:tcPr>
            <w:tcW w:w="840" w:type="dxa"/>
            <w:vAlign w:val="bottom"/>
          </w:tcPr>
          <w:p>
            <w:pPr>
              <w:jc w:val="right"/>
              <w:ind w:right="255"/>
              <w:spacing w:after="0"/>
              <w:rPr>
                <w:sz w:val="20"/>
                <w:szCs w:val="20"/>
                <w:color w:val="auto"/>
              </w:rPr>
            </w:pPr>
            <w:r>
              <w:rPr>
                <w:rFonts w:ascii="Arial" w:cs="Arial" w:eastAsia="Arial" w:hAnsi="Arial"/>
                <w:sz w:val="14"/>
                <w:szCs w:val="14"/>
                <w:color w:val="auto"/>
                <w:w w:val="93"/>
              </w:rPr>
              <w:t>Footage</w:t>
            </w:r>
          </w:p>
        </w:tc>
        <w:tc>
          <w:tcPr>
            <w:tcW w:w="220" w:type="dxa"/>
            <w:vAlign w:val="bottom"/>
          </w:tcPr>
          <w:p>
            <w:pPr>
              <w:spacing w:after="0"/>
              <w:rPr>
                <w:sz w:val="15"/>
                <w:szCs w:val="15"/>
                <w:color w:val="auto"/>
              </w:rPr>
            </w:pPr>
          </w:p>
        </w:tc>
      </w:tr>
      <w:tr>
        <w:trPr>
          <w:trHeight w:val="198"/>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(square footage in thousands)</w:t>
            </w: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39"/>
        </w:trPr>
        <w:tc>
          <w:tcPr>
            <w:tcW w:w="560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DXL Retail</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220" w:type="dxa"/>
            <w:vAlign w:val="bottom"/>
            <w:shd w:val="clear" w:color="auto" w:fill="CFF0FC"/>
          </w:tcPr>
          <w:p>
            <w:pPr>
              <w:spacing w:after="0"/>
              <w:rPr>
                <w:sz w:val="21"/>
                <w:szCs w:val="2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DXL Outlets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Casual Male XL Retail</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21"/>
                <w:szCs w:val="2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Casual Male Outlets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Stores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have executed lease agreements for three new stores, one in each of the Los Angeles, New York and Cincinnati markets. We expect these stores to open by the end of 2023. During the second quarter, we completed the conversion of one Casual Male store to the DXL store format. By the end of fiscal 2023, we expect to open 3 new DXL stores and 10 Casual Male-to-DXL conversion stores and to have begun construction on at least 5 DXL remodels. Over the next three to five years, we believe we could potentially open 50 net new DXL stores across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42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2022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Free cash flow, adjusted net income, adjusted net income per diluted share, adjusted EBITDA and adjusted EBITDA margin are non-GAAP measures. These non-GAAP measures are not presented in accordance with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Reconciliations of these non-GAAP measures are presented in the following tables </w:t>
      </w:r>
      <w:r>
        <w:rPr>
          <w:rFonts w:ascii="Arial" w:cs="Arial" w:eastAsia="Arial" w:hAnsi="Arial"/>
          <w:sz w:val="18"/>
          <w:szCs w:val="18"/>
          <w:i w:val="1"/>
          <w:iCs w:val="1"/>
          <w:color w:val="auto"/>
        </w:rPr>
        <w:t>(certain columns may not foot due to rounding)</w:t>
      </w:r>
      <w:r>
        <w:rPr>
          <w:rFonts w:ascii="Arial" w:cs="Arial" w:eastAsia="Arial" w:hAnsi="Arial"/>
          <w:sz w:val="18"/>
          <w:szCs w:val="18"/>
          <w:color w:val="auto"/>
        </w:rPr>
        <w:t>:</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u w:val="single" w:color="auto"/>
          <w:color w:val="auto"/>
        </w:rPr>
        <w:t>Free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free cash flow as cash flow from operating activities less capital expenditures. Free cash flow excludes the mandatory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repayment of debt. Free cash flow is a metric that management uses to monitor liquidity. Management believes this metric is important to investors because it demonstrates the Company's ability to strengthen liquidity while supporting its capital projects and new store growth. We expect to fund our ongoing capital expenditures with cash flow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40" w:type="dxa"/>
            <w:vAlign w:val="bottom"/>
            <w:gridSpan w:val="5"/>
          </w:tcPr>
          <w:p>
            <w:pPr>
              <w:jc w:val="right"/>
              <w:ind w:right="1880"/>
              <w:spacing w:after="0"/>
              <w:rPr>
                <w:sz w:val="20"/>
                <w:szCs w:val="20"/>
                <w:color w:val="auto"/>
              </w:rPr>
            </w:pPr>
            <w:r>
              <w:rPr>
                <w:rFonts w:ascii="Arial" w:cs="Arial" w:eastAsia="Arial" w:hAnsi="Arial"/>
                <w:sz w:val="14"/>
                <w:szCs w:val="14"/>
                <w:color w:val="auto"/>
              </w:rPr>
              <w:t>For the six months ended</w:t>
            </w: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5"/>
                <w:szCs w:val="15"/>
                <w:color w:val="auto"/>
              </w:rPr>
            </w:pPr>
          </w:p>
        </w:tc>
        <w:tc>
          <w:tcPr>
            <w:tcW w:w="2080" w:type="dxa"/>
            <w:vAlign w:val="bottom"/>
            <w:gridSpan w:val="2"/>
          </w:tcPr>
          <w:p>
            <w:pPr>
              <w:jc w:val="right"/>
              <w:ind w:right="1020"/>
              <w:spacing w:after="0"/>
              <w:rPr>
                <w:sz w:val="20"/>
                <w:szCs w:val="20"/>
                <w:color w:val="auto"/>
              </w:rPr>
            </w:pPr>
            <w:r>
              <w:rPr>
                <w:rFonts w:ascii="Arial" w:cs="Arial" w:eastAsia="Arial" w:hAnsi="Arial"/>
                <w:sz w:val="14"/>
                <w:szCs w:val="14"/>
                <w:color w:val="auto"/>
              </w:rPr>
              <w:t>July 29, 2023</w:t>
            </w:r>
          </w:p>
        </w:tc>
        <w:tc>
          <w:tcPr>
            <w:tcW w:w="440" w:type="dxa"/>
            <w:vAlign w:val="bottom"/>
          </w:tcPr>
          <w:p>
            <w:pPr>
              <w:spacing w:after="0"/>
              <w:rPr>
                <w:sz w:val="15"/>
                <w:szCs w:val="15"/>
                <w:color w:val="auto"/>
              </w:rPr>
            </w:pPr>
          </w:p>
        </w:tc>
        <w:tc>
          <w:tcPr>
            <w:tcW w:w="2320" w:type="dxa"/>
            <w:vAlign w:val="bottom"/>
            <w:gridSpan w:val="2"/>
          </w:tcPr>
          <w:p>
            <w:pPr>
              <w:jc w:val="right"/>
              <w:ind w:right="1180"/>
              <w:spacing w:after="0"/>
              <w:rPr>
                <w:sz w:val="20"/>
                <w:szCs w:val="20"/>
                <w:color w:val="auto"/>
              </w:rPr>
            </w:pPr>
            <w:r>
              <w:rPr>
                <w:rFonts w:ascii="Arial" w:cs="Arial" w:eastAsia="Arial" w:hAnsi="Arial"/>
                <w:sz w:val="14"/>
                <w:szCs w:val="14"/>
                <w:color w:val="auto"/>
              </w:rPr>
              <w:t>July 30, 2022</w:t>
            </w:r>
          </w:p>
        </w:tc>
      </w:tr>
      <w:tr>
        <w:trPr>
          <w:trHeight w:val="169"/>
        </w:trPr>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8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w:t>
            </w:r>
          </w:p>
        </w:tc>
        <w:tc>
          <w:tcPr>
            <w:tcW w:w="36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380" w:type="dxa"/>
            <w:vAlign w:val="bottom"/>
            <w:shd w:val="clear" w:color="auto" w:fill="CFF0FC"/>
          </w:tcPr>
          <w:p>
            <w:pPr>
              <w:spacing w:after="0"/>
              <w:rPr>
                <w:sz w:val="14"/>
                <w:szCs w:val="14"/>
                <w:color w:val="auto"/>
              </w:rPr>
            </w:pPr>
          </w:p>
        </w:tc>
      </w:tr>
      <w:tr>
        <w:trPr>
          <w:trHeight w:val="175"/>
        </w:trPr>
        <w:tc>
          <w:tcPr>
            <w:tcW w:w="602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80" w:type="dxa"/>
            <w:vAlign w:val="bottom"/>
          </w:tcPr>
          <w:p>
            <w:pPr>
              <w:spacing w:after="0"/>
              <w:rPr>
                <w:sz w:val="15"/>
                <w:szCs w:val="15"/>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4"/>
                <w:szCs w:val="14"/>
                <w:color w:val="auto"/>
              </w:rPr>
              <w:t>(4.7 )</w:t>
            </w:r>
          </w:p>
        </w:tc>
        <w:tc>
          <w:tcPr>
            <w:tcW w:w="440" w:type="dxa"/>
            <w:vAlign w:val="bottom"/>
          </w:tcPr>
          <w:p>
            <w:pPr>
              <w:spacing w:after="0"/>
              <w:rPr>
                <w:sz w:val="15"/>
                <w:szCs w:val="15"/>
                <w:color w:val="auto"/>
              </w:rPr>
            </w:pPr>
          </w:p>
        </w:tc>
        <w:tc>
          <w:tcPr>
            <w:tcW w:w="2320" w:type="dxa"/>
            <w:vAlign w:val="bottom"/>
            <w:gridSpan w:val="2"/>
          </w:tcPr>
          <w:p>
            <w:pPr>
              <w:jc w:val="right"/>
              <w:ind w:right="320"/>
              <w:spacing w:after="0"/>
              <w:rPr>
                <w:sz w:val="20"/>
                <w:szCs w:val="20"/>
                <w:color w:val="auto"/>
              </w:rPr>
            </w:pPr>
            <w:r>
              <w:rPr>
                <w:rFonts w:ascii="Arial" w:cs="Arial" w:eastAsia="Arial" w:hAnsi="Arial"/>
                <w:sz w:val="14"/>
                <w:szCs w:val="14"/>
                <w:color w:val="auto"/>
              </w:rPr>
              <w:t>(4.1 )</w:t>
            </w:r>
          </w:p>
        </w:tc>
      </w:tr>
      <w:tr>
        <w:trPr>
          <w:trHeight w:val="209"/>
        </w:trPr>
        <w:tc>
          <w:tcPr>
            <w:tcW w:w="60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8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w:t>
            </w: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19.8</w:t>
            </w:r>
          </w:p>
        </w:tc>
        <w:tc>
          <w:tcPr>
            <w:tcW w:w="3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Adjusted Net Income and Adjusted Net Income Per Diluted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net income and adjusted net income per diluted share is calculated by</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any asset impairment charge (gain) and the loss from the termination of the pension plan, subtracting the actual income tax provision (benefit) and applying an effective tax rate of 26%.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7"/>
          </w:tcPr>
          <w:p>
            <w:pPr>
              <w:jc w:val="right"/>
              <w:ind w:right="380"/>
              <w:spacing w:after="0"/>
              <w:rPr>
                <w:sz w:val="20"/>
                <w:szCs w:val="20"/>
                <w:color w:val="auto"/>
              </w:rPr>
            </w:pPr>
            <w:r>
              <w:rPr>
                <w:rFonts w:ascii="Arial" w:cs="Arial" w:eastAsia="Arial" w:hAnsi="Arial"/>
                <w:sz w:val="18"/>
                <w:szCs w:val="18"/>
                <w:color w:val="auto"/>
                <w:w w:val="88"/>
              </w:rPr>
              <w:t>For the three months ended</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00" w:type="dxa"/>
            <w:vAlign w:val="bottom"/>
            <w:gridSpan w:val="7"/>
          </w:tcPr>
          <w:p>
            <w:pPr>
              <w:jc w:val="right"/>
              <w:ind w:right="60"/>
              <w:spacing w:after="0"/>
              <w:rPr>
                <w:sz w:val="20"/>
                <w:szCs w:val="20"/>
                <w:color w:val="auto"/>
              </w:rPr>
            </w:pPr>
            <w:r>
              <w:rPr>
                <w:rFonts w:ascii="Arial" w:cs="Arial" w:eastAsia="Arial" w:hAnsi="Arial"/>
                <w:sz w:val="18"/>
                <w:szCs w:val="18"/>
                <w:color w:val="auto"/>
                <w:w w:val="89"/>
              </w:rPr>
              <w:t>For the six months ended</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8"/>
                <w:szCs w:val="18"/>
                <w:color w:val="auto"/>
                <w:w w:val="91"/>
              </w:rPr>
              <w:t>July 29, 2023</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color w:val="auto"/>
                <w:w w:val="97"/>
              </w:rPr>
              <w:t>July 30, 2022</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8"/>
                <w:szCs w:val="18"/>
                <w:color w:val="auto"/>
                <w:w w:val="95"/>
              </w:rPr>
              <w:t>July 29, 2023</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8"/>
                <w:szCs w:val="18"/>
                <w:color w:val="auto"/>
                <w:w w:val="97"/>
              </w:rPr>
              <w:t>July 30,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99"/>
              <w:spacing w:after="0" w:line="143" w:lineRule="exact"/>
              <w:rPr>
                <w:sz w:val="20"/>
                <w:szCs w:val="20"/>
                <w:color w:val="auto"/>
              </w:rPr>
            </w:pPr>
            <w:r>
              <w:rPr>
                <w:rFonts w:ascii="Arial" w:cs="Arial" w:eastAsia="Arial" w:hAnsi="Arial"/>
                <w:sz w:val="14"/>
                <w:szCs w:val="14"/>
                <w:color w:val="auto"/>
                <w:w w:val="82"/>
              </w:rPr>
              <w:t>Per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7"/>
              <w:spacing w:after="0" w:line="143" w:lineRule="exact"/>
              <w:rPr>
                <w:sz w:val="20"/>
                <w:szCs w:val="20"/>
                <w:color w:val="auto"/>
              </w:rPr>
            </w:pPr>
            <w:r>
              <w:rPr>
                <w:rFonts w:ascii="Arial" w:cs="Arial" w:eastAsia="Arial" w:hAnsi="Arial"/>
                <w:sz w:val="14"/>
                <w:szCs w:val="14"/>
                <w:color w:val="auto"/>
                <w:w w:val="91"/>
              </w:rPr>
              <w:t>Per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center"/>
              <w:ind w:right="37"/>
              <w:spacing w:after="0" w:line="143" w:lineRule="exact"/>
              <w:rPr>
                <w:sz w:val="20"/>
                <w:szCs w:val="20"/>
                <w:color w:val="auto"/>
              </w:rPr>
            </w:pPr>
            <w:r>
              <w:rPr>
                <w:rFonts w:ascii="Arial" w:cs="Arial" w:eastAsia="Arial" w:hAnsi="Arial"/>
                <w:sz w:val="14"/>
                <w:szCs w:val="14"/>
                <w:color w:val="auto"/>
                <w:w w:val="91"/>
              </w:rPr>
              <w:t>Per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7"/>
              <w:spacing w:after="0" w:line="143" w:lineRule="exact"/>
              <w:rPr>
                <w:sz w:val="20"/>
                <w:szCs w:val="20"/>
                <w:color w:val="auto"/>
              </w:rPr>
            </w:pPr>
            <w:r>
              <w:rPr>
                <w:rFonts w:ascii="Arial" w:cs="Arial" w:eastAsia="Arial" w:hAnsi="Arial"/>
                <w:sz w:val="14"/>
                <w:szCs w:val="14"/>
                <w:color w:val="auto"/>
                <w:w w:val="91"/>
              </w:rPr>
              <w:t>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96"/>
              </w:rPr>
              <w:t>diluted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restart"/>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diluted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diluted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w w:val="85"/>
              </w:rPr>
              <w:t>share</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1"/>
              </w:rPr>
              <w:t>share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5"/>
              </w:rPr>
              <w:t>share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5"/>
              </w:rPr>
              <w:t>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gridSpan w:val="3"/>
          </w:tcPr>
          <w:p>
            <w:pPr>
              <w:ind w:left="20"/>
              <w:spacing w:after="0" w:line="182" w:lineRule="exact"/>
              <w:rPr>
                <w:sz w:val="20"/>
                <w:szCs w:val="20"/>
                <w:color w:val="auto"/>
              </w:rPr>
            </w:pPr>
            <w:r>
              <w:rPr>
                <w:rFonts w:ascii="Arial" w:cs="Arial" w:eastAsia="Arial" w:hAnsi="Arial"/>
                <w:sz w:val="18"/>
                <w:szCs w:val="18"/>
                <w:i w:val="1"/>
                <w:iCs w:val="1"/>
                <w:color w:val="auto"/>
              </w:rPr>
              <w:t>(in millions, except per share data)</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Net income (GAAP basis)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11.6</w:t>
            </w:r>
          </w:p>
        </w:tc>
        <w:tc>
          <w:tcPr>
            <w:tcW w:w="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Adjust for impairment (gain) of assets</w:t>
            </w:r>
          </w:p>
        </w:tc>
        <w:tc>
          <w:tcPr>
            <w:tcW w:w="5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Add back loss on termination of pension plan</w:t>
            </w:r>
          </w:p>
        </w:tc>
        <w:tc>
          <w:tcPr>
            <w:tcW w:w="5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Add back actual income tax provision</w:t>
            </w:r>
          </w:p>
        </w:tc>
        <w:tc>
          <w:tcPr>
            <w:tcW w:w="5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(35.1 )</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6"/>
              </w:rPr>
              <w:t>(35.0 )</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40" w:type="dxa"/>
            <w:vAlign w:val="bottom"/>
            <w:gridSpan w:val="3"/>
          </w:tcPr>
          <w:p>
            <w:pPr>
              <w:ind w:left="20"/>
              <w:spacing w:after="0"/>
              <w:rPr>
                <w:sz w:val="20"/>
                <w:szCs w:val="20"/>
                <w:color w:val="auto"/>
              </w:rPr>
            </w:pPr>
            <w:r>
              <w:rPr>
                <w:rFonts w:ascii="Arial" w:cs="Arial" w:eastAsia="Arial" w:hAnsi="Arial"/>
                <w:sz w:val="18"/>
                <w:szCs w:val="18"/>
                <w:color w:val="auto"/>
                <w:w w:val="96"/>
              </w:rPr>
              <w:t>Add income tax provision, assuming a normal tax</w:t>
            </w:r>
          </w:p>
        </w:tc>
        <w:tc>
          <w:tcPr>
            <w:tcW w:w="500" w:type="dxa"/>
            <w:vAlign w:val="bottom"/>
          </w:tcPr>
          <w:p>
            <w:pPr>
              <w:spacing w:after="0"/>
              <w:rPr>
                <w:sz w:val="18"/>
                <w:szCs w:val="18"/>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(5.2 )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rate of 26%</w:t>
            </w:r>
          </w:p>
        </w:tc>
        <w:tc>
          <w:tcPr>
            <w:tcW w:w="50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Adjusted net income (non-GAAP basis)</w:t>
            </w: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14.8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outstanding on a diluted basis</w:t>
            </w:r>
          </w:p>
        </w:tc>
        <w:tc>
          <w:tcPr>
            <w:tcW w:w="5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u w:val="single" w:color="auto"/>
          <w:color w:val="auto"/>
        </w:rPr>
        <w:t>Adjusted EBITDA and Adjusted EBITDA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is calculated as earnings before interest, taxes, depreciation and amortization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before any impairment of assets, if any. Adjusted EBITDA margin is calculated as Adjusted EBITDA divided by Sales. We believe that providing adjusted EBITDA and adjusted EBITDA margin is useful to investors in evaluating our performance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180"/>
        <w:spacing w:after="0" w:line="277" w:lineRule="auto"/>
        <w:rPr>
          <w:sz w:val="20"/>
          <w:szCs w:val="20"/>
          <w:color w:val="auto"/>
        </w:rPr>
      </w:pPr>
      <w:r>
        <w:rPr>
          <w:rFonts w:ascii="Arial" w:cs="Arial" w:eastAsia="Arial" w:hAnsi="Arial"/>
          <w:sz w:val="18"/>
          <w:szCs w:val="18"/>
          <w:color w:val="auto"/>
        </w:rPr>
        <w:t>and are key metrics to measure profitability and economic productivity. The following table reconciles adjusted EBITDA from net income and calculates adjusted EBITDA margin: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5"/>
          </w:tcPr>
          <w:p>
            <w:pPr>
              <w:jc w:val="right"/>
              <w:ind w:right="920"/>
              <w:spacing w:after="0"/>
              <w:rPr>
                <w:sz w:val="20"/>
                <w:szCs w:val="20"/>
                <w:color w:val="auto"/>
              </w:rPr>
            </w:pPr>
            <w:r>
              <w:rPr>
                <w:rFonts w:ascii="Arial" w:cs="Arial" w:eastAsia="Arial" w:hAnsi="Arial"/>
                <w:sz w:val="14"/>
                <w:szCs w:val="14"/>
                <w:color w:val="auto"/>
              </w:rPr>
              <w:t>For the three months ended</w:t>
            </w:r>
          </w:p>
        </w:tc>
        <w:tc>
          <w:tcPr>
            <w:tcW w:w="160" w:type="dxa"/>
            <w:vAlign w:val="bottom"/>
          </w:tcPr>
          <w:p>
            <w:pPr>
              <w:spacing w:after="0"/>
              <w:rPr>
                <w:sz w:val="15"/>
                <w:szCs w:val="15"/>
                <w:color w:val="auto"/>
              </w:rPr>
            </w:pPr>
          </w:p>
        </w:tc>
        <w:tc>
          <w:tcPr>
            <w:tcW w:w="2840" w:type="dxa"/>
            <w:vAlign w:val="bottom"/>
            <w:gridSpan w:val="6"/>
          </w:tcPr>
          <w:p>
            <w:pPr>
              <w:ind w:left="540"/>
              <w:spacing w:after="0"/>
              <w:rPr>
                <w:sz w:val="20"/>
                <w:szCs w:val="20"/>
                <w:color w:val="auto"/>
              </w:rPr>
            </w:pPr>
            <w:r>
              <w:rPr>
                <w:rFonts w:ascii="Arial" w:cs="Arial" w:eastAsia="Arial" w:hAnsi="Arial"/>
                <w:sz w:val="14"/>
                <w:szCs w:val="14"/>
                <w:color w:val="auto"/>
              </w:rPr>
              <w:t>For the six months ended</w:t>
            </w:r>
          </w:p>
        </w:tc>
      </w:tr>
      <w:tr>
        <w:trPr>
          <w:trHeight w:val="181"/>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color w:val="auto"/>
              </w:rPr>
              <w:t>July 29, 2023</w:t>
            </w:r>
          </w:p>
        </w:tc>
        <w:tc>
          <w:tcPr>
            <w:tcW w:w="18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rPr>
              <w:t>July 30, 2022</w:t>
            </w:r>
          </w:p>
        </w:tc>
        <w:tc>
          <w:tcPr>
            <w:tcW w:w="160" w:type="dxa"/>
            <w:vAlign w:val="bottom"/>
          </w:tcPr>
          <w:p>
            <w:pPr>
              <w:spacing w:after="0"/>
              <w:rPr>
                <w:sz w:val="15"/>
                <w:szCs w:val="15"/>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w w:val="98"/>
              </w:rPr>
              <w:t>July 29, 2023</w:t>
            </w:r>
          </w:p>
        </w:tc>
        <w:tc>
          <w:tcPr>
            <w:tcW w:w="180" w:type="dxa"/>
            <w:vAlign w:val="bottom"/>
          </w:tcPr>
          <w:p>
            <w:pPr>
              <w:spacing w:after="0"/>
              <w:rPr>
                <w:sz w:val="15"/>
                <w:szCs w:val="15"/>
                <w:color w:val="auto"/>
              </w:rPr>
            </w:pPr>
          </w:p>
        </w:tc>
        <w:tc>
          <w:tcPr>
            <w:tcW w:w="1300" w:type="dxa"/>
            <w:vAlign w:val="bottom"/>
            <w:gridSpan w:val="3"/>
          </w:tcPr>
          <w:p>
            <w:pPr>
              <w:ind w:left="100"/>
              <w:spacing w:after="0"/>
              <w:rPr>
                <w:sz w:val="20"/>
                <w:szCs w:val="20"/>
                <w:color w:val="auto"/>
              </w:rPr>
            </w:pPr>
            <w:r>
              <w:rPr>
                <w:rFonts w:ascii="Arial" w:cs="Arial" w:eastAsia="Arial" w:hAnsi="Arial"/>
                <w:sz w:val="14"/>
                <w:szCs w:val="14"/>
                <w:color w:val="auto"/>
              </w:rPr>
              <w:t>July 30, 2022</w:t>
            </w:r>
          </w:p>
        </w:tc>
      </w:tr>
      <w:tr>
        <w:trPr>
          <w:trHeight w:val="156"/>
        </w:trPr>
        <w:tc>
          <w:tcPr>
            <w:tcW w:w="20" w:type="dxa"/>
            <w:vAlign w:val="bottom"/>
          </w:tcPr>
          <w:p>
            <w:pPr>
              <w:spacing w:after="0"/>
              <w:rPr>
                <w:sz w:val="13"/>
                <w:szCs w:val="13"/>
                <w:color w:val="auto"/>
              </w:rPr>
            </w:pPr>
          </w:p>
        </w:tc>
        <w:tc>
          <w:tcPr>
            <w:tcW w:w="50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20" w:type="dxa"/>
            <w:vAlign w:val="bottom"/>
            <w:shd w:val="clear" w:color="auto" w:fill="CFF0FC"/>
          </w:tcPr>
          <w:p>
            <w:pPr>
              <w:spacing w:after="0"/>
              <w:rPr>
                <w:sz w:val="15"/>
                <w:szCs w:val="15"/>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 (GAAP basis)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Add back:</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Impairment (gain) of assets</w:t>
            </w:r>
          </w:p>
        </w:tc>
        <w:tc>
          <w:tcPr>
            <w:tcW w:w="18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(0.0 )</w:t>
            </w: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(0.4 )</w:t>
            </w:r>
          </w:p>
        </w:tc>
        <w:tc>
          <w:tcPr>
            <w:tcW w:w="20" w:type="dxa"/>
            <w:vAlign w:val="bottom"/>
          </w:tcPr>
          <w:p>
            <w:pPr>
              <w:spacing w:after="0"/>
              <w:rPr>
                <w:sz w:val="15"/>
                <w:szCs w:val="15"/>
                <w:color w:val="auto"/>
              </w:rPr>
            </w:pPr>
          </w:p>
        </w:tc>
      </w:tr>
      <w:tr>
        <w:trPr>
          <w:trHeight w:val="176"/>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Loss on termination of pension plan</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5"/>
        </w:trPr>
        <w:tc>
          <w:tcPr>
            <w:tcW w:w="50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Provision (benefit) for income taxes</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(35.1 )</w:t>
            </w: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(35.0 )</w:t>
            </w:r>
          </w:p>
        </w:tc>
        <w:tc>
          <w:tcPr>
            <w:tcW w:w="20" w:type="dxa"/>
            <w:vAlign w:val="bottom"/>
          </w:tcPr>
          <w:p>
            <w:pPr>
              <w:spacing w:after="0"/>
              <w:rPr>
                <w:sz w:val="15"/>
                <w:szCs w:val="15"/>
                <w:color w:val="auto"/>
              </w:rPr>
            </w:pPr>
          </w:p>
        </w:tc>
      </w:tr>
      <w:tr>
        <w:trPr>
          <w:trHeight w:val="176"/>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Interest (income) expense</w:t>
            </w:r>
          </w:p>
        </w:tc>
        <w:tc>
          <w:tcPr>
            <w:tcW w:w="18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(0.5 )</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(0.8 )</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Adjusted EBITDA (non-GAAP basis)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30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28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Sales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140.0</w:t>
            </w:r>
          </w:p>
        </w:tc>
        <w:tc>
          <w:tcPr>
            <w:tcW w:w="3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144.6</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265.5</w:t>
            </w:r>
          </w:p>
        </w:tc>
        <w:tc>
          <w:tcPr>
            <w:tcW w:w="28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Adjusted EBITDA margin (non-GAAP), as a percentage of sales</w:t>
            </w:r>
          </w:p>
        </w:tc>
        <w:tc>
          <w:tcPr>
            <w:tcW w:w="18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16.4 %</w:t>
            </w:r>
          </w:p>
        </w:tc>
        <w:tc>
          <w:tcPr>
            <w:tcW w:w="1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17.9 %</w:t>
            </w: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13.4 %</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15.8 %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-479425</wp:posOffset>
            </wp:positionV>
            <wp:extent cx="7747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-479425</wp:posOffset>
            </wp:positionV>
            <wp:extent cx="6858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-479425</wp:posOffset>
            </wp:positionV>
            <wp:extent cx="6858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interest rate previously disclosed in Part II, Item 7A of our Fiscal 2022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July 29, 2023.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July 29, 2023,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not experienced any changes in our internal control over financial reporting (as defined in Rules 13a-15(f) and 15d-15(f) under the Exchange Act) during the three months ended July 29, 2023 that has materially affected, or is reasonably likely to materially affect, our internal control over financial reporting.</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2022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14, 2023, the Company’s Board of Directors approved a stock repurchase program pursuant to which the Company may repurchase up to $15.0 million of its common stock through open market and privately negotiated transactions. The timing and the amount of any repurchases will be determined based on the Company’s evaluation of market conditions and other factors. The stock repurchase program will expire in March 2024 and may be suspended, terminated or modified at any time for any reason.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repurchase activity during the three months ended July 29, 2023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(c)</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(d)</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Total number of shares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4"/>
              </w:rPr>
              <w:t>Approximate dollar</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(a)</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center"/>
              <w:ind w:right="110"/>
              <w:spacing w:after="0"/>
              <w:rPr>
                <w:sz w:val="20"/>
                <w:szCs w:val="20"/>
                <w:color w:val="auto"/>
              </w:rPr>
            </w:pPr>
            <w:r>
              <w:rPr>
                <w:rFonts w:ascii="Arial" w:cs="Arial" w:eastAsia="Arial" w:hAnsi="Arial"/>
                <w:sz w:val="18"/>
                <w:szCs w:val="18"/>
                <w:color w:val="auto"/>
                <w:w w:val="90"/>
              </w:rPr>
              <w:t>(b)</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purchased as part of</w:t>
            </w:r>
          </w:p>
        </w:tc>
        <w:tc>
          <w:tcPr>
            <w:tcW w:w="220" w:type="dxa"/>
            <w:vAlign w:val="bottom"/>
            <w:shd w:val="clear" w:color="auto" w:fill="CFF0FC"/>
          </w:tcPr>
          <w:p>
            <w:pPr>
              <w:spacing w:after="0"/>
              <w:rPr>
                <w:sz w:val="18"/>
                <w:szCs w:val="18"/>
                <w:color w:val="auto"/>
              </w:rPr>
            </w:pPr>
          </w:p>
        </w:tc>
        <w:tc>
          <w:tcPr>
            <w:tcW w:w="196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w w:val="96"/>
              </w:rPr>
              <w:t>value of shares that may</w:t>
            </w:r>
          </w:p>
        </w:tc>
      </w:tr>
      <w:tr>
        <w:trPr>
          <w:trHeight w:val="194"/>
        </w:trPr>
        <w:tc>
          <w:tcPr>
            <w:tcW w:w="3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10"/>
              <w:spacing w:after="0" w:line="194" w:lineRule="exact"/>
              <w:rPr>
                <w:sz w:val="20"/>
                <w:szCs w:val="20"/>
                <w:color w:val="auto"/>
              </w:rPr>
            </w:pPr>
            <w:r>
              <w:rPr>
                <w:rFonts w:ascii="Arial" w:cs="Arial" w:eastAsia="Arial" w:hAnsi="Arial"/>
                <w:sz w:val="18"/>
                <w:szCs w:val="18"/>
                <w:color w:val="auto"/>
              </w:rPr>
              <w:t>Total number of</w:t>
            </w:r>
          </w:p>
        </w:tc>
        <w:tc>
          <w:tcPr>
            <w:tcW w:w="2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center"/>
              <w:spacing w:after="0" w:line="194" w:lineRule="exact"/>
              <w:rPr>
                <w:sz w:val="20"/>
                <w:szCs w:val="20"/>
                <w:color w:val="auto"/>
              </w:rPr>
            </w:pPr>
            <w:r>
              <w:rPr>
                <w:rFonts w:ascii="Arial" w:cs="Arial" w:eastAsia="Arial" w:hAnsi="Arial"/>
                <w:sz w:val="18"/>
                <w:szCs w:val="18"/>
                <w:color w:val="auto"/>
                <w:w w:val="90"/>
              </w:rPr>
              <w:t>Average price paid</w:t>
            </w:r>
          </w:p>
        </w:tc>
        <w:tc>
          <w:tcPr>
            <w:tcW w:w="220" w:type="dxa"/>
            <w:vAlign w:val="bottom"/>
            <w:shd w:val="clear" w:color="auto" w:fill="CFF0FC"/>
          </w:tcPr>
          <w:p>
            <w:pPr>
              <w:spacing w:after="0"/>
              <w:rPr>
                <w:sz w:val="16"/>
                <w:szCs w:val="16"/>
                <w:color w:val="auto"/>
              </w:rPr>
            </w:pPr>
          </w:p>
        </w:tc>
        <w:tc>
          <w:tcPr>
            <w:tcW w:w="1700" w:type="dxa"/>
            <w:vAlign w:val="bottom"/>
            <w:shd w:val="clear" w:color="auto" w:fill="CFF0FC"/>
          </w:tcPr>
          <w:p>
            <w:pPr>
              <w:jc w:val="center"/>
              <w:spacing w:after="0" w:line="194" w:lineRule="exact"/>
              <w:rPr>
                <w:sz w:val="20"/>
                <w:szCs w:val="20"/>
                <w:color w:val="auto"/>
              </w:rPr>
            </w:pPr>
            <w:r>
              <w:rPr>
                <w:rFonts w:ascii="Arial" w:cs="Arial" w:eastAsia="Arial" w:hAnsi="Arial"/>
                <w:sz w:val="18"/>
                <w:szCs w:val="18"/>
                <w:color w:val="auto"/>
                <w:w w:val="92"/>
              </w:rPr>
              <w:t>publicly announced</w:t>
            </w:r>
          </w:p>
        </w:tc>
        <w:tc>
          <w:tcPr>
            <w:tcW w:w="220" w:type="dxa"/>
            <w:vAlign w:val="bottom"/>
            <w:shd w:val="clear" w:color="auto" w:fill="CFF0FC"/>
          </w:tcPr>
          <w:p>
            <w:pPr>
              <w:spacing w:after="0"/>
              <w:rPr>
                <w:sz w:val="16"/>
                <w:szCs w:val="16"/>
                <w:color w:val="auto"/>
              </w:rPr>
            </w:pPr>
          </w:p>
        </w:tc>
        <w:tc>
          <w:tcPr>
            <w:tcW w:w="1960" w:type="dxa"/>
            <w:vAlign w:val="bottom"/>
            <w:gridSpan w:val="3"/>
            <w:shd w:val="clear" w:color="auto" w:fill="CFF0FC"/>
          </w:tcPr>
          <w:p>
            <w:pPr>
              <w:jc w:val="center"/>
              <w:ind w:right="140"/>
              <w:spacing w:after="0" w:line="194" w:lineRule="exact"/>
              <w:rPr>
                <w:sz w:val="20"/>
                <w:szCs w:val="20"/>
                <w:color w:val="auto"/>
              </w:rPr>
            </w:pPr>
            <w:r>
              <w:rPr>
                <w:rFonts w:ascii="Arial" w:cs="Arial" w:eastAsia="Arial" w:hAnsi="Arial"/>
                <w:sz w:val="18"/>
                <w:szCs w:val="18"/>
                <w:color w:val="auto"/>
                <w:w w:val="87"/>
              </w:rPr>
              <w:t>yet be purchased under</w:t>
            </w:r>
          </w:p>
        </w:tc>
      </w:tr>
      <w:tr>
        <w:trPr>
          <w:trHeight w:val="266"/>
        </w:trPr>
        <w:tc>
          <w:tcPr>
            <w:tcW w:w="3780" w:type="dxa"/>
            <w:vAlign w:val="bottom"/>
            <w:tcBorders>
              <w:bottom w:val="single" w:sz="8" w:color="auto"/>
            </w:tcBorders>
            <w:shd w:val="clear" w:color="auto" w:fill="CFF0FC"/>
          </w:tcPr>
          <w:p>
            <w:pPr>
              <w:ind w:left="1660"/>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3"/>
              </w:rPr>
              <w:t>shares purchased</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center"/>
              <w:ind w:right="110"/>
              <w:spacing w:after="0" w:line="266" w:lineRule="exact"/>
              <w:rPr>
                <w:sz w:val="20"/>
                <w:szCs w:val="20"/>
                <w:color w:val="auto"/>
              </w:rPr>
            </w:pPr>
            <w:r>
              <w:rPr>
                <w:rFonts w:ascii="Arial" w:cs="Arial" w:eastAsia="Arial" w:hAnsi="Arial"/>
                <w:sz w:val="18"/>
                <w:szCs w:val="18"/>
                <w:color w:val="auto"/>
                <w:w w:val="83"/>
              </w:rPr>
              <w:t xml:space="preserve">per share </w:t>
            </w:r>
            <w:r>
              <w:rPr>
                <w:rFonts w:ascii="Arial" w:cs="Arial" w:eastAsia="Arial" w:hAnsi="Arial"/>
                <w:sz w:val="24"/>
                <w:szCs w:val="24"/>
                <w:color w:val="auto"/>
                <w:w w:val="83"/>
                <w:vertAlign w:val="superscript"/>
              </w:rPr>
              <w:t>(1)</w:t>
            </w:r>
          </w:p>
        </w:tc>
        <w:tc>
          <w:tcPr>
            <w:tcW w:w="220" w:type="dxa"/>
            <w:vAlign w:val="bottom"/>
            <w:tcBorders>
              <w:bottom w:val="single" w:sz="8" w:color="CFF0FC"/>
            </w:tcBorders>
            <w:shd w:val="clear" w:color="auto" w:fill="CFF0FC"/>
          </w:tcPr>
          <w:p>
            <w:pPr>
              <w:spacing w:after="0"/>
              <w:rPr>
                <w:sz w:val="23"/>
                <w:szCs w:val="23"/>
                <w:color w:val="auto"/>
              </w:rPr>
            </w:pPr>
          </w:p>
        </w:tc>
        <w:tc>
          <w:tcPr>
            <w:tcW w:w="17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plan</w:t>
            </w: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700" w:type="dxa"/>
            <w:vAlign w:val="bottom"/>
            <w:tcBorders>
              <w:bottom w:val="single" w:sz="8" w:color="auto"/>
            </w:tcBorders>
            <w:shd w:val="clear" w:color="auto" w:fill="CFF0FC"/>
          </w:tcPr>
          <w:p>
            <w:pPr>
              <w:jc w:val="right"/>
              <w:ind w:right="470"/>
              <w:spacing w:after="0" w:line="266" w:lineRule="exact"/>
              <w:rPr>
                <w:sz w:val="20"/>
                <w:szCs w:val="20"/>
                <w:color w:val="auto"/>
              </w:rPr>
            </w:pPr>
            <w:r>
              <w:rPr>
                <w:rFonts w:ascii="Arial" w:cs="Arial" w:eastAsia="Arial" w:hAnsi="Arial"/>
                <w:sz w:val="18"/>
                <w:szCs w:val="18"/>
                <w:color w:val="auto"/>
              </w:rPr>
              <w:t xml:space="preserve">the plan </w:t>
            </w:r>
            <w:r>
              <w:rPr>
                <w:rFonts w:ascii="Arial" w:cs="Arial" w:eastAsia="Arial" w:hAnsi="Arial"/>
                <w:sz w:val="24"/>
                <w:szCs w:val="24"/>
                <w:color w:val="auto"/>
                <w:vertAlign w:val="superscript"/>
              </w:rPr>
              <w:t>(1)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30, 2023 to May 27, 2023</w:t>
            </w: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May 28, 2023 to July 1, 2023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1,595,897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1,595,897</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7,500,001</w:t>
            </w:r>
          </w:p>
        </w:tc>
        <w:tc>
          <w:tcPr>
            <w:tcW w:w="100" w:type="dxa"/>
            <w:vAlign w:val="bottom"/>
          </w:tcPr>
          <w:p>
            <w:pPr>
              <w:spacing w:after="0"/>
              <w:rPr>
                <w:sz w:val="20"/>
                <w:szCs w:val="20"/>
                <w:color w:val="auto"/>
              </w:rPr>
            </w:pPr>
          </w:p>
        </w:tc>
      </w:tr>
      <w:tr>
        <w:trPr>
          <w:trHeight w:val="249"/>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July 2, 2023 to July 29, 2023</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653,253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653,253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4,185,921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2,249,150</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2,249,150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4,185,921</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-814070</wp:posOffset>
            </wp:positionV>
            <wp:extent cx="76835"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-814070</wp:posOffset>
            </wp:positionV>
            <wp:extent cx="7747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-814070</wp:posOffset>
            </wp:positionV>
            <wp:extent cx="6858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-814070</wp:posOffset>
            </wp:positionV>
            <wp:extent cx="6858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-187960</wp:posOffset>
            </wp:positionV>
            <wp:extent cx="7747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280" w:right="80" w:firstLine="9"/>
        <w:spacing w:after="0" w:line="277" w:lineRule="auto"/>
        <w:tabs>
          <w:tab w:leader="none" w:pos="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price paid per share and the approximate dollar value of shares that may yet be purchased under the plan excludes the accrual of excise tax of $0.1 million as of July 29,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Trading Plans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On June 30, 2023, Robert S. Molloy, General Counsel and Secretary, </w:t>
      </w:r>
      <w:r>
        <w:rPr>
          <w:rFonts w:ascii="Arial" w:cs="Arial" w:eastAsia="Arial" w:hAnsi="Arial"/>
          <w:sz w:val="16"/>
          <w:szCs w:val="16"/>
          <w:color w:val="252525"/>
        </w:rPr>
        <w:t>entered into</w:t>
      </w:r>
      <w:r>
        <w:rPr>
          <w:rFonts w:ascii="Arial" w:cs="Arial" w:eastAsia="Arial" w:hAnsi="Arial"/>
          <w:sz w:val="16"/>
          <w:szCs w:val="16"/>
          <w:color w:val="auto"/>
        </w:rPr>
        <w:t xml:space="preserve"> a </w:t>
      </w:r>
      <w:r>
        <w:rPr>
          <w:rFonts w:ascii="Arial" w:cs="Arial" w:eastAsia="Arial" w:hAnsi="Arial"/>
          <w:sz w:val="16"/>
          <w:szCs w:val="16"/>
          <w:color w:val="252525"/>
        </w:rPr>
        <w:t>10b5</w:t>
      </w:r>
      <w:r>
        <w:rPr>
          <w:rFonts w:ascii="Arial" w:cs="Arial" w:eastAsia="Arial" w:hAnsi="Arial"/>
          <w:sz w:val="16"/>
          <w:szCs w:val="16"/>
          <w:color w:val="auto"/>
        </w:rPr>
        <w:t>-</w:t>
      </w:r>
      <w:r>
        <w:rPr>
          <w:rFonts w:ascii="Arial" w:cs="Arial" w:eastAsia="Arial" w:hAnsi="Arial"/>
          <w:sz w:val="16"/>
          <w:szCs w:val="16"/>
          <w:color w:val="252525"/>
        </w:rPr>
        <w:t>1</w:t>
      </w:r>
      <w:r>
        <w:rPr>
          <w:rFonts w:ascii="Arial" w:cs="Arial" w:eastAsia="Arial" w:hAnsi="Arial"/>
          <w:sz w:val="16"/>
          <w:szCs w:val="16"/>
          <w:color w:val="auto"/>
        </w:rPr>
        <w:t xml:space="preserve"> sales plan (the “10b5-1 Sales Plan”) intended to satisfy the affirmative defense of Rule </w:t>
      </w:r>
      <w:r>
        <w:rPr>
          <w:rFonts w:ascii="Arial" w:cs="Arial" w:eastAsia="Arial" w:hAnsi="Arial"/>
          <w:sz w:val="16"/>
          <w:szCs w:val="16"/>
          <w:color w:val="252525"/>
        </w:rPr>
        <w:t>10b5</w:t>
      </w:r>
      <w:r>
        <w:rPr>
          <w:rFonts w:ascii="Arial" w:cs="Arial" w:eastAsia="Arial" w:hAnsi="Arial"/>
          <w:sz w:val="16"/>
          <w:szCs w:val="16"/>
          <w:color w:val="auto"/>
        </w:rPr>
        <w:t>-</w:t>
      </w:r>
      <w:r>
        <w:rPr>
          <w:rFonts w:ascii="Arial" w:cs="Arial" w:eastAsia="Arial" w:hAnsi="Arial"/>
          <w:sz w:val="16"/>
          <w:szCs w:val="16"/>
          <w:color w:val="252525"/>
        </w:rPr>
        <w:t>1</w:t>
      </w:r>
      <w:r>
        <w:rPr>
          <w:rFonts w:ascii="Arial" w:cs="Arial" w:eastAsia="Arial" w:hAnsi="Arial"/>
          <w:sz w:val="16"/>
          <w:szCs w:val="16"/>
          <w:color w:val="auto"/>
        </w:rPr>
        <w:t>(c) under the Exchange Act. The 10b5-1 Sales Plan provides for the sale of up to 120,000 shares of common stock that are issuable upon exercise of vested stock options. The 10b5-1 Sales Plan will become effective on October 11, 2023 and will terminate on March 18, 2024, subject to earlier termination upon the sale of all shares subject to the 10b5-1 Sales Plan or as otherwise provided in the 10b5-1 Sales Plan.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other directors or executive officers of the Company adopted, modified or terminated any contract, instruction or written plan for the purchase or sale of the Company’s securities that was intended to satisfy the affirmative defense conditions of Rule 10b5-1(c) or any non-Rule 10b5 trading arrangement, (as defined in Item 408(c) of Regulation S-K) during the quarterly period covered by this report.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060" w:type="dxa"/>
            <w:vAlign w:val="bottom"/>
            <w:gridSpan w:val="10"/>
          </w:tcPr>
          <w:p>
            <w:pPr>
              <w:spacing w:after="0"/>
              <w:rPr>
                <w:rFonts w:ascii="Arial" w:cs="Arial" w:eastAsia="Arial" w:hAnsi="Arial"/>
                <w:sz w:val="18"/>
                <w:szCs w:val="18"/>
                <w:color w:val="0000FF"/>
              </w:rPr>
            </w:pPr>
            <w:hyperlink r:id="rId171">
              <w:r>
                <w:rPr>
                  <w:rFonts w:ascii="Arial" w:cs="Arial" w:eastAsia="Arial" w:hAnsi="Arial"/>
                  <w:sz w:val="18"/>
                  <w:szCs w:val="18"/>
                  <w:color w:val="0000FF"/>
                </w:rPr>
                <w:t>Amended and Restated Employment Agreement between the Company and James Reath dated as of May 10, 2023.*</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060" w:type="dxa"/>
            <w:vAlign w:val="bottom"/>
            <w:gridSpan w:val="10"/>
          </w:tcPr>
          <w:p>
            <w:pPr>
              <w:spacing w:after="0"/>
              <w:rPr>
                <w:sz w:val="20"/>
                <w:szCs w:val="20"/>
                <w:color w:val="auto"/>
              </w:rPr>
            </w:pPr>
            <w:r>
              <w:rPr>
                <w:rFonts w:ascii="Arial" w:cs="Arial" w:eastAsia="Arial" w:hAnsi="Arial"/>
                <w:sz w:val="18"/>
                <w:szCs w:val="18"/>
                <w:color w:val="0000FF"/>
                <w:w w:val="96"/>
              </w:rPr>
              <w:t>Certification of the Chief Executive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gridSpan w:val="10"/>
          </w:tcPr>
          <w:p>
            <w:pPr>
              <w:spacing w:after="0"/>
              <w:rPr>
                <w:sz w:val="20"/>
                <w:szCs w:val="20"/>
                <w:color w:val="auto"/>
              </w:rPr>
            </w:pPr>
            <w:r>
              <w:rPr>
                <w:rFonts w:ascii="Arial" w:cs="Arial" w:eastAsia="Arial" w:hAnsi="Arial"/>
                <w:sz w:val="18"/>
                <w:szCs w:val="18"/>
                <w:color w:val="0000FF"/>
                <w:w w:val="96"/>
              </w:rPr>
              <w:t>Certification of the Chief Financial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gridSpan w:val="10"/>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906 of the Sarbanes-Oxley Act</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0"/>
          </w:tcPr>
          <w:p>
            <w:pPr>
              <w:spacing w:after="0" w:line="196" w:lineRule="exact"/>
              <w:rPr>
                <w:sz w:val="20"/>
                <w:szCs w:val="20"/>
                <w:color w:val="auto"/>
              </w:rPr>
            </w:pPr>
            <w:r>
              <w:rPr>
                <w:rFonts w:ascii="Arial" w:cs="Arial" w:eastAsia="Arial" w:hAnsi="Arial"/>
                <w:sz w:val="18"/>
                <w:szCs w:val="18"/>
                <w:color w:val="0000FF"/>
              </w:rPr>
              <w:t>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060" w:type="dxa"/>
            <w:vAlign w:val="bottom"/>
            <w:gridSpan w:val="10"/>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 Act</w:t>
            </w:r>
          </w:p>
        </w:tc>
      </w:tr>
      <w:tr>
        <w:trPr>
          <w:trHeight w:val="20"/>
        </w:trPr>
        <w:tc>
          <w:tcPr>
            <w:tcW w:w="96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0"/>
          </w:tcPr>
          <w:p>
            <w:pPr>
              <w:spacing w:after="0" w:line="196" w:lineRule="exact"/>
              <w:rPr>
                <w:sz w:val="20"/>
                <w:szCs w:val="20"/>
                <w:color w:val="auto"/>
              </w:rPr>
            </w:pPr>
            <w:r>
              <w:rPr>
                <w:rFonts w:ascii="Arial" w:cs="Arial" w:eastAsia="Arial" w:hAnsi="Arial"/>
                <w:sz w:val="18"/>
                <w:szCs w:val="18"/>
                <w:color w:val="0000FF"/>
              </w:rPr>
              <w:t>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Inline XBRL Instance Document. The instance document does not appear in the Interactive Data File because its XBRL tags are embedded</w:t>
            </w:r>
          </w:p>
        </w:tc>
      </w:tr>
      <w:tr>
        <w:trPr>
          <w:trHeight w:val="196"/>
        </w:trPr>
        <w:tc>
          <w:tcPr>
            <w:tcW w:w="960" w:type="dxa"/>
            <w:vAlign w:val="bottom"/>
          </w:tcPr>
          <w:p>
            <w:pPr>
              <w:spacing w:after="0"/>
              <w:rPr>
                <w:sz w:val="17"/>
                <w:szCs w:val="17"/>
                <w:color w:val="auto"/>
              </w:rPr>
            </w:pPr>
          </w:p>
        </w:tc>
        <w:tc>
          <w:tcPr>
            <w:tcW w:w="10060" w:type="dxa"/>
            <w:vAlign w:val="bottom"/>
            <w:gridSpan w:val="10"/>
          </w:tcPr>
          <w:p>
            <w:pPr>
              <w:spacing w:after="0" w:line="196" w:lineRule="exact"/>
              <w:rPr>
                <w:sz w:val="20"/>
                <w:szCs w:val="20"/>
                <w:color w:val="auto"/>
              </w:rPr>
            </w:pPr>
            <w:r>
              <w:rPr>
                <w:rFonts w:ascii="Arial" w:cs="Arial" w:eastAsia="Arial" w:hAnsi="Arial"/>
                <w:sz w:val="18"/>
                <w:szCs w:val="18"/>
                <w:color w:val="0000FF"/>
              </w:rPr>
              <w:t>within the Inline XBRL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10"/>
          </w:tcPr>
          <w:p>
            <w:pPr>
              <w:spacing w:after="0"/>
              <w:rPr>
                <w:sz w:val="20"/>
                <w:szCs w:val="20"/>
                <w:color w:val="auto"/>
              </w:rPr>
            </w:pPr>
            <w:r>
              <w:rPr>
                <w:rFonts w:ascii="Arial" w:cs="Arial" w:eastAsia="Arial" w:hAnsi="Arial"/>
                <w:sz w:val="18"/>
                <w:szCs w:val="18"/>
                <w:color w:val="0000FF"/>
              </w:rPr>
              <w:t>Inline XBRL Taxonomy Extension Schema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10"/>
          </w:tcPr>
          <w:p>
            <w:pPr>
              <w:spacing w:after="0"/>
              <w:rPr>
                <w:sz w:val="20"/>
                <w:szCs w:val="20"/>
                <w:color w:val="auto"/>
              </w:rPr>
            </w:pPr>
            <w:r>
              <w:rPr>
                <w:rFonts w:ascii="Arial" w:cs="Arial" w:eastAsia="Arial" w:hAnsi="Arial"/>
                <w:sz w:val="18"/>
                <w:szCs w:val="18"/>
                <w:color w:val="0000FF"/>
              </w:rPr>
              <w:t>Inline XBRL Taxonomy Extension Calculation Linkbase Document.</w:t>
            </w: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3"/>
              </w:rPr>
              <w:t>Inline XBRL Taxonomy Extension Definition Linkbase Document.</w:t>
            </w:r>
          </w:p>
        </w:tc>
        <w:tc>
          <w:tcPr>
            <w:tcW w:w="140" w:type="dxa"/>
            <w:vAlign w:val="bottom"/>
            <w:tcBorders>
              <w:top w:val="single" w:sz="8" w:color="0000FF"/>
            </w:tcBorders>
          </w:tcPr>
          <w:p>
            <w:pPr>
              <w:spacing w:after="0"/>
              <w:rPr>
                <w:sz w:val="24"/>
                <w:szCs w:val="24"/>
                <w:color w:val="auto"/>
              </w:rPr>
            </w:pPr>
          </w:p>
        </w:tc>
        <w:tc>
          <w:tcPr>
            <w:tcW w:w="5080" w:type="dxa"/>
            <w:vAlign w:val="bottom"/>
            <w:gridSpan w:val="4"/>
          </w:tcPr>
          <w:p>
            <w:pPr>
              <w:spacing w:after="0"/>
              <w:rPr>
                <w:sz w:val="24"/>
                <w:szCs w:val="24"/>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10"/>
          </w:tcPr>
          <w:p>
            <w:pPr>
              <w:spacing w:after="0"/>
              <w:rPr>
                <w:sz w:val="20"/>
                <w:szCs w:val="20"/>
                <w:color w:val="auto"/>
              </w:rPr>
            </w:pPr>
            <w:r>
              <w:rPr>
                <w:rFonts w:ascii="Arial" w:cs="Arial" w:eastAsia="Arial" w:hAnsi="Arial"/>
                <w:sz w:val="18"/>
                <w:szCs w:val="18"/>
                <w:color w:val="0000FF"/>
              </w:rPr>
              <w:t>Inline XBRL Taxonomy Extension Label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450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10"/>
          </w:tcPr>
          <w:p>
            <w:pPr>
              <w:spacing w:after="0"/>
              <w:rPr>
                <w:sz w:val="20"/>
                <w:szCs w:val="20"/>
                <w:color w:val="auto"/>
              </w:rPr>
            </w:pPr>
            <w:r>
              <w:rPr>
                <w:rFonts w:ascii="Arial" w:cs="Arial" w:eastAsia="Arial" w:hAnsi="Arial"/>
                <w:sz w:val="18"/>
                <w:szCs w:val="18"/>
                <w:color w:val="0000FF"/>
              </w:rPr>
              <w:t>Inline XBRL Taxonomy Extension Presentation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3" w:lineRule="exact"/>
        <w:rPr>
          <w:sz w:val="20"/>
          <w:szCs w:val="20"/>
          <w:color w:val="auto"/>
        </w:rPr>
      </w:pPr>
    </w:p>
    <w:p>
      <w:pPr>
        <w:ind w:left="1020" w:hanging="93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224"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28" w:name="page29"/>
    <w:bookmarkEnd w:id="28"/>
    <w:p>
      <w:pPr>
        <w:jc w:val="center"/>
        <w:ind w:right="-2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0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DESTINATION XL GROUP, INC.</w:t>
      </w:r>
    </w:p>
    <w:p>
      <w:pPr>
        <w:spacing w:after="0" w:line="306" w:lineRule="exact"/>
        <w:rPr>
          <w:sz w:val="20"/>
          <w:szCs w:val="20"/>
          <w:color w:val="auto"/>
        </w:rPr>
      </w:pPr>
    </w:p>
    <w:p>
      <w:pPr>
        <w:ind w:left="20"/>
        <w:spacing w:after="0"/>
        <w:tabs>
          <w:tab w:leader="none" w:pos="5960" w:val="left"/>
          <w:tab w:leader="none" w:pos="6760" w:val="left"/>
        </w:tabs>
        <w:rPr>
          <w:sz w:val="20"/>
          <w:szCs w:val="20"/>
          <w:color w:val="auto"/>
        </w:rPr>
      </w:pPr>
      <w:r>
        <w:rPr>
          <w:rFonts w:ascii="Arial" w:cs="Arial" w:eastAsia="Arial" w:hAnsi="Arial"/>
          <w:sz w:val="18"/>
          <w:szCs w:val="18"/>
          <w:color w:val="auto"/>
        </w:rPr>
        <w:t>Date: August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F. Cooney</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Vice President, Chief Accounting Officer and</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Corporate Controller (Duly Authorized Officer and Chief</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41" w:right="67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EMPLOYMENT AGREEMENT</w:t>
      </w:r>
    </w:p>
    <w:p>
      <w:pPr>
        <w:spacing w:after="0" w:line="200" w:lineRule="exact"/>
        <w:rPr>
          <w:sz w:val="20"/>
          <w:szCs w:val="20"/>
          <w:color w:val="auto"/>
        </w:rPr>
      </w:pPr>
    </w:p>
    <w:p>
      <w:pPr>
        <w:spacing w:after="0" w:line="282"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This Amended and Restated Employment Agreement ("Amended Agreement") is made effective as of May 10, 2023 (the “Effective Date”) between CMRG APPAREL, LLC, (the “Company”), a “Related Entity” as defined in the 2016 Incentive Compensation Plan (as amended), of Destination XL Group, Inc., a Delaware corporation with an office at 555 Turnpike Street, Canton, Massachusetts 02021 (“DXLG” which term includes any affiliates and subsidiaries), and JAMES REATH (the “Executive”) having an address at 159 Watchung Ave., Montclair, NJ 07043.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33" w:lineRule="exact"/>
        <w:rPr>
          <w:sz w:val="20"/>
          <w:szCs w:val="20"/>
          <w:color w:val="auto"/>
        </w:rPr>
      </w:pPr>
    </w:p>
    <w:p>
      <w:pPr>
        <w:ind w:right="360" w:firstLine="449"/>
        <w:spacing w:after="0" w:line="250" w:lineRule="auto"/>
        <w:rPr>
          <w:sz w:val="20"/>
          <w:szCs w:val="20"/>
          <w:color w:val="auto"/>
        </w:rPr>
      </w:pPr>
      <w:r>
        <w:rPr>
          <w:rFonts w:ascii="Arial" w:cs="Arial" w:eastAsia="Arial" w:hAnsi="Arial"/>
          <w:sz w:val="22"/>
          <w:szCs w:val="22"/>
          <w:color w:val="auto"/>
        </w:rPr>
        <w:t>WHEREAS, the Company desires that Executive work for the Company and Executive desires to be so employed by the Company as its Chief Marketing Officer.</w:t>
      </w:r>
    </w:p>
    <w:p>
      <w:pPr>
        <w:spacing w:after="0" w:line="202" w:lineRule="exact"/>
        <w:rPr>
          <w:sz w:val="20"/>
          <w:szCs w:val="20"/>
          <w:color w:val="auto"/>
        </w:rPr>
      </w:pPr>
    </w:p>
    <w:p>
      <w:pPr>
        <w:ind w:right="960" w:firstLine="449"/>
        <w:spacing w:after="0" w:line="250" w:lineRule="auto"/>
        <w:rPr>
          <w:sz w:val="20"/>
          <w:szCs w:val="20"/>
          <w:color w:val="auto"/>
        </w:rPr>
      </w:pPr>
      <w:r>
        <w:rPr>
          <w:rFonts w:ascii="Arial" w:cs="Arial" w:eastAsia="Arial" w:hAnsi="Arial"/>
          <w:sz w:val="22"/>
          <w:szCs w:val="22"/>
          <w:color w:val="auto"/>
        </w:rPr>
        <w:t>WHEREAS, Executive and the Company desire to set forth in writing the terms and conditions of the Executive's employment with the Company from the date hereof.</w:t>
      </w:r>
    </w:p>
    <w:p>
      <w:pPr>
        <w:spacing w:after="0" w:line="202" w:lineRule="exact"/>
        <w:rPr>
          <w:sz w:val="20"/>
          <w:szCs w:val="20"/>
          <w:color w:val="auto"/>
        </w:rPr>
      </w:pPr>
    </w:p>
    <w:p>
      <w:pPr>
        <w:ind w:right="600" w:firstLine="432"/>
        <w:spacing w:after="0" w:line="250" w:lineRule="auto"/>
        <w:rPr>
          <w:sz w:val="20"/>
          <w:szCs w:val="20"/>
          <w:color w:val="auto"/>
        </w:rPr>
      </w:pPr>
      <w:r>
        <w:rPr>
          <w:rFonts w:ascii="Arial" w:cs="Arial" w:eastAsia="Arial" w:hAnsi="Arial"/>
          <w:sz w:val="22"/>
          <w:szCs w:val="22"/>
          <w:color w:val="auto"/>
        </w:rPr>
        <w:t>NOW, THEREFORE, in consideration of the promises and the mutual promises, representations and covenants herein contained, the parties hereto agree as follows:</w:t>
      </w:r>
    </w:p>
    <w:p>
      <w:pPr>
        <w:spacing w:after="0" w:line="202" w:lineRule="exact"/>
        <w:rPr>
          <w:sz w:val="20"/>
          <w:szCs w:val="20"/>
          <w:color w:val="auto"/>
        </w:rPr>
      </w:pPr>
    </w:p>
    <w:p>
      <w:pPr>
        <w:ind w:left="1340" w:hanging="594"/>
        <w:spacing w:after="0"/>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EMPLOYMENT</w:t>
      </w:r>
    </w:p>
    <w:p>
      <w:pPr>
        <w:spacing w:after="0" w:line="233" w:lineRule="exact"/>
        <w:rPr>
          <w:sz w:val="20"/>
          <w:szCs w:val="20"/>
          <w:color w:val="auto"/>
        </w:rPr>
      </w:pPr>
    </w:p>
    <w:p>
      <w:pPr>
        <w:ind w:right="460" w:firstLine="843"/>
        <w:spacing w:after="0" w:line="250" w:lineRule="auto"/>
        <w:rPr>
          <w:sz w:val="20"/>
          <w:szCs w:val="20"/>
          <w:color w:val="auto"/>
        </w:rPr>
      </w:pPr>
      <w:r>
        <w:rPr>
          <w:rFonts w:ascii="Arial" w:cs="Arial" w:eastAsia="Arial" w:hAnsi="Arial"/>
          <w:sz w:val="22"/>
          <w:szCs w:val="22"/>
          <w:color w:val="auto"/>
        </w:rPr>
        <w:t>The Company hereby employs Executive and Executive hereby accepts such employment, subject to the terms and conditions herein set forth.</w:t>
      </w:r>
    </w:p>
    <w:p>
      <w:pPr>
        <w:spacing w:after="0" w:line="202" w:lineRule="exact"/>
        <w:rPr>
          <w:sz w:val="20"/>
          <w:szCs w:val="20"/>
          <w:color w:val="auto"/>
        </w:rPr>
      </w:pPr>
    </w:p>
    <w:p>
      <w:pPr>
        <w:ind w:left="880" w:hanging="224"/>
        <w:spacing w:after="0"/>
        <w:tabs>
          <w:tab w:leader="none" w:pos="88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TERM</w:t>
      </w:r>
    </w:p>
    <w:p>
      <w:pPr>
        <w:spacing w:after="0" w:line="233" w:lineRule="exact"/>
        <w:rPr>
          <w:sz w:val="20"/>
          <w:szCs w:val="20"/>
          <w:color w:val="auto"/>
        </w:rPr>
      </w:pPr>
    </w:p>
    <w:p>
      <w:pPr>
        <w:ind w:right="420" w:firstLine="843"/>
        <w:spacing w:after="0" w:line="250" w:lineRule="auto"/>
        <w:rPr>
          <w:sz w:val="20"/>
          <w:szCs w:val="20"/>
          <w:color w:val="auto"/>
        </w:rPr>
      </w:pPr>
      <w:r>
        <w:rPr>
          <w:rFonts w:ascii="Arial" w:cs="Arial" w:eastAsia="Arial" w:hAnsi="Arial"/>
          <w:sz w:val="22"/>
          <w:szCs w:val="22"/>
          <w:color w:val="auto"/>
        </w:rPr>
        <w:t>The term of employment under this Amended Agreement (the “Term of Employment”) shall begin on the Effective Date and shall continue until terminated by either party as hereinafter set forth.</w:t>
      </w:r>
    </w:p>
    <w:p>
      <w:pPr>
        <w:spacing w:after="0" w:line="20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33" w:lineRule="exact"/>
        <w:rPr>
          <w:rFonts w:ascii="Arial" w:cs="Arial" w:eastAsia="Arial" w:hAnsi="Arial"/>
          <w:sz w:val="22"/>
          <w:szCs w:val="22"/>
          <w:color w:val="auto"/>
        </w:rPr>
      </w:pPr>
    </w:p>
    <w:p>
      <w:pPr>
        <w:ind w:right="60" w:firstLine="919"/>
        <w:spacing w:after="0" w:line="248" w:lineRule="auto"/>
        <w:tabs>
          <w:tab w:leader="none" w:pos="1181" w:val="left"/>
        </w:tabs>
        <w:numPr>
          <w:ilvl w:val="2"/>
          <w:numId w:val="9"/>
        </w:numPr>
        <w:rPr>
          <w:rFonts w:ascii="Arial" w:cs="Arial" w:eastAsia="Arial" w:hAnsi="Arial"/>
          <w:sz w:val="21"/>
          <w:szCs w:val="21"/>
          <w:color w:val="auto"/>
        </w:rPr>
      </w:pPr>
      <w:r>
        <w:rPr>
          <w:rFonts w:ascii="Arial" w:cs="Arial" w:eastAsia="Arial" w:hAnsi="Arial"/>
          <w:sz w:val="21"/>
          <w:szCs w:val="21"/>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Four Hundred Thousand Dollars and 00/100 Cents ($400,000.00) (the “Base Salary”) as of the Effective Date. The Base Salary shall be reviewed at least annually to ascertain whether, in the judgment of the Company, such Base Salary should be adjusted. If so, the adjusted Base Salary shall be adjusted for all purposes of this Amended Agreement.</w:t>
      </w:r>
    </w:p>
    <w:p>
      <w:pPr>
        <w:spacing w:after="0" w:line="203" w:lineRule="exact"/>
        <w:rPr>
          <w:rFonts w:ascii="Arial" w:cs="Arial" w:eastAsia="Arial" w:hAnsi="Arial"/>
          <w:sz w:val="21"/>
          <w:szCs w:val="21"/>
          <w:color w:val="auto"/>
        </w:rPr>
      </w:pPr>
    </w:p>
    <w:p>
      <w:pPr>
        <w:ind w:firstLine="707"/>
        <w:spacing w:after="0" w:line="238"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22"/>
          <w:szCs w:val="22"/>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ind w:right="40"/>
        <w:spacing w:after="0" w:line="249" w:lineRule="auto"/>
        <w:rPr>
          <w:sz w:val="20"/>
          <w:szCs w:val="20"/>
          <w:color w:val="auto"/>
        </w:rPr>
      </w:pPr>
      <w:r>
        <w:rPr>
          <w:rFonts w:ascii="Arial" w:cs="Arial" w:eastAsia="Arial" w:hAnsi="Arial"/>
          <w:sz w:val="21"/>
          <w:szCs w:val="21"/>
          <w:color w:val="auto"/>
        </w:rPr>
        <w:t>Company’s incentive program and Executive’s target bonus under such plan (if all individual and Company performance conditions are met) shall be 50%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206" w:lineRule="exact"/>
        <w:rPr>
          <w:sz w:val="20"/>
          <w:szCs w:val="20"/>
          <w:color w:val="auto"/>
        </w:rPr>
      </w:pPr>
    </w:p>
    <w:p>
      <w:pPr>
        <w:jc w:val="both"/>
        <w:ind w:firstLine="730"/>
        <w:spacing w:after="0" w:line="279" w:lineRule="auto"/>
        <w:tabs>
          <w:tab w:leader="none" w:pos="1296" w:val="left"/>
        </w:tabs>
        <w:numPr>
          <w:ilvl w:val="1"/>
          <w:numId w:val="10"/>
        </w:numPr>
        <w:rPr>
          <w:rFonts w:ascii="Arial" w:cs="Arial" w:eastAsia="Arial" w:hAnsi="Arial"/>
          <w:sz w:val="19"/>
          <w:szCs w:val="19"/>
          <w:color w:val="auto"/>
        </w:rPr>
      </w:pPr>
      <w:r>
        <w:rPr>
          <w:rFonts w:ascii="Arial" w:cs="Arial" w:eastAsia="Arial" w:hAnsi="Arial"/>
          <w:sz w:val="19"/>
          <w:szCs w:val="19"/>
          <w:color w:val="auto"/>
        </w:rPr>
        <w:t>In addition, during the Term of Employment, Executive is eligible to participate in the Company’s Long-Ter Incentive Plan (“LTIP”). Such incentive shall be determined and distributable in accordance with and subject to the terms and conditions as described in the LTIP documents in effect at the time of the award, subject to change from year-to-year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77" w:lineRule="exact"/>
        <w:rPr>
          <w:rFonts w:ascii="Arial" w:cs="Arial" w:eastAsia="Arial" w:hAnsi="Arial"/>
          <w:sz w:val="19"/>
          <w:szCs w:val="19"/>
          <w:color w:val="auto"/>
        </w:rPr>
      </w:pPr>
    </w:p>
    <w:p>
      <w:pPr>
        <w:jc w:val="both"/>
        <w:ind w:right="40" w:firstLine="712"/>
        <w:spacing w:after="0" w:line="234" w:lineRule="auto"/>
        <w:tabs>
          <w:tab w:leader="none" w:pos="1318" w:val="left"/>
        </w:tabs>
        <w:numPr>
          <w:ilvl w:val="1"/>
          <w:numId w:val="10"/>
        </w:numPr>
        <w:rPr>
          <w:rFonts w:ascii="Arial" w:cs="Arial" w:eastAsia="Arial" w:hAnsi="Arial"/>
          <w:sz w:val="22"/>
          <w:szCs w:val="22"/>
          <w:color w:val="auto"/>
        </w:rPr>
      </w:pPr>
      <w:r>
        <w:rPr>
          <w:rFonts w:ascii="Arial" w:cs="Arial" w:eastAsia="Arial" w:hAnsi="Arial"/>
          <w:sz w:val="22"/>
          <w:szCs w:val="22"/>
          <w:color w:val="auto"/>
        </w:rPr>
        <w:t>In consideration for the promises in Paragraph 10 below, the Company shall pay Executive a sign-on award consisting of $150,000 cash payable as of October 7, 2022 (the “Sign-on Award” and an inducement grant of $200,000 of restricted stock units of the Common Stock of Destination XL Group, Inc. (“RSUs”) effective October 7, 2022 (the “Inducement Award”). The RSUs granted in the Inducement Award shall be determined based on the close price of the Company’s stock on Thursday, October 6, 2022 and shall vest ratably over three (3) years on the anniversary of the date of grant. Details will be provided in a formal Stand-Alone Inducement Restricted Stock Unit Agreement. The Sign-on Award and Inducement Award are subject to clawback as set forth in Paragraph 7(j).</w:t>
      </w:r>
    </w:p>
    <w:p>
      <w:pPr>
        <w:spacing w:after="0" w:line="217" w:lineRule="exact"/>
        <w:rPr>
          <w:rFonts w:ascii="Arial" w:cs="Arial" w:eastAsia="Arial" w:hAnsi="Arial"/>
          <w:sz w:val="22"/>
          <w:szCs w:val="22"/>
          <w:color w:val="auto"/>
        </w:rPr>
      </w:pPr>
    </w:p>
    <w:p>
      <w:pPr>
        <w:ind w:right="200" w:firstLine="973"/>
        <w:spacing w:after="0" w:line="227" w:lineRule="auto"/>
        <w:tabs>
          <w:tab w:leader="none" w:pos="1613" w:val="left"/>
        </w:tabs>
        <w:numPr>
          <w:ilvl w:val="2"/>
          <w:numId w:val="10"/>
        </w:numPr>
        <w:rPr>
          <w:rFonts w:ascii="Arial" w:cs="Arial" w:eastAsia="Arial" w:hAnsi="Arial"/>
          <w:sz w:val="22"/>
          <w:szCs w:val="22"/>
          <w:color w:val="auto"/>
        </w:rPr>
      </w:pPr>
      <w:r>
        <w:rPr>
          <w:rFonts w:ascii="Arial" w:cs="Arial" w:eastAsia="Arial" w:hAnsi="Arial"/>
          <w:sz w:val="22"/>
          <w:szCs w:val="22"/>
          <w:color w:val="auto"/>
        </w:rPr>
        <w:t>Executive has requested that he not be required to relocate and the Company has agreed at this time. The Company already advanced $25,000 of the relocation allowance (the “Advance”) to Executive, but will not make any additional Advance to Executive pursuant to this Amended Agreement. In the event Executive ceases to be employed by the Company due to his voluntary termination (other than for Good Reason) prior to June 1, 2024, Executive shall repay such Advance to the Company within thirty (30) days following Executive’s termination of employment; provided, however, that the amount of the Advance that is required to be repaid shall be reduced by 1/12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Advance for each completed month that Executive is employed by the Company.</w:t>
      </w:r>
    </w:p>
    <w:p>
      <w:pPr>
        <w:spacing w:after="0" w:line="200" w:lineRule="exact"/>
        <w:rPr>
          <w:rFonts w:ascii="Arial" w:cs="Arial" w:eastAsia="Arial" w:hAnsi="Arial"/>
          <w:sz w:val="22"/>
          <w:szCs w:val="22"/>
          <w:color w:val="auto"/>
        </w:rPr>
      </w:pPr>
    </w:p>
    <w:p>
      <w:pPr>
        <w:spacing w:after="0" w:line="260" w:lineRule="exact"/>
        <w:rPr>
          <w:rFonts w:ascii="Arial" w:cs="Arial" w:eastAsia="Arial" w:hAnsi="Arial"/>
          <w:sz w:val="22"/>
          <w:szCs w:val="22"/>
          <w:color w:val="auto"/>
        </w:rPr>
      </w:pPr>
    </w:p>
    <w:p>
      <w:pPr>
        <w:ind w:left="880" w:hanging="440"/>
        <w:spacing w:after="0"/>
        <w:tabs>
          <w:tab w:leader="none" w:pos="88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EXPENSES</w:t>
      </w:r>
    </w:p>
    <w:p>
      <w:pPr>
        <w:spacing w:after="0" w:line="233" w:lineRule="exact"/>
        <w:rPr>
          <w:sz w:val="20"/>
          <w:szCs w:val="20"/>
          <w:color w:val="auto"/>
        </w:rPr>
      </w:pPr>
    </w:p>
    <w:p>
      <w:pPr>
        <w:jc w:val="both"/>
        <w:ind w:right="40" w:firstLine="432"/>
        <w:spacing w:after="0" w:line="245" w:lineRule="auto"/>
        <w:rPr>
          <w:sz w:val="20"/>
          <w:szCs w:val="20"/>
          <w:color w:val="auto"/>
        </w:rPr>
      </w:pPr>
      <w:r>
        <w:rPr>
          <w:rFonts w:ascii="Arial" w:cs="Arial" w:eastAsia="Arial" w:hAnsi="Arial"/>
          <w:sz w:val="21"/>
          <w:szCs w:val="21"/>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be entitled to be reimbursed up to $25,000 per year for commuting expenses to/from the Company's offices in Canton, Massachusetts or at such other location as may be designated from time to time by the Company. Executive shall comply with such restrictions and shall keep such records as the Company may reasonably deem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31" w:name="page32"/>
    <w:bookmarkEnd w:id="31"/>
    <w:p>
      <w:pPr>
        <w:ind w:right="20"/>
        <w:spacing w:after="0" w:line="251" w:lineRule="auto"/>
        <w:rPr>
          <w:sz w:val="20"/>
          <w:szCs w:val="20"/>
          <w:color w:val="auto"/>
        </w:rPr>
      </w:pPr>
      <w:r>
        <w:rPr>
          <w:rFonts w:ascii="Arial" w:cs="Arial" w:eastAsia="Arial" w:hAnsi="Arial"/>
          <w:sz w:val="22"/>
          <w:szCs w:val="22"/>
          <w:color w:val="auto"/>
        </w:rPr>
        <w:t>necessary to meet the requirements of the Internal Revenue Code of 1986, as amended from time to time, and regulations promulgated thereunder.</w:t>
      </w:r>
    </w:p>
    <w:p>
      <w:pPr>
        <w:spacing w:after="0" w:line="200"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OTHER BENEFITS</w:t>
      </w:r>
    </w:p>
    <w:p>
      <w:pPr>
        <w:spacing w:after="0" w:line="233" w:lineRule="exact"/>
        <w:rPr>
          <w:rFonts w:ascii="Arial" w:cs="Arial" w:eastAsia="Arial" w:hAnsi="Arial"/>
          <w:sz w:val="22"/>
          <w:szCs w:val="22"/>
          <w:color w:val="auto"/>
        </w:rPr>
      </w:pPr>
    </w:p>
    <w:p>
      <w:pPr>
        <w:jc w:val="both"/>
        <w:ind w:firstLine="906"/>
        <w:spacing w:after="0" w:line="282" w:lineRule="auto"/>
        <w:tabs>
          <w:tab w:leader="none" w:pos="1330" w:val="left"/>
        </w:tabs>
        <w:numPr>
          <w:ilvl w:val="1"/>
          <w:numId w:val="12"/>
        </w:numPr>
        <w:rPr>
          <w:rFonts w:ascii="Arial" w:cs="Arial" w:eastAsia="Arial" w:hAnsi="Arial"/>
          <w:sz w:val="19"/>
          <w:szCs w:val="19"/>
          <w:color w:val="auto"/>
        </w:rPr>
      </w:pPr>
      <w:r>
        <w:rPr>
          <w:rFonts w:ascii="Arial" w:cs="Arial" w:eastAsia="Arial" w:hAnsi="Arial"/>
          <w:sz w:val="19"/>
          <w:szCs w:val="19"/>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74" w:lineRule="exact"/>
        <w:rPr>
          <w:sz w:val="20"/>
          <w:szCs w:val="20"/>
          <w:color w:val="auto"/>
        </w:rPr>
      </w:pPr>
    </w:p>
    <w:p>
      <w:pPr>
        <w:jc w:val="both"/>
        <w:ind w:firstLine="898"/>
        <w:spacing w:after="0" w:line="236" w:lineRule="auto"/>
        <w:rPr>
          <w:sz w:val="20"/>
          <w:szCs w:val="20"/>
          <w:color w:val="auto"/>
        </w:rPr>
      </w:pPr>
      <w:r>
        <w:rPr>
          <w:rFonts w:ascii="Arial" w:cs="Arial" w:eastAsia="Arial" w:hAnsi="Arial"/>
          <w:sz w:val="22"/>
          <w:szCs w:val="22"/>
          <w:color w:val="auto"/>
        </w:rPr>
        <w:t>(b)The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214" w:lineRule="exact"/>
        <w:rPr>
          <w:sz w:val="20"/>
          <w:szCs w:val="20"/>
          <w:color w:val="auto"/>
        </w:rPr>
      </w:pPr>
    </w:p>
    <w:p>
      <w:pPr>
        <w:ind w:left="1340" w:hanging="434"/>
        <w:spacing w:after="0"/>
        <w:tabs>
          <w:tab w:leader="none" w:pos="13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Executive will be eligible to participate in the Company’s annual performance appraisal process.</w:t>
      </w:r>
    </w:p>
    <w:p>
      <w:pPr>
        <w:spacing w:after="0" w:line="233" w:lineRule="exact"/>
        <w:rPr>
          <w:rFonts w:ascii="Arial" w:cs="Arial" w:eastAsia="Arial" w:hAnsi="Arial"/>
          <w:sz w:val="22"/>
          <w:szCs w:val="22"/>
          <w:color w:val="auto"/>
        </w:rPr>
      </w:pPr>
    </w:p>
    <w:p>
      <w:pPr>
        <w:ind w:left="1240" w:hanging="430"/>
        <w:spacing w:after="0"/>
        <w:tabs>
          <w:tab w:leader="none" w:pos="124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DUTIES</w:t>
      </w:r>
    </w:p>
    <w:p>
      <w:pPr>
        <w:spacing w:after="0" w:line="233" w:lineRule="exact"/>
        <w:rPr>
          <w:sz w:val="20"/>
          <w:szCs w:val="20"/>
          <w:color w:val="auto"/>
        </w:rPr>
      </w:pPr>
    </w:p>
    <w:p>
      <w:pPr>
        <w:jc w:val="both"/>
        <w:ind w:firstLine="757"/>
        <w:spacing w:after="0"/>
        <w:tabs>
          <w:tab w:leader="none" w:pos="1181" w:val="left"/>
        </w:tabs>
        <w:numPr>
          <w:ilvl w:val="0"/>
          <w:numId w:val="15"/>
        </w:numPr>
        <w:rPr>
          <w:rFonts w:ascii="Arial" w:cs="Arial" w:eastAsia="Arial" w:hAnsi="Arial"/>
          <w:sz w:val="22"/>
          <w:szCs w:val="22"/>
          <w:color w:val="auto"/>
        </w:rPr>
      </w:pPr>
      <w:r>
        <w:rPr>
          <w:rFonts w:ascii="Arial" w:cs="Arial" w:eastAsia="Arial" w:hAnsi="Arial"/>
          <w:sz w:val="22"/>
          <w:szCs w:val="22"/>
          <w:color w:val="auto"/>
        </w:rPr>
        <w:t>Executive shall perform such duties and functions consistent with the position of Chief Marketing Officer and/or as the Company shall from time to time determine and Executive shall comply in the performance of his duties with the policies of, and be subject to, the direction of the Company.</w:t>
      </w:r>
    </w:p>
    <w:p>
      <w:pPr>
        <w:spacing w:after="0" w:line="213" w:lineRule="exact"/>
        <w:rPr>
          <w:rFonts w:ascii="Arial" w:cs="Arial" w:eastAsia="Arial" w:hAnsi="Arial"/>
          <w:sz w:val="22"/>
          <w:szCs w:val="22"/>
          <w:color w:val="auto"/>
        </w:rPr>
      </w:pPr>
    </w:p>
    <w:p>
      <w:pPr>
        <w:jc w:val="both"/>
        <w:ind w:firstLine="757"/>
        <w:spacing w:after="0" w:line="235" w:lineRule="auto"/>
        <w:tabs>
          <w:tab w:leader="none" w:pos="1181" w:val="left"/>
        </w:tabs>
        <w:numPr>
          <w:ilvl w:val="0"/>
          <w:numId w:val="15"/>
        </w:numPr>
        <w:rPr>
          <w:rFonts w:ascii="Arial" w:cs="Arial" w:eastAsia="Arial" w:hAnsi="Arial"/>
          <w:sz w:val="22"/>
          <w:szCs w:val="22"/>
          <w:color w:val="auto"/>
        </w:rPr>
      </w:pPr>
      <w:r>
        <w:rPr>
          <w:rFonts w:ascii="Arial" w:cs="Arial" w:eastAsia="Arial" w:hAnsi="Arial"/>
          <w:sz w:val="22"/>
          <w:szCs w:val="22"/>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his duties hereunder and do not violate paragraph 10 hereof.</w:t>
      </w:r>
    </w:p>
    <w:p>
      <w:pPr>
        <w:spacing w:after="0" w:line="214" w:lineRule="exact"/>
        <w:rPr>
          <w:rFonts w:ascii="Arial" w:cs="Arial" w:eastAsia="Arial" w:hAnsi="Arial"/>
          <w:sz w:val="22"/>
          <w:szCs w:val="22"/>
          <w:color w:val="auto"/>
        </w:rPr>
      </w:pPr>
    </w:p>
    <w:p>
      <w:pPr>
        <w:ind w:right="160" w:firstLine="757"/>
        <w:spacing w:after="0" w:line="297" w:lineRule="auto"/>
        <w:tabs>
          <w:tab w:leader="none" w:pos="1181"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principal location at which the Executive shall perform his duties hereunder shall be in Montclair, New Jersey Notwithstanding the foregoing, Executive shall perform such services at such other locations as may be required for the proper performance of his duties hereunder, and Executive recognizes that such duties may involve travel.</w:t>
      </w:r>
    </w:p>
    <w:p>
      <w:pPr>
        <w:spacing w:after="0" w:line="161" w:lineRule="exact"/>
        <w:rPr>
          <w:sz w:val="20"/>
          <w:szCs w:val="20"/>
          <w:color w:val="auto"/>
        </w:rPr>
      </w:pPr>
    </w:p>
    <w:p>
      <w:pPr>
        <w:ind w:left="1180" w:hanging="423"/>
        <w:spacing w:after="0"/>
        <w:tabs>
          <w:tab w:leader="none" w:pos="11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EFFECT OF TERMINATION</w:t>
      </w:r>
    </w:p>
    <w:p>
      <w:pPr>
        <w:spacing w:after="0" w:line="233" w:lineRule="exact"/>
        <w:rPr>
          <w:rFonts w:ascii="Arial" w:cs="Arial" w:eastAsia="Arial" w:hAnsi="Arial"/>
          <w:sz w:val="22"/>
          <w:szCs w:val="22"/>
          <w:color w:val="auto"/>
        </w:rPr>
      </w:pPr>
    </w:p>
    <w:p>
      <w:pPr>
        <w:ind w:left="1340" w:hanging="434"/>
        <w:spacing w:after="0"/>
        <w:tabs>
          <w:tab w:leader="none" w:pos="13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Term of Employment may be terminated by the Company at any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both"/>
        <w:ind w:firstLine="1356"/>
        <w:spacing w:after="0" w:line="238" w:lineRule="auto"/>
        <w:tabs>
          <w:tab w:leader="none" w:pos="1780" w:val="left"/>
        </w:tabs>
        <w:numPr>
          <w:ilvl w:val="5"/>
          <w:numId w:val="17"/>
        </w:numPr>
        <w:rPr>
          <w:rFonts w:ascii="Arial" w:cs="Arial" w:eastAsia="Arial" w:hAnsi="Arial"/>
          <w:sz w:val="22"/>
          <w:szCs w:val="22"/>
          <w:color w:val="auto"/>
        </w:rPr>
      </w:pPr>
      <w:r>
        <w:rPr>
          <w:rFonts w:ascii="Arial" w:cs="Arial" w:eastAsia="Arial" w:hAnsi="Arial"/>
          <w:sz w:val="22"/>
          <w:szCs w:val="22"/>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12" w:lineRule="exact"/>
        <w:rPr>
          <w:rFonts w:ascii="Arial" w:cs="Arial" w:eastAsia="Arial" w:hAnsi="Arial"/>
          <w:sz w:val="22"/>
          <w:szCs w:val="22"/>
          <w:color w:val="auto"/>
        </w:rPr>
      </w:pPr>
    </w:p>
    <w:p>
      <w:pPr>
        <w:ind w:left="1780" w:hanging="424"/>
        <w:spacing w:after="0"/>
        <w:tabs>
          <w:tab w:leader="none" w:pos="1780" w:val="left"/>
        </w:tabs>
        <w:numPr>
          <w:ilvl w:val="5"/>
          <w:numId w:val="17"/>
        </w:numPr>
        <w:rPr>
          <w:rFonts w:ascii="Arial" w:cs="Arial" w:eastAsia="Arial" w:hAnsi="Arial"/>
          <w:sz w:val="21"/>
          <w:szCs w:val="21"/>
          <w:color w:val="auto"/>
        </w:rPr>
      </w:pPr>
      <w:r>
        <w:rPr>
          <w:rFonts w:ascii="Arial" w:cs="Arial" w:eastAsia="Arial" w:hAnsi="Arial"/>
          <w:sz w:val="21"/>
          <w:szCs w:val="21"/>
          <w:color w:val="auto"/>
        </w:rPr>
        <w:t>upon the determination of the Company that there is justifiable cause (as hereinafter defined) for such</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termination.</w:t>
      </w:r>
    </w:p>
    <w:p>
      <w:pPr>
        <w:spacing w:after="0" w:line="215" w:lineRule="exact"/>
        <w:rPr>
          <w:rFonts w:ascii="Arial" w:cs="Arial" w:eastAsia="Arial" w:hAnsi="Arial"/>
          <w:sz w:val="21"/>
          <w:szCs w:val="21"/>
          <w:color w:val="auto"/>
        </w:rPr>
      </w:pPr>
    </w:p>
    <w:p>
      <w:pPr>
        <w:ind w:left="1340" w:hanging="380"/>
        <w:spacing w:after="0"/>
        <w:tabs>
          <w:tab w:leader="none" w:pos="1340" w:val="left"/>
        </w:tabs>
        <w:numPr>
          <w:ilvl w:val="3"/>
          <w:numId w:val="18"/>
        </w:numPr>
        <w:rPr>
          <w:rFonts w:ascii="Arial" w:cs="Arial" w:eastAsia="Arial" w:hAnsi="Arial"/>
          <w:sz w:val="22"/>
          <w:szCs w:val="22"/>
          <w:color w:val="auto"/>
        </w:rPr>
      </w:pPr>
      <w:r>
        <w:rPr>
          <w:rFonts w:ascii="Arial" w:cs="Arial" w:eastAsia="Arial" w:hAnsi="Arial"/>
          <w:sz w:val="22"/>
          <w:szCs w:val="22"/>
          <w:color w:val="auto"/>
        </w:rPr>
        <w:t>The Term of Employment shall terminate upon:</w:t>
      </w:r>
    </w:p>
    <w:p>
      <w:pPr>
        <w:spacing w:after="0" w:line="233" w:lineRule="exact"/>
        <w:rPr>
          <w:rFonts w:ascii="Arial" w:cs="Arial" w:eastAsia="Arial" w:hAnsi="Arial"/>
          <w:sz w:val="22"/>
          <w:szCs w:val="22"/>
          <w:color w:val="auto"/>
        </w:rPr>
      </w:pPr>
    </w:p>
    <w:p>
      <w:pPr>
        <w:ind w:left="2220" w:hanging="865"/>
        <w:spacing w:after="0"/>
        <w:tabs>
          <w:tab w:leader="none" w:pos="2220" w:val="left"/>
        </w:tabs>
        <w:numPr>
          <w:ilvl w:val="5"/>
          <w:numId w:val="18"/>
        </w:numPr>
        <w:rPr>
          <w:rFonts w:ascii="Arial" w:cs="Arial" w:eastAsia="Arial" w:hAnsi="Arial"/>
          <w:sz w:val="22"/>
          <w:szCs w:val="22"/>
          <w:color w:val="auto"/>
        </w:rPr>
      </w:pPr>
      <w:r>
        <w:rPr>
          <w:rFonts w:ascii="Arial" w:cs="Arial" w:eastAsia="Arial" w:hAnsi="Arial"/>
          <w:sz w:val="22"/>
          <w:szCs w:val="22"/>
          <w:color w:val="auto"/>
        </w:rPr>
        <w:t>the death of Executive;</w:t>
      </w:r>
    </w:p>
    <w:p>
      <w:pPr>
        <w:spacing w:after="0" w:line="233" w:lineRule="exact"/>
        <w:rPr>
          <w:rFonts w:ascii="Arial" w:cs="Arial" w:eastAsia="Arial" w:hAnsi="Arial"/>
          <w:sz w:val="22"/>
          <w:szCs w:val="22"/>
          <w:color w:val="auto"/>
        </w:rPr>
      </w:pPr>
    </w:p>
    <w:p>
      <w:pPr>
        <w:ind w:right="240" w:firstLine="1243"/>
        <w:spacing w:after="0" w:line="250" w:lineRule="auto"/>
        <w:tabs>
          <w:tab w:leader="none" w:pos="1613" w:val="left"/>
        </w:tabs>
        <w:numPr>
          <w:ilvl w:val="4"/>
          <w:numId w:val="18"/>
        </w:numPr>
        <w:rPr>
          <w:rFonts w:ascii="Arial" w:cs="Arial" w:eastAsia="Arial" w:hAnsi="Arial"/>
          <w:sz w:val="22"/>
          <w:szCs w:val="22"/>
          <w:color w:val="auto"/>
        </w:rPr>
      </w:pPr>
      <w:r>
        <w:rPr>
          <w:rFonts w:ascii="Arial" w:cs="Arial" w:eastAsia="Arial" w:hAnsi="Arial"/>
          <w:sz w:val="22"/>
          <w:szCs w:val="22"/>
          <w:color w:val="auto"/>
        </w:rPr>
        <w:t>the date on which the Company elects to terminate the Term of Employment by reason of the "disability" of Executive (as hereinafter defined in subsection (c) herein) pursuant to subsection (g) hereof; or</w:t>
      </w:r>
    </w:p>
    <w:p>
      <w:pPr>
        <w:spacing w:after="0" w:line="201" w:lineRule="exact"/>
        <w:rPr>
          <w:rFonts w:ascii="Arial" w:cs="Arial" w:eastAsia="Arial" w:hAnsi="Arial"/>
          <w:sz w:val="22"/>
          <w:szCs w:val="22"/>
          <w:color w:val="auto"/>
        </w:rPr>
      </w:pPr>
    </w:p>
    <w:p>
      <w:pPr>
        <w:ind w:left="2220" w:hanging="865"/>
        <w:spacing w:after="0"/>
        <w:tabs>
          <w:tab w:leader="none" w:pos="2220" w:val="left"/>
        </w:tabs>
        <w:numPr>
          <w:ilvl w:val="5"/>
          <w:numId w:val="19"/>
        </w:numPr>
        <w:rPr>
          <w:rFonts w:ascii="Arial" w:cs="Arial" w:eastAsia="Arial" w:hAnsi="Arial"/>
          <w:sz w:val="22"/>
          <w:szCs w:val="22"/>
          <w:color w:val="auto"/>
        </w:rPr>
      </w:pPr>
      <w:r>
        <w:rPr>
          <w:rFonts w:ascii="Arial" w:cs="Arial" w:eastAsia="Arial" w:hAnsi="Arial"/>
          <w:sz w:val="22"/>
          <w:szCs w:val="22"/>
          <w:color w:val="auto"/>
        </w:rPr>
        <w:t>Executive’s resignation of employment.</w:t>
      </w:r>
    </w:p>
    <w:p>
      <w:pPr>
        <w:spacing w:after="0" w:line="233" w:lineRule="exact"/>
        <w:rPr>
          <w:rFonts w:ascii="Arial" w:cs="Arial" w:eastAsia="Arial" w:hAnsi="Arial"/>
          <w:sz w:val="22"/>
          <w:szCs w:val="22"/>
          <w:color w:val="auto"/>
        </w:rPr>
      </w:pPr>
    </w:p>
    <w:p>
      <w:pPr>
        <w:jc w:val="both"/>
        <w:ind w:firstLine="944"/>
        <w:spacing w:after="0" w:line="257" w:lineRule="auto"/>
        <w:tabs>
          <w:tab w:leader="none" w:pos="1368" w:val="left"/>
        </w:tabs>
        <w:numPr>
          <w:ilvl w:val="2"/>
          <w:numId w:val="20"/>
        </w:numPr>
        <w:rPr>
          <w:rFonts w:ascii="Arial" w:cs="Arial" w:eastAsia="Arial" w:hAnsi="Arial"/>
          <w:sz w:val="21"/>
          <w:szCs w:val="21"/>
          <w:color w:val="auto"/>
        </w:rPr>
      </w:pPr>
      <w:r>
        <w:rPr>
          <w:rFonts w:ascii="Arial" w:cs="Arial" w:eastAsia="Arial" w:hAnsi="Arial"/>
          <w:sz w:val="21"/>
          <w:szCs w:val="21"/>
          <w:color w:val="auto"/>
        </w:rPr>
        <w:t>For the purposes of this Amended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96" w:lineRule="exact"/>
        <w:rPr>
          <w:rFonts w:ascii="Arial" w:cs="Arial" w:eastAsia="Arial" w:hAnsi="Arial"/>
          <w:sz w:val="21"/>
          <w:szCs w:val="21"/>
          <w:color w:val="auto"/>
        </w:rPr>
      </w:pPr>
    </w:p>
    <w:p>
      <w:pPr>
        <w:jc w:val="both"/>
        <w:ind w:firstLine="906"/>
        <w:spacing w:after="0" w:line="272" w:lineRule="auto"/>
        <w:tabs>
          <w:tab w:leader="none" w:pos="1330" w:val="left"/>
        </w:tabs>
        <w:numPr>
          <w:ilvl w:val="1"/>
          <w:numId w:val="21"/>
        </w:numPr>
        <w:rPr>
          <w:rFonts w:ascii="Arial" w:cs="Arial" w:eastAsia="Arial" w:hAnsi="Arial"/>
          <w:sz w:val="19"/>
          <w:szCs w:val="19"/>
          <w:color w:val="auto"/>
        </w:rPr>
      </w:pPr>
      <w:r>
        <w:rPr>
          <w:rFonts w:ascii="Arial" w:cs="Arial" w:eastAsia="Arial" w:hAnsi="Arial"/>
          <w:sz w:val="19"/>
          <w:szCs w:val="19"/>
          <w:color w:val="auto"/>
        </w:rPr>
        <w:t>For the purposes hereof, the term "justifiable cause" shall mean: any failure or refusal to perform any of the duties pursuant to this Amended Agreement or any breach of this Amended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his termination of employment.</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757"/>
        <w:spacing w:after="0" w:line="271" w:lineRule="auto"/>
        <w:tabs>
          <w:tab w:leader="none" w:pos="1181" w:val="left"/>
        </w:tabs>
        <w:numPr>
          <w:ilvl w:val="0"/>
          <w:numId w:val="22"/>
        </w:numPr>
        <w:rPr>
          <w:rFonts w:ascii="Arial" w:cs="Arial" w:eastAsia="Arial" w:hAnsi="Arial"/>
          <w:sz w:val="19"/>
          <w:szCs w:val="19"/>
          <w:color w:val="auto"/>
        </w:rPr>
      </w:pPr>
      <w:r>
        <w:rPr>
          <w:rFonts w:ascii="Arial" w:cs="Arial" w:eastAsia="Arial" w:hAnsi="Arial"/>
          <w:sz w:val="19"/>
          <w:szCs w:val="19"/>
          <w:color w:val="auto"/>
        </w:rPr>
        <w:t>If the Company terminates this Amended Agreement without "justifiable cause" as provided in subsection 7(a)(i), the Company shall pay Executive his then current base salary for six months (that is, the one month notice period referenced in Paragraph 7(a)(i) and five months after the effectiveness of such termination), payable in equal payments in accordance with the Company’s customary payroll practices commencing with the first payroll period that begins at least 30 days after the termination</w:t>
      </w:r>
    </w:p>
    <w:p>
      <w:pPr>
        <w:spacing w:after="0" w:line="238" w:lineRule="auto"/>
        <w:rPr>
          <w:sz w:val="20"/>
          <w:szCs w:val="20"/>
          <w:color w:val="auto"/>
        </w:rPr>
      </w:pPr>
      <w:r>
        <w:rPr>
          <w:rFonts w:ascii="Arial" w:cs="Arial" w:eastAsia="Arial" w:hAnsi="Arial"/>
          <w:sz w:val="22"/>
          <w:szCs w:val="22"/>
          <w:color w:val="auto"/>
        </w:rPr>
        <w:t>of the Executive’s Term of Employment conditioned upon the</w:t>
      </w: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9"/>
          <w:szCs w:val="19"/>
          <w:color w:val="auto"/>
        </w:rPr>
        <w:t>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spacing w:after="0" w:line="179" w:lineRule="exact"/>
        <w:rPr>
          <w:sz w:val="20"/>
          <w:szCs w:val="20"/>
          <w:color w:val="auto"/>
        </w:rPr>
      </w:pPr>
    </w:p>
    <w:p>
      <w:pPr>
        <w:jc w:val="both"/>
        <w:ind w:firstLine="906"/>
        <w:spacing w:after="0" w:line="297" w:lineRule="auto"/>
        <w:tabs>
          <w:tab w:leader="none" w:pos="133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Executive shall die during the term of his employment hereunder, this Amended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60" w:lineRule="exact"/>
        <w:rPr>
          <w:rFonts w:ascii="Arial" w:cs="Arial" w:eastAsia="Arial" w:hAnsi="Arial"/>
          <w:sz w:val="19"/>
          <w:szCs w:val="19"/>
          <w:color w:val="auto"/>
        </w:rPr>
      </w:pPr>
    </w:p>
    <w:p>
      <w:pPr>
        <w:jc w:val="both"/>
        <w:ind w:firstLine="906"/>
        <w:spacing w:after="0" w:line="252" w:lineRule="auto"/>
        <w:tabs>
          <w:tab w:leader="none" w:pos="1330" w:val="left"/>
        </w:tabs>
        <w:numPr>
          <w:ilvl w:val="0"/>
          <w:numId w:val="23"/>
        </w:numPr>
        <w:rPr>
          <w:rFonts w:ascii="Arial" w:cs="Arial" w:eastAsia="Arial" w:hAnsi="Arial"/>
          <w:sz w:val="21"/>
          <w:szCs w:val="21"/>
          <w:color w:val="auto"/>
        </w:rPr>
      </w:pPr>
      <w:r>
        <w:rPr>
          <w:rFonts w:ascii="Arial" w:cs="Arial" w:eastAsia="Arial" w:hAnsi="Arial"/>
          <w:sz w:val="21"/>
          <w:szCs w:val="21"/>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200" w:lineRule="exact"/>
        <w:rPr>
          <w:rFonts w:ascii="Arial" w:cs="Arial" w:eastAsia="Arial" w:hAnsi="Arial"/>
          <w:sz w:val="21"/>
          <w:szCs w:val="21"/>
          <w:color w:val="auto"/>
        </w:rPr>
      </w:pPr>
    </w:p>
    <w:p>
      <w:pPr>
        <w:ind w:right="260" w:firstLine="906"/>
        <w:spacing w:after="0" w:line="287" w:lineRule="auto"/>
        <w:tabs>
          <w:tab w:leader="none" w:pos="1330" w:val="left"/>
        </w:tabs>
        <w:numPr>
          <w:ilvl w:val="0"/>
          <w:numId w:val="23"/>
        </w:numPr>
        <w:rPr>
          <w:rFonts w:ascii="Arial" w:cs="Arial" w:eastAsia="Arial" w:hAnsi="Arial"/>
          <w:sz w:val="19"/>
          <w:szCs w:val="19"/>
          <w:color w:val="auto"/>
        </w:rPr>
      </w:pPr>
      <w:r>
        <w:rPr>
          <w:rFonts w:ascii="Arial" w:cs="Arial" w:eastAsia="Arial" w:hAnsi="Arial"/>
          <w:sz w:val="19"/>
          <w:szCs w:val="19"/>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69" w:lineRule="exact"/>
        <w:rPr>
          <w:rFonts w:ascii="Arial" w:cs="Arial" w:eastAsia="Arial" w:hAnsi="Arial"/>
          <w:sz w:val="19"/>
          <w:szCs w:val="19"/>
          <w:color w:val="auto"/>
        </w:rPr>
      </w:pPr>
    </w:p>
    <w:p>
      <w:pPr>
        <w:ind w:right="60" w:firstLine="906"/>
        <w:spacing w:after="0" w:line="268" w:lineRule="auto"/>
        <w:tabs>
          <w:tab w:leader="none" w:pos="133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Amended Agreement; or (iv) any other action or inaction that constitutes a material breach by the Company of this Amended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w:t>
      </w:r>
    </w:p>
    <w:p>
      <w:pPr>
        <w:spacing w:after="0"/>
        <w:rPr>
          <w:sz w:val="20"/>
          <w:szCs w:val="20"/>
          <w:color w:val="auto"/>
        </w:rPr>
      </w:pPr>
      <w:r>
        <w:rPr>
          <w:rFonts w:ascii="Arial" w:cs="Arial" w:eastAsia="Arial" w:hAnsi="Arial"/>
          <w:sz w:val="22"/>
          <w:szCs w:val="22"/>
          <w:color w:val="auto"/>
        </w:rPr>
        <w:t>subject to and conditioned upon the Executive’s execution of the General Release required pursuant to</w:t>
      </w: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right="80"/>
        <w:spacing w:after="0" w:line="236" w:lineRule="auto"/>
        <w:rPr>
          <w:sz w:val="20"/>
          <w:szCs w:val="20"/>
          <w:color w:val="auto"/>
        </w:rPr>
      </w:pPr>
      <w:r>
        <w:rPr>
          <w:rFonts w:ascii="Arial" w:cs="Arial" w:eastAsia="Arial" w:hAnsi="Arial"/>
          <w:sz w:val="22"/>
          <w:szCs w:val="22"/>
          <w:color w:val="auto"/>
        </w:rPr>
        <w:t>paragraph 7(k) hereof and such release becoming irrevocable. Any payments made pursuant to this paragraph 7(i) will be in lieu of payments to which Executive might have been entitled under paragraph 7(e) of this Amended Agreement or under any other severance plan of the Company. The payments under this Amended Agreement shall be reduced if and to the extent necessary to avoid any payments or benefits to Executive being treated as “excess parachute payments” within the meaning of Internal Revenue Code Section 280G(b)(i).</w:t>
      </w:r>
    </w:p>
    <w:p>
      <w:pPr>
        <w:spacing w:after="0" w:line="215" w:lineRule="exact"/>
        <w:rPr>
          <w:sz w:val="20"/>
          <w:szCs w:val="20"/>
          <w:color w:val="auto"/>
        </w:rPr>
      </w:pPr>
    </w:p>
    <w:p>
      <w:pPr>
        <w:ind w:right="20" w:firstLine="440"/>
        <w:spacing w:after="0" w:line="250" w:lineRule="auto"/>
        <w:tabs>
          <w:tab w:leader="none" w:pos="864" w:val="left"/>
        </w:tabs>
        <w:numPr>
          <w:ilvl w:val="0"/>
          <w:numId w:val="24"/>
        </w:numPr>
        <w:rPr>
          <w:rFonts w:ascii="Arial" w:cs="Arial" w:eastAsia="Arial" w:hAnsi="Arial"/>
          <w:sz w:val="22"/>
          <w:szCs w:val="22"/>
          <w:color w:val="auto"/>
        </w:rPr>
      </w:pPr>
      <w:r>
        <w:rPr>
          <w:rFonts w:ascii="Arial" w:cs="Arial" w:eastAsia="Arial" w:hAnsi="Arial"/>
          <w:sz w:val="22"/>
          <w:szCs w:val="22"/>
          <w:color w:val="auto"/>
        </w:rPr>
        <w:t>Clawback of Certain Compensation and Benefits. If, after the termination of the Term of Employment for any reason other than by the Company for “justifiable cause”:</w:t>
      </w:r>
    </w:p>
    <w:p>
      <w:pPr>
        <w:spacing w:after="0" w:line="174" w:lineRule="exact"/>
        <w:rPr>
          <w:rFonts w:ascii="Arial" w:cs="Arial" w:eastAsia="Arial" w:hAnsi="Arial"/>
          <w:sz w:val="22"/>
          <w:szCs w:val="22"/>
          <w:color w:val="auto"/>
        </w:rPr>
      </w:pPr>
    </w:p>
    <w:p>
      <w:pPr>
        <w:jc w:val="both"/>
        <w:ind w:firstLine="1790"/>
        <w:spacing w:after="0" w:line="287" w:lineRule="auto"/>
        <w:tabs>
          <w:tab w:leader="none" w:pos="2036" w:val="left"/>
        </w:tabs>
        <w:numPr>
          <w:ilvl w:val="1"/>
          <w:numId w:val="24"/>
        </w:numPr>
        <w:rPr>
          <w:rFonts w:ascii="Arial" w:cs="Arial" w:eastAsia="Arial" w:hAnsi="Arial"/>
          <w:sz w:val="19"/>
          <w:szCs w:val="19"/>
          <w:color w:val="auto"/>
        </w:rPr>
      </w:pPr>
      <w:r>
        <w:rPr>
          <w:rFonts w:ascii="Arial" w:cs="Arial" w:eastAsia="Arial" w:hAnsi="Arial"/>
          <w:sz w:val="19"/>
          <w:szCs w:val="19"/>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42" w:lineRule="exact"/>
        <w:rPr>
          <w:rFonts w:ascii="Arial" w:cs="Arial" w:eastAsia="Arial" w:hAnsi="Arial"/>
          <w:sz w:val="19"/>
          <w:szCs w:val="19"/>
          <w:color w:val="auto"/>
        </w:rPr>
      </w:pPr>
    </w:p>
    <w:p>
      <w:pPr>
        <w:jc w:val="both"/>
        <w:ind w:firstLine="1790"/>
        <w:spacing w:after="0" w:line="238" w:lineRule="auto"/>
        <w:tabs>
          <w:tab w:leader="none" w:pos="2036"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Executive breaches any of the provisions of paragraph 10, then, in addition to any other remedy that may be available to the Company in law or equity and/or pursuant to any other provisions of this Amended Agreement, the Executive’s employment shall be deemed to have been terminated for justifiable cause retroactively to the Termination Date and the Executive also shall be subject to the following provisions:</w:t>
      </w:r>
    </w:p>
    <w:p>
      <w:pPr>
        <w:spacing w:after="0" w:line="184" w:lineRule="exact"/>
        <w:rPr>
          <w:rFonts w:ascii="Arial" w:cs="Arial" w:eastAsia="Arial" w:hAnsi="Arial"/>
          <w:sz w:val="22"/>
          <w:szCs w:val="22"/>
          <w:color w:val="auto"/>
        </w:rPr>
      </w:pPr>
    </w:p>
    <w:p>
      <w:pPr>
        <w:jc w:val="both"/>
        <w:ind w:firstLine="3003"/>
        <w:spacing w:after="0" w:line="246" w:lineRule="auto"/>
        <w:tabs>
          <w:tab w:leader="none" w:pos="3564" w:val="left"/>
        </w:tabs>
        <w:numPr>
          <w:ilvl w:val="2"/>
          <w:numId w:val="24"/>
        </w:numPr>
        <w:rPr>
          <w:rFonts w:ascii="Arial" w:cs="Arial" w:eastAsia="Arial" w:hAnsi="Arial"/>
          <w:sz w:val="21"/>
          <w:szCs w:val="21"/>
          <w:color w:val="auto"/>
        </w:rPr>
      </w:pPr>
      <w:r>
        <w:rPr>
          <w:rFonts w:ascii="Arial" w:cs="Arial" w:eastAsia="Arial" w:hAnsi="Arial"/>
          <w:sz w:val="21"/>
          <w:szCs w:val="21"/>
          <w:color w:val="auto"/>
        </w:rPr>
        <w:t>the Executive shall be required to pay to the Company, immediately upon written demand by the Company, all amounts paid to Executive by the Company, whether or not pursuant to this Amended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84" w:lineRule="exact"/>
        <w:rPr>
          <w:rFonts w:ascii="Arial" w:cs="Arial" w:eastAsia="Arial" w:hAnsi="Arial"/>
          <w:sz w:val="21"/>
          <w:szCs w:val="21"/>
          <w:color w:val="auto"/>
        </w:rPr>
      </w:pPr>
    </w:p>
    <w:p>
      <w:pPr>
        <w:ind w:firstLine="3003"/>
        <w:spacing w:after="0" w:line="250" w:lineRule="auto"/>
        <w:tabs>
          <w:tab w:leader="none" w:pos="3564" w:val="left"/>
        </w:tabs>
        <w:numPr>
          <w:ilvl w:val="2"/>
          <w:numId w:val="24"/>
        </w:numPr>
        <w:rPr>
          <w:rFonts w:ascii="Arial" w:cs="Arial" w:eastAsia="Arial" w:hAnsi="Arial"/>
          <w:sz w:val="22"/>
          <w:szCs w:val="22"/>
          <w:color w:val="auto"/>
        </w:rPr>
      </w:pPr>
      <w:r>
        <w:rPr>
          <w:rFonts w:ascii="Arial" w:cs="Arial" w:eastAsia="Arial" w:hAnsi="Arial"/>
          <w:sz w:val="22"/>
          <w:szCs w:val="22"/>
          <w:color w:val="auto"/>
        </w:rPr>
        <w:t>all vested and unvested Awards (as that term is defined in the 2016 Incentive Compensation Plan) then held by the Executive shall immediately expire; and</w:t>
      </w:r>
    </w:p>
    <w:p>
      <w:pPr>
        <w:spacing w:after="0" w:line="174" w:lineRule="exact"/>
        <w:rPr>
          <w:rFonts w:ascii="Arial" w:cs="Arial" w:eastAsia="Arial" w:hAnsi="Arial"/>
          <w:sz w:val="22"/>
          <w:szCs w:val="22"/>
          <w:color w:val="auto"/>
        </w:rPr>
      </w:pPr>
    </w:p>
    <w:p>
      <w:pPr>
        <w:jc w:val="both"/>
        <w:ind w:firstLine="3003"/>
        <w:spacing w:after="0" w:line="245" w:lineRule="auto"/>
        <w:tabs>
          <w:tab w:leader="none" w:pos="3564" w:val="left"/>
        </w:tabs>
        <w:numPr>
          <w:ilvl w:val="2"/>
          <w:numId w:val="24"/>
        </w:numPr>
        <w:rPr>
          <w:rFonts w:ascii="Arial" w:cs="Arial" w:eastAsia="Arial" w:hAnsi="Arial"/>
          <w:sz w:val="21"/>
          <w:szCs w:val="21"/>
          <w:color w:val="auto"/>
        </w:rPr>
      </w:pPr>
      <w:r>
        <w:rPr>
          <w:rFonts w:ascii="Arial" w:cs="Arial" w:eastAsia="Arial" w:hAnsi="Arial"/>
          <w:sz w:val="21"/>
          <w:szCs w:val="21"/>
          <w:color w:val="auto"/>
        </w:rPr>
        <w:t>the Executive shall be required to pay to the Company, 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right="100" w:firstLine="906"/>
        <w:spacing w:after="0" w:line="258" w:lineRule="auto"/>
        <w:tabs>
          <w:tab w:leader="none" w:pos="1330" w:val="left"/>
        </w:tabs>
        <w:numPr>
          <w:ilvl w:val="1"/>
          <w:numId w:val="25"/>
        </w:numPr>
        <w:rPr>
          <w:rFonts w:ascii="Arial" w:cs="Arial" w:eastAsia="Arial" w:hAnsi="Arial"/>
          <w:sz w:val="21"/>
          <w:szCs w:val="21"/>
          <w:color w:val="auto"/>
        </w:rPr>
      </w:pPr>
      <w:r>
        <w:rPr>
          <w:rFonts w:ascii="Arial" w:cs="Arial" w:eastAsia="Arial" w:hAnsi="Arial"/>
          <w:sz w:val="21"/>
          <w:szCs w:val="21"/>
          <w:color w:val="auto"/>
        </w:rPr>
        <w:t>Any payment pursuant to paragraph 7(e) or 7(i) shall be contingent upon Executive’s execution of the General Release within 21 days after termination of the Term of Employment (or such longer time as may be authorized by the Company or otherwise required by applicable law), and the Executive’s not revoking that release.</w:t>
      </w:r>
    </w:p>
    <w:p>
      <w:pPr>
        <w:spacing w:after="0" w:line="166" w:lineRule="exact"/>
        <w:rPr>
          <w:rFonts w:ascii="Arial" w:cs="Arial" w:eastAsia="Arial" w:hAnsi="Arial"/>
          <w:sz w:val="21"/>
          <w:szCs w:val="21"/>
          <w:color w:val="auto"/>
        </w:rPr>
      </w:pPr>
    </w:p>
    <w:p>
      <w:pPr>
        <w:ind w:left="1180" w:hanging="423"/>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p>
    <w:p>
      <w:pPr>
        <w:spacing w:after="0" w:line="206" w:lineRule="exact"/>
        <w:rPr>
          <w:sz w:val="20"/>
          <w:szCs w:val="20"/>
          <w:color w:val="auto"/>
        </w:rPr>
      </w:pPr>
    </w:p>
    <w:p>
      <w:pPr>
        <w:jc w:val="both"/>
        <w:ind w:firstLine="757"/>
        <w:spacing w:after="0" w:line="234" w:lineRule="auto"/>
        <w:tabs>
          <w:tab w:leader="none" w:pos="1248" w:val="left"/>
        </w:tabs>
        <w:numPr>
          <w:ilvl w:val="0"/>
          <w:numId w:val="27"/>
        </w:numPr>
        <w:rPr>
          <w:rFonts w:ascii="Arial" w:cs="Arial" w:eastAsia="Arial" w:hAnsi="Arial"/>
          <w:sz w:val="22"/>
          <w:szCs w:val="22"/>
          <w:color w:val="auto"/>
        </w:rPr>
      </w:pPr>
      <w:r>
        <w:rPr>
          <w:rFonts w:ascii="Arial" w:cs="Arial" w:eastAsia="Arial" w:hAnsi="Arial"/>
          <w:sz w:val="22"/>
          <w:szCs w:val="22"/>
          <w:color w:val="auto"/>
        </w:rPr>
        <w:t>General. It is the intention of both the Company and the Executive that the benefits and rights to which the Executive could be entitled pursuant to this Amended Agreement comply with Section 409A of the Code and the Treasury Regulations and other guidance promulgated or issued thereunder (“Section 409A”), to the extent that the requirements of Section 409A are applicable thereto, and the provisions of this Amended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86" w:lineRule="exact"/>
        <w:rPr>
          <w:rFonts w:ascii="Arial" w:cs="Arial" w:eastAsia="Arial" w:hAnsi="Arial"/>
          <w:sz w:val="22"/>
          <w:szCs w:val="22"/>
          <w:color w:val="auto"/>
        </w:rPr>
      </w:pPr>
    </w:p>
    <w:p>
      <w:pPr>
        <w:jc w:val="both"/>
        <w:ind w:firstLine="757"/>
        <w:spacing w:after="0" w:line="297" w:lineRule="auto"/>
        <w:tabs>
          <w:tab w:leader="none" w:pos="1181" w:val="left"/>
        </w:tabs>
        <w:numPr>
          <w:ilvl w:val="0"/>
          <w:numId w:val="27"/>
        </w:numPr>
        <w:rPr>
          <w:rFonts w:ascii="Arial" w:cs="Arial" w:eastAsia="Arial" w:hAnsi="Arial"/>
          <w:sz w:val="19"/>
          <w:szCs w:val="19"/>
          <w:color w:val="auto"/>
        </w:rPr>
      </w:pPr>
      <w:r>
        <w:rPr>
          <w:rFonts w:ascii="Arial" w:cs="Arial" w:eastAsia="Arial" w:hAnsi="Arial"/>
          <w:sz w:val="19"/>
          <w:szCs w:val="19"/>
          <w:color w:val="auto"/>
        </w:rPr>
        <w:t>Distributions on Account of Separation from Service. If and to the extent required to comply with Section 409A, no payment or benefit required to be paid under this Amended Agreement on account of termination of the Executive’s employment shall be made unless and until the Executive incurs a “separation from service” within the meaning of Section 409A.</w:t>
      </w:r>
    </w:p>
    <w:p>
      <w:pPr>
        <w:spacing w:after="0" w:line="133" w:lineRule="exact"/>
        <w:rPr>
          <w:rFonts w:ascii="Arial" w:cs="Arial" w:eastAsia="Arial" w:hAnsi="Arial"/>
          <w:sz w:val="19"/>
          <w:szCs w:val="19"/>
          <w:color w:val="auto"/>
        </w:rPr>
      </w:pPr>
    </w:p>
    <w:p>
      <w:pPr>
        <w:ind w:left="1180" w:hanging="423"/>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6 Month Delay for “Specified Employees”.</w:t>
      </w:r>
    </w:p>
    <w:p>
      <w:pPr>
        <w:spacing w:after="0" w:line="206" w:lineRule="exact"/>
        <w:rPr>
          <w:rFonts w:ascii="Arial" w:cs="Arial" w:eastAsia="Arial" w:hAnsi="Arial"/>
          <w:sz w:val="22"/>
          <w:szCs w:val="22"/>
          <w:color w:val="auto"/>
        </w:rPr>
      </w:pPr>
    </w:p>
    <w:p>
      <w:pPr>
        <w:ind w:firstLine="1505"/>
        <w:spacing w:after="0" w:line="274" w:lineRule="auto"/>
        <w:tabs>
          <w:tab w:leader="none" w:pos="1755" w:val="left"/>
        </w:tabs>
        <w:numPr>
          <w:ilvl w:val="1"/>
          <w:numId w:val="27"/>
        </w:numPr>
        <w:rPr>
          <w:rFonts w:ascii="Arial" w:cs="Arial" w:eastAsia="Arial" w:hAnsi="Arial"/>
          <w:sz w:val="19"/>
          <w:szCs w:val="19"/>
          <w:color w:val="auto"/>
        </w:rPr>
      </w:pPr>
      <w:r>
        <w:rPr>
          <w:rFonts w:ascii="Arial" w:cs="Arial" w:eastAsia="Arial" w:hAnsi="Arial"/>
          <w:sz w:val="19"/>
          <w:szCs w:val="19"/>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85" w:lineRule="exact"/>
        <w:rPr>
          <w:rFonts w:ascii="Arial" w:cs="Arial" w:eastAsia="Arial" w:hAnsi="Arial"/>
          <w:sz w:val="19"/>
          <w:szCs w:val="19"/>
          <w:color w:val="auto"/>
        </w:rPr>
      </w:pPr>
    </w:p>
    <w:p>
      <w:pPr>
        <w:jc w:val="both"/>
        <w:ind w:firstLine="1505"/>
        <w:spacing w:after="0" w:line="287" w:lineRule="auto"/>
        <w:tabs>
          <w:tab w:leader="none" w:pos="1819" w:val="left"/>
        </w:tabs>
        <w:numPr>
          <w:ilvl w:val="1"/>
          <w:numId w:val="27"/>
        </w:numPr>
        <w:rPr>
          <w:rFonts w:ascii="Arial" w:cs="Arial" w:eastAsia="Arial" w:hAnsi="Arial"/>
          <w:sz w:val="19"/>
          <w:szCs w:val="19"/>
          <w:color w:val="auto"/>
        </w:rPr>
      </w:pPr>
      <w:r>
        <w:rPr>
          <w:rFonts w:ascii="Arial" w:cs="Arial" w:eastAsia="Arial" w:hAnsi="Arial"/>
          <w:sz w:val="19"/>
          <w:szCs w:val="19"/>
          <w:color w:val="auto"/>
        </w:rPr>
        <w:t>For purposes of this provision, the Executive shall be considered to be a “specified employee” if, at the time of his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2" w:lineRule="exact"/>
        <w:rPr>
          <w:rFonts w:ascii="Arial" w:cs="Arial" w:eastAsia="Arial" w:hAnsi="Arial"/>
          <w:sz w:val="19"/>
          <w:szCs w:val="19"/>
          <w:color w:val="auto"/>
        </w:rPr>
      </w:pPr>
    </w:p>
    <w:p>
      <w:pPr>
        <w:ind w:firstLine="757"/>
        <w:spacing w:after="0"/>
        <w:tabs>
          <w:tab w:leader="none" w:pos="1181"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Amended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line="251" w:lineRule="auto"/>
        <w:rPr>
          <w:sz w:val="20"/>
          <w:szCs w:val="20"/>
          <w:color w:val="auto"/>
        </w:rPr>
      </w:pPr>
      <w:r>
        <w:rPr>
          <w:rFonts w:ascii="Arial" w:cs="Arial" w:eastAsia="Arial" w:hAnsi="Arial"/>
          <w:sz w:val="22"/>
          <w:szCs w:val="22"/>
          <w:color w:val="auto"/>
        </w:rPr>
        <w:t>and no amount that is subject to Section 409A shall be paid prior to the earliest date on which it may be paid without violating Section 409A.</w:t>
      </w:r>
    </w:p>
    <w:p>
      <w:pPr>
        <w:spacing w:after="0" w:line="173" w:lineRule="exact"/>
        <w:rPr>
          <w:sz w:val="20"/>
          <w:szCs w:val="20"/>
          <w:color w:val="auto"/>
        </w:rPr>
      </w:pPr>
    </w:p>
    <w:p>
      <w:pPr>
        <w:jc w:val="both"/>
        <w:ind w:firstLine="757"/>
        <w:spacing w:after="0" w:line="287" w:lineRule="auto"/>
        <w:tabs>
          <w:tab w:leader="none" w:pos="1181" w:val="left"/>
        </w:tabs>
        <w:numPr>
          <w:ilvl w:val="0"/>
          <w:numId w:val="28"/>
        </w:numPr>
        <w:rPr>
          <w:rFonts w:ascii="Arial" w:cs="Arial" w:eastAsia="Arial" w:hAnsi="Arial"/>
          <w:sz w:val="19"/>
          <w:szCs w:val="19"/>
          <w:color w:val="auto"/>
        </w:rPr>
      </w:pPr>
      <w:r>
        <w:rPr>
          <w:rFonts w:ascii="Arial" w:cs="Arial" w:eastAsia="Arial" w:hAnsi="Arial"/>
          <w:sz w:val="19"/>
          <w:szCs w:val="19"/>
          <w:color w:val="auto"/>
        </w:rPr>
        <w:t>Treatment of Each Installment as a Separate Payment. For purposes of applying the provisions of Section 409A to this Amended Agreement, each separately identified amount to which the Executive is entitled under this Amended Agreement shall be treated as a separate payment. In addition, to the extent permissible under Section 409A, any series of installment payments under this Amended Agreement shall be treated as a right to a series of separate payments.</w:t>
      </w:r>
    </w:p>
    <w:p>
      <w:pPr>
        <w:spacing w:after="0" w:line="142" w:lineRule="exact"/>
        <w:rPr>
          <w:rFonts w:ascii="Arial" w:cs="Arial" w:eastAsia="Arial" w:hAnsi="Arial"/>
          <w:sz w:val="19"/>
          <w:szCs w:val="19"/>
          <w:color w:val="auto"/>
        </w:rPr>
      </w:pPr>
    </w:p>
    <w:p>
      <w:pPr>
        <w:ind w:left="1180" w:hanging="423"/>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Taxable Reimbursements.</w:t>
      </w:r>
    </w:p>
    <w:p>
      <w:pPr>
        <w:spacing w:after="0" w:line="206" w:lineRule="exact"/>
        <w:rPr>
          <w:rFonts w:ascii="Arial" w:cs="Arial" w:eastAsia="Arial" w:hAnsi="Arial"/>
          <w:sz w:val="22"/>
          <w:szCs w:val="22"/>
          <w:color w:val="auto"/>
        </w:rPr>
      </w:pPr>
    </w:p>
    <w:p>
      <w:pPr>
        <w:jc w:val="both"/>
        <w:ind w:firstLine="1505"/>
        <w:spacing w:after="0" w:line="287" w:lineRule="auto"/>
        <w:tabs>
          <w:tab w:leader="none" w:pos="1796" w:val="left"/>
        </w:tabs>
        <w:numPr>
          <w:ilvl w:val="1"/>
          <w:numId w:val="28"/>
        </w:numPr>
        <w:rPr>
          <w:rFonts w:ascii="Arial" w:cs="Arial" w:eastAsia="Arial" w:hAnsi="Arial"/>
          <w:sz w:val="19"/>
          <w:szCs w:val="19"/>
          <w:color w:val="auto"/>
        </w:rPr>
      </w:pPr>
      <w:r>
        <w:rPr>
          <w:rFonts w:ascii="Arial" w:cs="Arial" w:eastAsia="Arial" w:hAnsi="Arial"/>
          <w:sz w:val="19"/>
          <w:szCs w:val="19"/>
          <w:color w:val="auto"/>
        </w:rPr>
        <w:t>Any reimbursements by the Company to the Executive of any eligible expenses under this Amended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42" w:lineRule="exact"/>
        <w:rPr>
          <w:rFonts w:ascii="Arial" w:cs="Arial" w:eastAsia="Arial" w:hAnsi="Arial"/>
          <w:sz w:val="19"/>
          <w:szCs w:val="19"/>
          <w:color w:val="auto"/>
        </w:rPr>
      </w:pPr>
    </w:p>
    <w:p>
      <w:pPr>
        <w:ind w:firstLine="1505"/>
        <w:spacing w:after="0" w:line="328" w:lineRule="auto"/>
        <w:tabs>
          <w:tab w:leader="none" w:pos="1823"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04" w:lineRule="exact"/>
        <w:rPr>
          <w:rFonts w:ascii="Arial" w:cs="Arial" w:eastAsia="Arial" w:hAnsi="Arial"/>
          <w:sz w:val="19"/>
          <w:szCs w:val="19"/>
          <w:color w:val="auto"/>
        </w:rPr>
      </w:pPr>
    </w:p>
    <w:p>
      <w:pPr>
        <w:ind w:left="1880" w:hanging="375"/>
        <w:spacing w:after="0"/>
        <w:tabs>
          <w:tab w:leader="none" w:pos="18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right to Taxable Reimbursements shall not be subject to liquidation or exchange for another benefit.</w:t>
      </w:r>
    </w:p>
    <w:p>
      <w:pPr>
        <w:spacing w:after="0" w:line="241" w:lineRule="exact"/>
        <w:rPr>
          <w:sz w:val="20"/>
          <w:szCs w:val="20"/>
          <w:color w:val="auto"/>
        </w:rPr>
      </w:pPr>
    </w:p>
    <w:p>
      <w:pPr>
        <w:ind w:left="1360" w:hanging="603"/>
        <w:spacing w:after="0"/>
        <w:tabs>
          <w:tab w:leader="none" w:pos="1360"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REPRESENTATION AND AGREEMENTS OF EXECUTIVE</w:t>
      </w:r>
    </w:p>
    <w:p>
      <w:pPr>
        <w:spacing w:after="0" w:line="233" w:lineRule="exact"/>
        <w:rPr>
          <w:rFonts w:ascii="Arial" w:cs="Arial" w:eastAsia="Arial" w:hAnsi="Arial"/>
          <w:sz w:val="22"/>
          <w:szCs w:val="22"/>
          <w:color w:val="auto"/>
        </w:rPr>
      </w:pPr>
    </w:p>
    <w:p>
      <w:pPr>
        <w:jc w:val="both"/>
        <w:ind w:firstLine="440"/>
        <w:spacing w:after="0"/>
        <w:tabs>
          <w:tab w:leader="none" w:pos="864" w:val="left"/>
        </w:tabs>
        <w:numPr>
          <w:ilvl w:val="0"/>
          <w:numId w:val="30"/>
        </w:numPr>
        <w:rPr>
          <w:rFonts w:ascii="Arial" w:cs="Arial" w:eastAsia="Arial" w:hAnsi="Arial"/>
          <w:sz w:val="22"/>
          <w:szCs w:val="22"/>
          <w:color w:val="auto"/>
        </w:rPr>
      </w:pPr>
      <w:r>
        <w:rPr>
          <w:rFonts w:ascii="Arial" w:cs="Arial" w:eastAsia="Arial" w:hAnsi="Arial"/>
          <w:sz w:val="22"/>
          <w:szCs w:val="22"/>
          <w:color w:val="auto"/>
        </w:rPr>
        <w:t>Executive represents and warrants that he is free to enter into this Amended Agreement and to perform the duties required hereunder, and that there are no employment contracts or understandings, restrictive covenants or other restrictions, whether written or oral, preventing the performance of his duties hereunder.</w:t>
      </w:r>
    </w:p>
    <w:p>
      <w:pPr>
        <w:spacing w:after="0" w:line="213" w:lineRule="exact"/>
        <w:rPr>
          <w:rFonts w:ascii="Arial" w:cs="Arial" w:eastAsia="Arial" w:hAnsi="Arial"/>
          <w:sz w:val="22"/>
          <w:szCs w:val="22"/>
          <w:color w:val="auto"/>
        </w:rPr>
      </w:pPr>
    </w:p>
    <w:p>
      <w:pPr>
        <w:ind w:right="220" w:firstLine="944"/>
        <w:spacing w:after="0" w:line="297" w:lineRule="auto"/>
        <w:tabs>
          <w:tab w:leader="none" w:pos="1368" w:val="left"/>
        </w:tabs>
        <w:numPr>
          <w:ilvl w:val="2"/>
          <w:numId w:val="30"/>
        </w:numPr>
        <w:rPr>
          <w:rFonts w:ascii="Arial" w:cs="Arial" w:eastAsia="Arial" w:hAnsi="Arial"/>
          <w:sz w:val="19"/>
          <w:szCs w:val="19"/>
          <w:color w:val="auto"/>
        </w:rPr>
      </w:pPr>
      <w:r>
        <w:rPr>
          <w:rFonts w:ascii="Arial" w:cs="Arial" w:eastAsia="Arial" w:hAnsi="Arial"/>
          <w:sz w:val="19"/>
          <w:szCs w:val="19"/>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60" w:lineRule="exact"/>
        <w:rPr>
          <w:rFonts w:ascii="Arial" w:cs="Arial" w:eastAsia="Arial" w:hAnsi="Arial"/>
          <w:sz w:val="19"/>
          <w:szCs w:val="19"/>
          <w:color w:val="auto"/>
        </w:rPr>
      </w:pPr>
    </w:p>
    <w:p>
      <w:pPr>
        <w:ind w:right="80" w:firstLine="944"/>
        <w:spacing w:after="0"/>
        <w:tabs>
          <w:tab w:leader="none" w:pos="1368" w:val="left"/>
        </w:tabs>
        <w:numPr>
          <w:ilvl w:val="2"/>
          <w:numId w:val="30"/>
        </w:numPr>
        <w:rPr>
          <w:rFonts w:ascii="Arial" w:cs="Arial" w:eastAsia="Arial" w:hAnsi="Arial"/>
          <w:sz w:val="22"/>
          <w:szCs w:val="22"/>
          <w:color w:val="auto"/>
        </w:rPr>
      </w:pPr>
      <w:r>
        <w:rPr>
          <w:rFonts w:ascii="Arial" w:cs="Arial" w:eastAsia="Arial" w:hAnsi="Arial"/>
          <w:sz w:val="22"/>
          <w:szCs w:val="22"/>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213" w:lineRule="exact"/>
        <w:rPr>
          <w:rFonts w:ascii="Arial" w:cs="Arial" w:eastAsia="Arial" w:hAnsi="Arial"/>
          <w:sz w:val="22"/>
          <w:szCs w:val="22"/>
          <w:color w:val="auto"/>
        </w:rPr>
      </w:pPr>
    </w:p>
    <w:p>
      <w:pPr>
        <w:jc w:val="both"/>
        <w:ind w:firstLine="944"/>
        <w:spacing w:after="0" w:line="257" w:lineRule="auto"/>
        <w:tabs>
          <w:tab w:leader="none" w:pos="1368" w:val="left"/>
        </w:tabs>
        <w:numPr>
          <w:ilvl w:val="2"/>
          <w:numId w:val="30"/>
        </w:numPr>
        <w:rPr>
          <w:rFonts w:ascii="Arial" w:cs="Arial" w:eastAsia="Arial" w:hAnsi="Arial"/>
          <w:sz w:val="21"/>
          <w:szCs w:val="21"/>
          <w:color w:val="auto"/>
        </w:rPr>
      </w:pPr>
      <w:r>
        <w:rPr>
          <w:rFonts w:ascii="Arial" w:cs="Arial" w:eastAsia="Arial" w:hAnsi="Arial"/>
          <w:sz w:val="21"/>
          <w:szCs w:val="21"/>
          <w:color w:val="auto"/>
        </w:rPr>
        <w:t>Executive represents and warrants that he has never been a party to any judicial or administrative proceeding that resulted in a judgment, decree, or final order (i) enjoining his from future violations of, or prohibiting any violations of any federal or state securities law, or (ii) finding any violations of any federal or state securities law.</w:t>
      </w:r>
    </w:p>
    <w:p>
      <w:pPr>
        <w:spacing w:after="0" w:line="196" w:lineRule="exact"/>
        <w:rPr>
          <w:sz w:val="20"/>
          <w:szCs w:val="20"/>
          <w:color w:val="auto"/>
        </w:rPr>
      </w:pPr>
    </w:p>
    <w:p>
      <w:pPr>
        <w:ind w:right="860" w:firstLine="440"/>
        <w:spacing w:after="0" w:line="241" w:lineRule="auto"/>
        <w:tabs>
          <w:tab w:leader="none" w:pos="996"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Executive represents and warrants that he has never been accused of any impropriety in connection with any employment;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ind w:right="160"/>
        <w:spacing w:after="0" w:line="250" w:lineRule="auto"/>
        <w:rPr>
          <w:sz w:val="20"/>
          <w:szCs w:val="20"/>
          <w:color w:val="auto"/>
        </w:rPr>
      </w:pPr>
      <w:r>
        <w:rPr>
          <w:rFonts w:ascii="Arial" w:cs="Arial" w:eastAsia="Arial" w:hAnsi="Arial"/>
          <w:sz w:val="22"/>
          <w:szCs w:val="22"/>
          <w:color w:val="auto"/>
        </w:rPr>
        <w:t>Any breach of any of the above representations and warranties is "justifiable cause" for termination under paragraph 7(d) of this Amended Agreement.</w:t>
      </w:r>
    </w:p>
    <w:p>
      <w:pPr>
        <w:spacing w:after="0" w:line="202" w:lineRule="exact"/>
        <w:rPr>
          <w:sz w:val="20"/>
          <w:szCs w:val="20"/>
          <w:color w:val="auto"/>
        </w:rPr>
      </w:pPr>
    </w:p>
    <w:p>
      <w:pPr>
        <w:ind w:left="1240" w:hanging="483"/>
        <w:spacing w:after="0"/>
        <w:tabs>
          <w:tab w:leader="none" w:pos="12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NON-COMPETITION</w:t>
      </w:r>
    </w:p>
    <w:p>
      <w:pPr>
        <w:spacing w:after="0" w:line="233" w:lineRule="exact"/>
        <w:rPr>
          <w:sz w:val="20"/>
          <w:szCs w:val="20"/>
          <w:color w:val="auto"/>
        </w:rPr>
      </w:pPr>
    </w:p>
    <w:p>
      <w:pPr>
        <w:ind w:firstLine="757"/>
        <w:spacing w:after="0" w:line="270" w:lineRule="auto"/>
        <w:tabs>
          <w:tab w:leader="none" w:pos="1097"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In consideration for the Sign-On Award, the Inducement Award referenced in Paragraph 3(d), the Advance referenced in paragraph 3(e) and the potential to receive additional compensation pursuant to paragraph 7(a)(i) and 7(e) above,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Arial" w:cs="Arial" w:eastAsia="Arial" w:hAnsi="Arial"/>
          <w:sz w:val="19"/>
          <w:szCs w:val="19"/>
          <w:color w:val="333333"/>
        </w:rPr>
        <w:t>in which the Executive provided services or</w:t>
      </w:r>
      <w:r>
        <w:rPr>
          <w:rFonts w:ascii="Arial" w:cs="Arial" w:eastAsia="Arial" w:hAnsi="Arial"/>
          <w:sz w:val="19"/>
          <w:szCs w:val="19"/>
          <w:color w:val="auto"/>
        </w:rPr>
        <w:t xml:space="preserve"> </w:t>
      </w:r>
      <w:r>
        <w:rPr>
          <w:rFonts w:ascii="Arial" w:cs="Arial" w:eastAsia="Arial" w:hAnsi="Arial"/>
          <w:sz w:val="19"/>
          <w:szCs w:val="19"/>
          <w:color w:val="333333"/>
        </w:rPr>
        <w:t>had a material presence or influence on behalf of the Company, whether in the United States, Canada, Europe or elsewhere during the two years prior to Executive’s separation from the Company</w:t>
      </w:r>
      <w:r>
        <w:rPr>
          <w:rFonts w:ascii="Arial" w:cs="Arial" w:eastAsia="Arial" w:hAnsi="Arial"/>
          <w:sz w:val="19"/>
          <w:szCs w:val="19"/>
          <w:color w:val="000000"/>
        </w:rPr>
        <w:t>; provided, however, that Executive may own any securities of</w:t>
      </w:r>
      <w:r>
        <w:rPr>
          <w:rFonts w:ascii="Arial" w:cs="Arial" w:eastAsia="Arial" w:hAnsi="Arial"/>
          <w:sz w:val="19"/>
          <w:szCs w:val="19"/>
          <w:color w:val="333333"/>
        </w:rPr>
        <w:t xml:space="preserve"> </w:t>
      </w:r>
      <w:r>
        <w:rPr>
          <w:rFonts w:ascii="Arial" w:cs="Arial" w:eastAsia="Arial" w:hAnsi="Arial"/>
          <w:sz w:val="19"/>
          <w:szCs w:val="19"/>
          <w:color w:val="000000"/>
        </w:rPr>
        <w:t>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95" w:lineRule="exact"/>
        <w:rPr>
          <w:rFonts w:ascii="Arial" w:cs="Arial" w:eastAsia="Arial" w:hAnsi="Arial"/>
          <w:sz w:val="19"/>
          <w:szCs w:val="19"/>
          <w:color w:val="auto"/>
        </w:rPr>
      </w:pPr>
    </w:p>
    <w:p>
      <w:pPr>
        <w:ind w:firstLine="757"/>
        <w:spacing w:after="0" w:line="282" w:lineRule="auto"/>
        <w:tabs>
          <w:tab w:leader="none" w:pos="1181"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74" w:lineRule="exact"/>
        <w:rPr>
          <w:rFonts w:ascii="Arial" w:cs="Arial" w:eastAsia="Arial" w:hAnsi="Arial"/>
          <w:sz w:val="19"/>
          <w:szCs w:val="19"/>
          <w:color w:val="auto"/>
        </w:rPr>
      </w:pPr>
    </w:p>
    <w:p>
      <w:pPr>
        <w:ind w:right="40" w:firstLine="757"/>
        <w:spacing w:after="0" w:line="279" w:lineRule="auto"/>
        <w:tabs>
          <w:tab w:leader="none" w:pos="1181"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8" w:name="page39"/>
    <w:bookmarkEnd w:id="38"/>
    <w:p>
      <w:pPr>
        <w:ind w:right="160" w:firstLine="757"/>
        <w:spacing w:after="0" w:line="236" w:lineRule="auto"/>
        <w:tabs>
          <w:tab w:leader="none" w:pos="1181"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existence of any claim or cause of action (a claim or cause of action is defined as a claim or cause of action which results from a breach of the terms and provisions of this Amended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15" w:lineRule="exact"/>
        <w:rPr>
          <w:sz w:val="20"/>
          <w:szCs w:val="20"/>
          <w:color w:val="auto"/>
        </w:rPr>
      </w:pPr>
    </w:p>
    <w:p>
      <w:pPr>
        <w:ind w:left="1180" w:hanging="423"/>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INVENTIONS AND DISCOVERIES</w:t>
      </w:r>
    </w:p>
    <w:p>
      <w:pPr>
        <w:spacing w:after="0" w:line="233" w:lineRule="exact"/>
        <w:rPr>
          <w:sz w:val="20"/>
          <w:szCs w:val="20"/>
          <w:color w:val="auto"/>
        </w:rPr>
      </w:pPr>
    </w:p>
    <w:p>
      <w:pPr>
        <w:ind w:firstLine="757"/>
        <w:spacing w:after="0" w:line="275" w:lineRule="auto"/>
        <w:tabs>
          <w:tab w:leader="none" w:pos="1181" w:val="left"/>
        </w:tabs>
        <w:numPr>
          <w:ilvl w:val="1"/>
          <w:numId w:val="36"/>
        </w:numPr>
        <w:rPr>
          <w:rFonts w:ascii="Arial" w:cs="Arial" w:eastAsia="Arial" w:hAnsi="Arial"/>
          <w:sz w:val="19"/>
          <w:szCs w:val="19"/>
          <w:color w:val="auto"/>
        </w:rPr>
      </w:pPr>
      <w:r>
        <w:rPr>
          <w:rFonts w:ascii="Arial" w:cs="Arial" w:eastAsia="Arial" w:hAnsi="Arial"/>
          <w:sz w:val="19"/>
          <w:szCs w:val="19"/>
          <w:color w:val="auto"/>
        </w:rPr>
        <w:t>Upon execution of this Amended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his as a consequence of his employment or the rendering of advisory and consulting services hereunder (collectively the "Subject Matter").</w:t>
      </w:r>
    </w:p>
    <w:p>
      <w:pPr>
        <w:spacing w:after="0" w:line="184" w:lineRule="exact"/>
        <w:rPr>
          <w:rFonts w:ascii="Arial" w:cs="Arial" w:eastAsia="Arial" w:hAnsi="Arial"/>
          <w:sz w:val="19"/>
          <w:szCs w:val="19"/>
          <w:color w:val="auto"/>
        </w:rPr>
      </w:pPr>
    </w:p>
    <w:p>
      <w:pPr>
        <w:ind w:right="160" w:firstLine="440"/>
        <w:spacing w:after="0" w:line="273" w:lineRule="auto"/>
        <w:tabs>
          <w:tab w:leader="none" w:pos="864"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Amended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Amended Agreement.</w:t>
      </w:r>
    </w:p>
    <w:p>
      <w:pPr>
        <w:spacing w:after="0" w:line="188" w:lineRule="exact"/>
        <w:rPr>
          <w:sz w:val="20"/>
          <w:szCs w:val="20"/>
          <w:color w:val="auto"/>
        </w:rPr>
      </w:pPr>
    </w:p>
    <w:p>
      <w:pPr>
        <w:ind w:left="1180" w:hanging="423"/>
        <w:spacing w:after="0"/>
        <w:tabs>
          <w:tab w:leader="none" w:pos="11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p>
    <w:p>
      <w:pPr>
        <w:spacing w:after="0" w:line="233" w:lineRule="exact"/>
        <w:rPr>
          <w:sz w:val="20"/>
          <w:szCs w:val="20"/>
          <w:color w:val="auto"/>
        </w:rPr>
      </w:pPr>
    </w:p>
    <w:p>
      <w:pPr>
        <w:ind w:firstLine="757"/>
        <w:spacing w:after="0" w:line="244" w:lineRule="auto"/>
        <w:tabs>
          <w:tab w:leader="none" w:pos="1181" w:val="left"/>
        </w:tabs>
        <w:numPr>
          <w:ilvl w:val="0"/>
          <w:numId w:val="39"/>
        </w:numPr>
        <w:rPr>
          <w:rFonts w:ascii="Arial" w:cs="Arial" w:eastAsia="Arial" w:hAnsi="Arial"/>
          <w:sz w:val="21"/>
          <w:szCs w:val="21"/>
          <w:color w:val="auto"/>
        </w:rPr>
      </w:pPr>
      <w:r>
        <w:rPr>
          <w:rFonts w:ascii="Arial" w:cs="Arial" w:eastAsia="Arial" w:hAnsi="Arial"/>
          <w:sz w:val="21"/>
          <w:szCs w:val="21"/>
          <w:color w:val="auto"/>
        </w:rPr>
        <w:t>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line="273" w:lineRule="auto"/>
        <w:rPr>
          <w:sz w:val="20"/>
          <w:szCs w:val="20"/>
          <w:color w:val="auto"/>
        </w:rPr>
      </w:pPr>
      <w:r>
        <w:rPr>
          <w:rFonts w:ascii="Arial" w:cs="Arial" w:eastAsia="Arial" w:hAnsi="Arial"/>
          <w:sz w:val="19"/>
          <w:szCs w:val="19"/>
          <w:color w:val="auto"/>
        </w:rPr>
        <w:t>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88" w:lineRule="exact"/>
        <w:rPr>
          <w:sz w:val="20"/>
          <w:szCs w:val="20"/>
          <w:color w:val="auto"/>
        </w:rPr>
      </w:pPr>
    </w:p>
    <w:p>
      <w:pPr>
        <w:ind w:right="140" w:firstLine="757"/>
        <w:spacing w:after="0" w:line="282" w:lineRule="auto"/>
        <w:tabs>
          <w:tab w:leader="none" w:pos="1181" w:val="left"/>
        </w:tabs>
        <w:numPr>
          <w:ilvl w:val="2"/>
          <w:numId w:val="40"/>
        </w:numPr>
        <w:rPr>
          <w:rFonts w:ascii="Arial" w:cs="Arial" w:eastAsia="Arial" w:hAnsi="Arial"/>
          <w:sz w:val="19"/>
          <w:szCs w:val="19"/>
          <w:color w:val="auto"/>
        </w:rPr>
      </w:pPr>
      <w:r>
        <w:rPr>
          <w:rFonts w:ascii="Arial" w:cs="Arial" w:eastAsia="Arial" w:hAnsi="Arial"/>
          <w:sz w:val="19"/>
          <w:szCs w:val="19"/>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74" w:lineRule="exact"/>
        <w:rPr>
          <w:rFonts w:ascii="Arial" w:cs="Arial" w:eastAsia="Arial" w:hAnsi="Arial"/>
          <w:sz w:val="19"/>
          <w:szCs w:val="19"/>
          <w:color w:val="auto"/>
        </w:rPr>
      </w:pPr>
    </w:p>
    <w:p>
      <w:pPr>
        <w:ind w:right="160" w:firstLine="440"/>
        <w:spacing w:after="0" w:line="273" w:lineRule="auto"/>
        <w:tabs>
          <w:tab w:leader="none" w:pos="864" w:val="left"/>
        </w:tabs>
        <w:numPr>
          <w:ilvl w:val="1"/>
          <w:numId w:val="41"/>
        </w:numPr>
        <w:rPr>
          <w:rFonts w:ascii="Arial" w:cs="Arial" w:eastAsia="Arial" w:hAnsi="Arial"/>
          <w:sz w:val="19"/>
          <w:szCs w:val="19"/>
          <w:color w:val="auto"/>
        </w:rPr>
      </w:pPr>
      <w:r>
        <w:rPr>
          <w:rFonts w:ascii="Arial" w:cs="Arial" w:eastAsia="Arial" w:hAnsi="Arial"/>
          <w:sz w:val="19"/>
          <w:szCs w:val="19"/>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w:t>
      </w:r>
    </w:p>
    <w:p>
      <w:pPr>
        <w:spacing w:after="0" w:line="1" w:lineRule="exact"/>
        <w:rPr>
          <w:rFonts w:ascii="Arial" w:cs="Arial" w:eastAsia="Arial" w:hAnsi="Arial"/>
          <w:sz w:val="19"/>
          <w:szCs w:val="19"/>
          <w:color w:val="auto"/>
        </w:rPr>
      </w:pPr>
    </w:p>
    <w:p>
      <w:pPr>
        <w:ind w:right="520" w:firstLine="8"/>
        <w:spacing w:after="0" w:line="308" w:lineRule="auto"/>
        <w:tabs>
          <w:tab w:leader="none" w:pos="318"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a complaint or other document filed under seal in a lawsuit or other proceeding. Notwithstanding this immunity from liability, Executive may be held liable if Executive unlawfully accesses trade secrets by unauthorized means.</w:t>
      </w:r>
    </w:p>
    <w:p>
      <w:pPr>
        <w:spacing w:after="0" w:line="150" w:lineRule="exact"/>
        <w:rPr>
          <w:sz w:val="20"/>
          <w:szCs w:val="20"/>
          <w:color w:val="auto"/>
        </w:rPr>
      </w:pPr>
    </w:p>
    <w:p>
      <w:pPr>
        <w:ind w:left="1180" w:hanging="423"/>
        <w:spacing w:after="0"/>
        <w:tabs>
          <w:tab w:leader="none" w:pos="11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p>
    <w:p>
      <w:pPr>
        <w:spacing w:after="0" w:line="233" w:lineRule="exact"/>
        <w:rPr>
          <w:sz w:val="20"/>
          <w:szCs w:val="20"/>
          <w:color w:val="auto"/>
        </w:rPr>
      </w:pPr>
    </w:p>
    <w:p>
      <w:pPr>
        <w:ind w:right="20" w:firstLine="749"/>
        <w:spacing w:after="0" w:line="244" w:lineRule="auto"/>
        <w:rPr>
          <w:sz w:val="20"/>
          <w:szCs w:val="20"/>
          <w:color w:val="auto"/>
        </w:rPr>
      </w:pPr>
      <w:r>
        <w:rPr>
          <w:rFonts w:ascii="Arial" w:cs="Arial" w:eastAsia="Arial" w:hAnsi="Arial"/>
          <w:sz w:val="21"/>
          <w:szCs w:val="21"/>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Amended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left="1180" w:hanging="423"/>
        <w:spacing w:after="0"/>
        <w:tabs>
          <w:tab w:leader="none" w:pos="11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AMENDMENT OR ALTERATION</w:t>
      </w:r>
    </w:p>
    <w:p>
      <w:pPr>
        <w:spacing w:after="0" w:line="234" w:lineRule="exact"/>
        <w:rPr>
          <w:sz w:val="20"/>
          <w:szCs w:val="20"/>
          <w:color w:val="auto"/>
        </w:rPr>
      </w:pPr>
    </w:p>
    <w:p>
      <w:pPr>
        <w:ind w:right="240" w:firstLine="749"/>
        <w:spacing w:after="0" w:line="250" w:lineRule="auto"/>
        <w:rPr>
          <w:sz w:val="20"/>
          <w:szCs w:val="20"/>
          <w:color w:val="auto"/>
        </w:rPr>
      </w:pPr>
      <w:r>
        <w:rPr>
          <w:rFonts w:ascii="Arial" w:cs="Arial" w:eastAsia="Arial" w:hAnsi="Arial"/>
          <w:sz w:val="22"/>
          <w:szCs w:val="22"/>
          <w:color w:val="auto"/>
        </w:rPr>
        <w:t>No amendment or alteration of the terms of this Amended Agreement shall be valid unless made in writing and signed by both of the parties hereto.</w:t>
      </w:r>
    </w:p>
    <w:p>
      <w:pPr>
        <w:spacing w:after="0" w:line="202" w:lineRule="exact"/>
        <w:rPr>
          <w:sz w:val="20"/>
          <w:szCs w:val="20"/>
          <w:color w:val="auto"/>
        </w:rPr>
      </w:pPr>
    </w:p>
    <w:p>
      <w:pPr>
        <w:ind w:left="1180" w:hanging="423"/>
        <w:spacing w:after="0"/>
        <w:tabs>
          <w:tab w:leader="none" w:pos="118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33" w:lineRule="exact"/>
        <w:rPr>
          <w:sz w:val="20"/>
          <w:szCs w:val="20"/>
          <w:color w:val="auto"/>
        </w:rPr>
      </w:pPr>
    </w:p>
    <w:p>
      <w:pPr>
        <w:ind w:right="140" w:firstLine="749"/>
        <w:spacing w:after="0" w:line="250" w:lineRule="auto"/>
        <w:rPr>
          <w:sz w:val="20"/>
          <w:szCs w:val="20"/>
          <w:color w:val="auto"/>
        </w:rPr>
      </w:pPr>
      <w:r>
        <w:rPr>
          <w:rFonts w:ascii="Arial" w:cs="Arial" w:eastAsia="Arial" w:hAnsi="Arial"/>
          <w:sz w:val="22"/>
          <w:szCs w:val="22"/>
          <w:color w:val="auto"/>
        </w:rPr>
        <w:t>This Amended Agreement shall be governed by, and construed and enforced in accordance with the substantive laws of the Commonwealth of Massachusetts, without regard to its principles of conflicts of laws.</w:t>
      </w:r>
    </w:p>
    <w:p>
      <w:pPr>
        <w:spacing w:after="0" w:line="202" w:lineRule="exact"/>
        <w:rPr>
          <w:sz w:val="20"/>
          <w:szCs w:val="20"/>
          <w:color w:val="auto"/>
        </w:rPr>
      </w:pPr>
    </w:p>
    <w:p>
      <w:pPr>
        <w:ind w:left="1180" w:hanging="423"/>
        <w:spacing w:after="0"/>
        <w:tabs>
          <w:tab w:leader="none" w:pos="118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SEVERABILITY</w:t>
      </w:r>
    </w:p>
    <w:p>
      <w:pPr>
        <w:spacing w:after="0" w:line="233" w:lineRule="exact"/>
        <w:rPr>
          <w:sz w:val="20"/>
          <w:szCs w:val="20"/>
          <w:color w:val="auto"/>
        </w:rPr>
      </w:pPr>
    </w:p>
    <w:p>
      <w:pPr>
        <w:ind w:right="680" w:firstLine="749"/>
        <w:spacing w:after="0" w:line="328" w:lineRule="auto"/>
        <w:rPr>
          <w:sz w:val="20"/>
          <w:szCs w:val="20"/>
          <w:color w:val="auto"/>
        </w:rPr>
      </w:pPr>
      <w:r>
        <w:rPr>
          <w:rFonts w:ascii="Arial" w:cs="Arial" w:eastAsia="Arial" w:hAnsi="Arial"/>
          <w:sz w:val="19"/>
          <w:szCs w:val="19"/>
          <w:color w:val="auto"/>
        </w:rPr>
        <w:t>The holding of any provision of this Amended Agreement to be invalid or unenforceable by a court of competent jurisdiction shall not affect any other provision of this Amended Agreement, which shall remain in full force and effect.</w:t>
      </w:r>
    </w:p>
    <w:p>
      <w:pPr>
        <w:spacing w:after="0" w:line="132" w:lineRule="exact"/>
        <w:rPr>
          <w:sz w:val="20"/>
          <w:szCs w:val="20"/>
          <w:color w:val="auto"/>
        </w:rPr>
      </w:pPr>
    </w:p>
    <w:p>
      <w:pPr>
        <w:ind w:left="1180" w:hanging="423"/>
        <w:spacing w:after="0"/>
        <w:tabs>
          <w:tab w:leader="none" w:pos="118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NOTICES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Any notices required or permitted to be given hereunder shall be sufficient if in</w:t>
      </w:r>
    </w:p>
    <w:p>
      <w:pPr>
        <w:spacing w:after="0" w:line="8"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14" w:lineRule="exact"/>
        <w:rPr>
          <w:sz w:val="20"/>
          <w:szCs w:val="20"/>
          <w:color w:val="auto"/>
        </w:rPr>
      </w:pPr>
    </w:p>
    <w:p>
      <w:pPr>
        <w:ind w:left="1180" w:hanging="423"/>
        <w:spacing w:after="0"/>
        <w:tabs>
          <w:tab w:leader="none" w:pos="118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WAIVER OF BREACH</w:t>
      </w:r>
    </w:p>
    <w:p>
      <w:pPr>
        <w:spacing w:after="0" w:line="233"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It is agreed that a waiver by either party of a breach of any provision of this Amended Agreement shall not operate, or be construed as a waiver of any subsequent breach by that same party.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ind w:left="1180" w:hanging="423"/>
        <w:spacing w:after="0"/>
        <w:tabs>
          <w:tab w:leader="none" w:pos="118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ENTIRE AGREEMENT AND BINDING EFFECT</w:t>
      </w:r>
    </w:p>
    <w:p>
      <w:pPr>
        <w:spacing w:after="0" w:line="234" w:lineRule="exact"/>
        <w:rPr>
          <w:sz w:val="20"/>
          <w:szCs w:val="20"/>
          <w:color w:val="auto"/>
        </w:rPr>
      </w:pPr>
    </w:p>
    <w:p>
      <w:pPr>
        <w:ind w:right="20" w:firstLine="749"/>
        <w:spacing w:after="0" w:line="273" w:lineRule="auto"/>
        <w:rPr>
          <w:sz w:val="20"/>
          <w:szCs w:val="20"/>
          <w:color w:val="auto"/>
        </w:rPr>
      </w:pPr>
      <w:r>
        <w:rPr>
          <w:rFonts w:ascii="Arial" w:cs="Arial" w:eastAsia="Arial" w:hAnsi="Arial"/>
          <w:sz w:val="19"/>
          <w:szCs w:val="19"/>
          <w:color w:val="auto"/>
        </w:rPr>
        <w:t>This Amended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Amended Agreement may not be modified except upon further written agreement executed by both parties. Executive agrees that the Company may in its sole discretion, during the term of Executive’s employment with the Company and thereafter, provide copies of this Amended Agreement (or excerpts of the Amended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Amended Agreement or otherwise render inapplicable any of the provisions of paragraphs 10 through 13 of this Amended Agreement, which shall remain in full force and effect except as may be modified by a subsequent written agreement.</w:t>
      </w:r>
    </w:p>
    <w:p>
      <w:pPr>
        <w:spacing w:after="0" w:line="188" w:lineRule="exact"/>
        <w:rPr>
          <w:sz w:val="20"/>
          <w:szCs w:val="20"/>
          <w:color w:val="auto"/>
        </w:rPr>
      </w:pPr>
    </w:p>
    <w:p>
      <w:pPr>
        <w:ind w:left="1180" w:hanging="423"/>
        <w:spacing w:after="0"/>
        <w:tabs>
          <w:tab w:leader="none" w:pos="118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SURVIVAL</w:t>
      </w:r>
    </w:p>
    <w:p>
      <w:pPr>
        <w:spacing w:after="0" w:line="233" w:lineRule="exact"/>
        <w:rPr>
          <w:sz w:val="20"/>
          <w:szCs w:val="20"/>
          <w:color w:val="auto"/>
        </w:rPr>
      </w:pPr>
    </w:p>
    <w:p>
      <w:pPr>
        <w:ind w:firstLine="749"/>
        <w:spacing w:after="0"/>
        <w:rPr>
          <w:sz w:val="20"/>
          <w:szCs w:val="20"/>
          <w:color w:val="auto"/>
        </w:rPr>
      </w:pPr>
      <w:r>
        <w:rPr>
          <w:rFonts w:ascii="Arial" w:cs="Arial" w:eastAsia="Arial" w:hAnsi="Arial"/>
          <w:sz w:val="22"/>
          <w:szCs w:val="22"/>
          <w:color w:val="auto"/>
        </w:rPr>
        <w:t>Except as otherwise expressly provided herein, the termination of Executive's employment hereunder or the expiration of this Amended Agreement shall not affect the enforceability of paragraphs 7 through 26 hereof, which shall survive the termination or expiration.</w:t>
      </w:r>
    </w:p>
    <w:p>
      <w:pPr>
        <w:spacing w:after="0" w:line="213" w:lineRule="exact"/>
        <w:rPr>
          <w:sz w:val="20"/>
          <w:szCs w:val="20"/>
          <w:color w:val="auto"/>
        </w:rPr>
      </w:pPr>
    </w:p>
    <w:p>
      <w:pPr>
        <w:ind w:left="1180" w:hanging="423"/>
        <w:spacing w:after="0"/>
        <w:tabs>
          <w:tab w:leader="none" w:pos="11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RESOLUTION OF DISPUTES</w:t>
      </w:r>
    </w:p>
    <w:p>
      <w:pPr>
        <w:spacing w:after="0" w:line="233" w:lineRule="exact"/>
        <w:rPr>
          <w:sz w:val="20"/>
          <w:szCs w:val="20"/>
          <w:color w:val="auto"/>
        </w:rPr>
      </w:pPr>
    </w:p>
    <w:p>
      <w:pPr>
        <w:ind w:right="160" w:firstLine="749"/>
        <w:spacing w:after="0" w:line="250" w:lineRule="auto"/>
        <w:rPr>
          <w:sz w:val="20"/>
          <w:szCs w:val="20"/>
          <w:color w:val="auto"/>
        </w:rPr>
      </w:pPr>
      <w:r>
        <w:rPr>
          <w:rFonts w:ascii="Arial" w:cs="Arial" w:eastAsia="Arial" w:hAnsi="Arial"/>
          <w:sz w:val="22"/>
          <w:szCs w:val="22"/>
          <w:color w:val="auto"/>
        </w:rPr>
        <w:t>Any and all disputes arising under or in connection with this Amended Agreement shall be resolved in accordance with this paragraph 21 and paragraph 15.</w:t>
      </w:r>
    </w:p>
    <w:p>
      <w:pPr>
        <w:spacing w:after="0" w:line="202" w:lineRule="exact"/>
        <w:rPr>
          <w:sz w:val="20"/>
          <w:szCs w:val="20"/>
          <w:color w:val="auto"/>
        </w:rPr>
      </w:pPr>
    </w:p>
    <w:p>
      <w:pPr>
        <w:ind w:right="280" w:firstLine="749"/>
        <w:spacing w:after="0" w:line="249" w:lineRule="auto"/>
        <w:rPr>
          <w:sz w:val="20"/>
          <w:szCs w:val="20"/>
          <w:color w:val="auto"/>
        </w:rPr>
      </w:pPr>
      <w:r>
        <w:rPr>
          <w:rFonts w:ascii="Arial" w:cs="Arial" w:eastAsia="Arial" w:hAnsi="Arial"/>
          <w:sz w:val="21"/>
          <w:szCs w:val="21"/>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5" w:lineRule="exact"/>
        <w:rPr>
          <w:sz w:val="20"/>
          <w:szCs w:val="20"/>
          <w:color w:val="auto"/>
        </w:rPr>
      </w:pPr>
    </w:p>
    <w:p>
      <w:pPr>
        <w:ind w:left="1180" w:hanging="423"/>
        <w:spacing w:after="0"/>
        <w:tabs>
          <w:tab w:leader="none" w:pos="11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NON-DISPARAGEMENT</w:t>
      </w:r>
    </w:p>
    <w:p>
      <w:pPr>
        <w:spacing w:after="0" w:line="233" w:lineRule="exact"/>
        <w:rPr>
          <w:sz w:val="20"/>
          <w:szCs w:val="20"/>
          <w:color w:val="auto"/>
        </w:rPr>
      </w:pPr>
    </w:p>
    <w:p>
      <w:pPr>
        <w:ind w:right="60" w:firstLine="749"/>
        <w:spacing w:after="0" w:line="238" w:lineRule="auto"/>
        <w:rPr>
          <w:sz w:val="20"/>
          <w:szCs w:val="20"/>
          <w:color w:val="auto"/>
        </w:rPr>
      </w:pPr>
      <w:r>
        <w:rPr>
          <w:rFonts w:ascii="Arial" w:cs="Arial" w:eastAsia="Arial" w:hAnsi="Arial"/>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left="1180" w:hanging="423"/>
        <w:spacing w:after="0"/>
        <w:tabs>
          <w:tab w:leader="none" w:pos="118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p>
    <w:p>
      <w:pPr>
        <w:spacing w:after="0" w:line="234" w:lineRule="exact"/>
        <w:rPr>
          <w:sz w:val="20"/>
          <w:szCs w:val="20"/>
          <w:color w:val="auto"/>
        </w:rPr>
      </w:pPr>
    </w:p>
    <w:p>
      <w:pPr>
        <w:ind w:right="40" w:firstLine="749"/>
        <w:spacing w:after="0" w:line="328" w:lineRule="auto"/>
        <w:rPr>
          <w:sz w:val="20"/>
          <w:szCs w:val="20"/>
          <w:color w:val="auto"/>
        </w:rPr>
      </w:pPr>
      <w:r>
        <w:rPr>
          <w:rFonts w:ascii="Arial" w:cs="Arial" w:eastAsia="Arial" w:hAnsi="Arial"/>
          <w:sz w:val="19"/>
          <w:szCs w:val="19"/>
          <w:color w:val="auto"/>
        </w:rPr>
        <w:t>The parties agree to execute and deliver all such further documents, agreements and instruments and take such other and further action as may be necessary or appropriate to carry out the purposes and intent of this Amended Agreement.</w:t>
      </w:r>
    </w:p>
    <w:p>
      <w:pPr>
        <w:spacing w:after="0" w:line="132" w:lineRule="exact"/>
        <w:rPr>
          <w:sz w:val="20"/>
          <w:szCs w:val="20"/>
          <w:color w:val="auto"/>
        </w:rPr>
      </w:pPr>
    </w:p>
    <w:p>
      <w:pPr>
        <w:ind w:right="6780" w:firstLine="757"/>
        <w:spacing w:after="0" w:line="483" w:lineRule="auto"/>
        <w:tabs>
          <w:tab w:leader="none" w:pos="1181"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 xml:space="preserve">SUBSIDIARIES AND AFFILIATES </w:t>
      </w:r>
      <w:r>
        <w:rPr>
          <w:rFonts w:ascii="Arial" w:cs="Arial" w:eastAsia="Arial" w:hAnsi="Arial"/>
          <w:sz w:val="21"/>
          <w:szCs w:val="21"/>
          <w:color w:val="auto"/>
        </w:rPr>
        <w:t>For purposes of this Amended Agreement:</w:t>
      </w:r>
    </w:p>
    <w:p>
      <w:pPr>
        <w:ind w:right="100" w:firstLine="872"/>
        <w:spacing w:after="0"/>
        <w:tabs>
          <w:tab w:leader="none" w:pos="1212" w:val="left"/>
        </w:tabs>
        <w:numPr>
          <w:ilvl w:val="1"/>
          <w:numId w:val="54"/>
        </w:numPr>
        <w:rPr>
          <w:rFonts w:ascii="Arial" w:cs="Arial" w:eastAsia="Arial" w:hAnsi="Arial"/>
          <w:sz w:val="22"/>
          <w:szCs w:val="22"/>
          <w:color w:val="auto"/>
        </w:rPr>
      </w:pPr>
      <w:r>
        <w:rPr>
          <w:rFonts w:ascii="Arial" w:cs="Arial" w:eastAsia="Arial" w:hAnsi="Arial"/>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213" w:lineRule="exact"/>
        <w:rPr>
          <w:rFonts w:ascii="Arial" w:cs="Arial" w:eastAsia="Arial" w:hAnsi="Arial"/>
          <w:sz w:val="22"/>
          <w:szCs w:val="22"/>
          <w:color w:val="auto"/>
        </w:rPr>
      </w:pPr>
    </w:p>
    <w:p>
      <w:pPr>
        <w:ind w:firstLine="1181"/>
        <w:spacing w:after="0" w:line="236" w:lineRule="auto"/>
        <w:rPr>
          <w:rFonts w:ascii="Arial" w:cs="Arial" w:eastAsia="Arial" w:hAnsi="Arial"/>
          <w:sz w:val="22"/>
          <w:szCs w:val="22"/>
          <w:color w:val="auto"/>
        </w:rPr>
      </w:pPr>
      <w:r>
        <w:rPr>
          <w:rFonts w:ascii="Arial" w:cs="Arial" w:eastAsia="Arial" w:hAnsi="Arial"/>
          <w:sz w:val="22"/>
          <w:szCs w:val="22"/>
          <w:color w:val="auto"/>
        </w:rPr>
        <w:t>(b) “subsidiary”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14" w:lineRule="exact"/>
        <w:rPr>
          <w:rFonts w:ascii="Arial" w:cs="Arial" w:eastAsia="Arial" w:hAnsi="Arial"/>
          <w:sz w:val="22"/>
          <w:szCs w:val="22"/>
          <w:color w:val="auto"/>
        </w:rPr>
      </w:pPr>
    </w:p>
    <w:p>
      <w:pPr>
        <w:ind w:left="1180" w:hanging="423"/>
        <w:spacing w:after="0"/>
        <w:tabs>
          <w:tab w:leader="none" w:pos="118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HEADINGS</w:t>
      </w:r>
    </w:p>
    <w:p>
      <w:pPr>
        <w:spacing w:after="0" w:line="233" w:lineRule="exact"/>
        <w:rPr>
          <w:sz w:val="20"/>
          <w:szCs w:val="20"/>
          <w:color w:val="auto"/>
        </w:rPr>
      </w:pPr>
    </w:p>
    <w:p>
      <w:pPr>
        <w:ind w:right="260" w:firstLine="749"/>
        <w:spacing w:after="0" w:line="274" w:lineRule="auto"/>
        <w:rPr>
          <w:sz w:val="20"/>
          <w:szCs w:val="20"/>
          <w:color w:val="auto"/>
        </w:rPr>
      </w:pPr>
      <w:r>
        <w:rPr>
          <w:rFonts w:ascii="Arial" w:cs="Arial" w:eastAsia="Arial" w:hAnsi="Arial"/>
          <w:sz w:val="21"/>
          <w:szCs w:val="21"/>
          <w:color w:val="auto"/>
        </w:rPr>
        <w:t>The paragraph headings appearing in this Amended Agreement are for the purposes of easy reference and shall not be considered a part of this Amended Agreement or in any way modify, amend or affect its provisions.</w:t>
      </w:r>
    </w:p>
    <w:p>
      <w:pPr>
        <w:spacing w:after="0" w:line="178" w:lineRule="exact"/>
        <w:rPr>
          <w:sz w:val="20"/>
          <w:szCs w:val="20"/>
          <w:color w:val="auto"/>
        </w:rPr>
      </w:pPr>
    </w:p>
    <w:p>
      <w:pPr>
        <w:ind w:left="1180" w:hanging="423"/>
        <w:spacing w:after="0"/>
        <w:tabs>
          <w:tab w:leader="none" w:pos="118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COUNTERPARTS</w:t>
      </w:r>
    </w:p>
    <w:p>
      <w:pPr>
        <w:spacing w:after="0" w:line="233" w:lineRule="exact"/>
        <w:rPr>
          <w:sz w:val="20"/>
          <w:szCs w:val="20"/>
          <w:color w:val="auto"/>
        </w:rPr>
      </w:pPr>
    </w:p>
    <w:p>
      <w:pPr>
        <w:ind w:right="80" w:firstLine="749"/>
        <w:spacing w:after="0" w:line="250" w:lineRule="auto"/>
        <w:rPr>
          <w:sz w:val="20"/>
          <w:szCs w:val="20"/>
          <w:color w:val="auto"/>
        </w:rPr>
      </w:pPr>
      <w:r>
        <w:rPr>
          <w:rFonts w:ascii="Arial" w:cs="Arial" w:eastAsia="Arial" w:hAnsi="Arial"/>
          <w:sz w:val="22"/>
          <w:szCs w:val="22"/>
          <w:color w:val="auto"/>
        </w:rPr>
        <w:t>This Amended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Amended Agreement, under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75"/>
        </w:trPr>
        <w:tc>
          <w:tcPr>
            <w:tcW w:w="7060" w:type="dxa"/>
            <w:vAlign w:val="bottom"/>
            <w:gridSpan w:val="5"/>
          </w:tcPr>
          <w:p>
            <w:pPr>
              <w:spacing w:after="0"/>
              <w:rPr>
                <w:sz w:val="20"/>
                <w:szCs w:val="20"/>
                <w:color w:val="auto"/>
              </w:rPr>
            </w:pPr>
            <w:r>
              <w:rPr>
                <w:rFonts w:ascii="Arial" w:cs="Arial" w:eastAsia="Arial" w:hAnsi="Arial"/>
                <w:sz w:val="22"/>
                <w:szCs w:val="22"/>
                <w:color w:val="auto"/>
              </w:rPr>
              <w:t>seal, as of the date and year first above written.</w:t>
            </w:r>
          </w:p>
        </w:tc>
        <w:tc>
          <w:tcPr>
            <w:tcW w:w="4160" w:type="dxa"/>
            <w:vAlign w:val="bottom"/>
          </w:tcPr>
          <w:p>
            <w:pPr>
              <w:spacing w:after="0"/>
              <w:rPr>
                <w:sz w:val="23"/>
                <w:szCs w:val="23"/>
                <w:color w:val="auto"/>
              </w:rPr>
            </w:pPr>
          </w:p>
        </w:tc>
      </w:tr>
      <w:tr>
        <w:trPr>
          <w:trHeight w:val="972"/>
        </w:trPr>
        <w:tc>
          <w:tcPr>
            <w:tcW w:w="7060" w:type="dxa"/>
            <w:vAlign w:val="bottom"/>
            <w:gridSpan w:val="5"/>
          </w:tcPr>
          <w:p>
            <w:pPr>
              <w:spacing w:after="0"/>
              <w:rPr>
                <w:sz w:val="20"/>
                <w:szCs w:val="20"/>
                <w:color w:val="auto"/>
              </w:rPr>
            </w:pPr>
            <w:r>
              <w:rPr>
                <w:rFonts w:ascii="Arial" w:cs="Arial" w:eastAsia="Arial" w:hAnsi="Arial"/>
                <w:sz w:val="22"/>
                <w:szCs w:val="22"/>
                <w:color w:val="auto"/>
              </w:rPr>
              <w:t>CMRG APPAREL, LLC</w:t>
            </w:r>
          </w:p>
        </w:tc>
        <w:tc>
          <w:tcPr>
            <w:tcW w:w="4160" w:type="dxa"/>
            <w:vAlign w:val="bottom"/>
          </w:tcPr>
          <w:p>
            <w:pPr>
              <w:spacing w:after="0"/>
              <w:rPr>
                <w:sz w:val="24"/>
                <w:szCs w:val="24"/>
                <w:color w:val="auto"/>
              </w:rPr>
            </w:pPr>
          </w:p>
        </w:tc>
      </w:tr>
      <w:tr>
        <w:trPr>
          <w:trHeight w:val="435"/>
        </w:trPr>
        <w:tc>
          <w:tcPr>
            <w:tcW w:w="20" w:type="dxa"/>
            <w:vAlign w:val="bottom"/>
          </w:tcPr>
          <w:p>
            <w:pPr>
              <w:spacing w:after="0"/>
              <w:rPr>
                <w:sz w:val="24"/>
                <w:szCs w:val="24"/>
                <w:color w:val="auto"/>
              </w:rPr>
            </w:pPr>
          </w:p>
        </w:tc>
        <w:tc>
          <w:tcPr>
            <w:tcW w:w="7040" w:type="dxa"/>
            <w:vAlign w:val="bottom"/>
            <w:gridSpan w:val="4"/>
          </w:tcPr>
          <w:p>
            <w:pPr>
              <w:spacing w:after="0"/>
              <w:rPr>
                <w:sz w:val="20"/>
                <w:szCs w:val="20"/>
                <w:color w:val="auto"/>
              </w:rPr>
            </w:pPr>
            <w:r>
              <w:rPr>
                <w:rFonts w:ascii="Arial" w:cs="Arial" w:eastAsia="Arial" w:hAnsi="Arial"/>
                <w:sz w:val="22"/>
                <w:szCs w:val="22"/>
                <w:color w:val="auto"/>
              </w:rPr>
              <w:t>By: /s/ Harvey S. Kanter</w:t>
            </w:r>
          </w:p>
        </w:tc>
        <w:tc>
          <w:tcPr>
            <w:tcW w:w="4160" w:type="dxa"/>
            <w:vAlign w:val="bottom"/>
          </w:tcPr>
          <w:p>
            <w:pPr>
              <w:ind w:left="2960"/>
              <w:spacing w:after="0"/>
              <w:rPr>
                <w:sz w:val="20"/>
                <w:szCs w:val="20"/>
                <w:color w:val="auto"/>
              </w:rPr>
            </w:pPr>
            <w:r>
              <w:rPr>
                <w:rFonts w:ascii="Arial" w:cs="Arial" w:eastAsia="Arial" w:hAnsi="Arial"/>
                <w:sz w:val="22"/>
                <w:szCs w:val="22"/>
                <w:color w:val="auto"/>
                <w:w w:val="88"/>
              </w:rPr>
              <w:t>May 10, 2023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7040" w:type="dxa"/>
            <w:vAlign w:val="bottom"/>
            <w:gridSpan w:val="4"/>
          </w:tcPr>
          <w:p>
            <w:pPr>
              <w:spacing w:after="0"/>
              <w:rPr>
                <w:sz w:val="20"/>
                <w:szCs w:val="20"/>
                <w:color w:val="auto"/>
              </w:rPr>
            </w:pPr>
            <w:r>
              <w:rPr>
                <w:rFonts w:ascii="Arial" w:cs="Arial" w:eastAsia="Arial" w:hAnsi="Arial"/>
                <w:sz w:val="22"/>
                <w:szCs w:val="22"/>
                <w:color w:val="auto"/>
              </w:rPr>
              <w:t>Name:   Harvey S. Kanter</w:t>
            </w:r>
          </w:p>
        </w:tc>
        <w:tc>
          <w:tcPr>
            <w:tcW w:w="4160" w:type="dxa"/>
            <w:vAlign w:val="bottom"/>
          </w:tcPr>
          <w:p>
            <w:pPr>
              <w:spacing w:after="0"/>
              <w:rPr>
                <w:sz w:val="23"/>
                <w:szCs w:val="23"/>
                <w:color w:val="auto"/>
              </w:rPr>
            </w:pPr>
          </w:p>
        </w:tc>
      </w:tr>
      <w:tr>
        <w:trPr>
          <w:trHeight w:val="274"/>
        </w:trPr>
        <w:tc>
          <w:tcPr>
            <w:tcW w:w="20" w:type="dxa"/>
            <w:vAlign w:val="bottom"/>
          </w:tcPr>
          <w:p>
            <w:pPr>
              <w:spacing w:after="0"/>
              <w:rPr>
                <w:sz w:val="23"/>
                <w:szCs w:val="23"/>
                <w:color w:val="auto"/>
              </w:rPr>
            </w:pPr>
          </w:p>
        </w:tc>
        <w:tc>
          <w:tcPr>
            <w:tcW w:w="7040" w:type="dxa"/>
            <w:vAlign w:val="bottom"/>
            <w:gridSpan w:val="4"/>
          </w:tcPr>
          <w:p>
            <w:pPr>
              <w:spacing w:after="0"/>
              <w:rPr>
                <w:sz w:val="20"/>
                <w:szCs w:val="20"/>
                <w:color w:val="auto"/>
              </w:rPr>
            </w:pPr>
            <w:r>
              <w:rPr>
                <w:rFonts w:ascii="Arial" w:cs="Arial" w:eastAsia="Arial" w:hAnsi="Arial"/>
                <w:sz w:val="22"/>
                <w:szCs w:val="22"/>
                <w:color w:val="auto"/>
              </w:rPr>
              <w:t>Its:  President, Chief Executive Officer</w:t>
            </w:r>
          </w:p>
        </w:tc>
        <w:tc>
          <w:tcPr>
            <w:tcW w:w="4160" w:type="dxa"/>
            <w:vAlign w:val="bottom"/>
          </w:tcPr>
          <w:p>
            <w:pPr>
              <w:spacing w:after="0"/>
              <w:rPr>
                <w:sz w:val="23"/>
                <w:szCs w:val="23"/>
                <w:color w:val="auto"/>
              </w:rPr>
            </w:pPr>
          </w:p>
        </w:tc>
      </w:tr>
      <w:tr>
        <w:trPr>
          <w:trHeight w:val="436"/>
        </w:trPr>
        <w:tc>
          <w:tcPr>
            <w:tcW w:w="20" w:type="dxa"/>
            <w:vAlign w:val="bottom"/>
          </w:tcPr>
          <w:p>
            <w:pPr>
              <w:spacing w:after="0"/>
              <w:rPr>
                <w:sz w:val="24"/>
                <w:szCs w:val="24"/>
                <w:color w:val="auto"/>
              </w:rPr>
            </w:pPr>
          </w:p>
        </w:tc>
        <w:tc>
          <w:tcPr>
            <w:tcW w:w="7040" w:type="dxa"/>
            <w:vAlign w:val="bottom"/>
            <w:gridSpan w:val="4"/>
          </w:tcPr>
          <w:p>
            <w:pPr>
              <w:spacing w:after="0"/>
              <w:rPr>
                <w:sz w:val="20"/>
                <w:szCs w:val="20"/>
                <w:color w:val="auto"/>
              </w:rPr>
            </w:pPr>
            <w:r>
              <w:rPr>
                <w:rFonts w:ascii="Arial" w:cs="Arial" w:eastAsia="Arial" w:hAnsi="Arial"/>
                <w:sz w:val="22"/>
                <w:szCs w:val="22"/>
                <w:color w:val="auto"/>
              </w:rPr>
              <w:t>/s/ James Reath</w:t>
            </w:r>
          </w:p>
        </w:tc>
        <w:tc>
          <w:tcPr>
            <w:tcW w:w="4160" w:type="dxa"/>
            <w:vAlign w:val="bottom"/>
          </w:tcPr>
          <w:p>
            <w:pPr>
              <w:ind w:left="2960"/>
              <w:spacing w:after="0"/>
              <w:rPr>
                <w:sz w:val="20"/>
                <w:szCs w:val="20"/>
                <w:color w:val="auto"/>
              </w:rPr>
            </w:pPr>
            <w:r>
              <w:rPr>
                <w:rFonts w:ascii="Arial" w:cs="Arial" w:eastAsia="Arial" w:hAnsi="Arial"/>
                <w:sz w:val="22"/>
                <w:szCs w:val="22"/>
                <w:color w:val="auto"/>
                <w:w w:val="88"/>
              </w:rPr>
              <w:t>May 10, 2023</w:t>
            </w:r>
          </w:p>
        </w:tc>
      </w:tr>
      <w:tr>
        <w:trPr>
          <w:trHeight w:val="250"/>
        </w:trPr>
        <w:tc>
          <w:tcPr>
            <w:tcW w:w="20" w:type="dxa"/>
            <w:vAlign w:val="bottom"/>
          </w:tcPr>
          <w:p>
            <w:pPr>
              <w:spacing w:after="0"/>
              <w:rPr>
                <w:sz w:val="21"/>
                <w:szCs w:val="21"/>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Reath</w:t>
            </w:r>
          </w:p>
        </w:tc>
        <w:tc>
          <w:tcPr>
            <w:tcW w:w="5700" w:type="dxa"/>
            <w:vAlign w:val="bottom"/>
            <w:gridSpan w:val="2"/>
          </w:tcPr>
          <w:p>
            <w:pPr>
              <w:spacing w:after="0"/>
              <w:rPr>
                <w:sz w:val="21"/>
                <w:szCs w:val="21"/>
                <w:color w:val="auto"/>
              </w:rPr>
            </w:pPr>
          </w:p>
        </w:tc>
        <w:tc>
          <w:tcPr>
            <w:tcW w:w="41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RELEASE OF CLAIMS</w:t>
      </w:r>
    </w:p>
    <w:p>
      <w:pPr>
        <w:spacing w:after="0" w:line="215" w:lineRule="exact"/>
        <w:rPr>
          <w:sz w:val="20"/>
          <w:szCs w:val="20"/>
          <w:color w:val="auto"/>
        </w:rPr>
      </w:pPr>
    </w:p>
    <w:p>
      <w:pPr>
        <w:ind w:left="4360"/>
        <w:spacing w:after="0"/>
        <w:rPr>
          <w:sz w:val="20"/>
          <w:szCs w:val="20"/>
          <w:color w:val="auto"/>
        </w:rPr>
      </w:pPr>
      <w:r>
        <w:rPr>
          <w:rFonts w:ascii="Arial" w:cs="Arial" w:eastAsia="Arial" w:hAnsi="Arial"/>
          <w:sz w:val="22"/>
          <w:szCs w:val="22"/>
          <w:b w:val="1"/>
          <w:bCs w:val="1"/>
          <w:i w:val="1"/>
          <w:iCs w:val="1"/>
          <w:color w:val="auto"/>
        </w:rPr>
        <w:t>GENERAL RELEASE OF CLAIMS</w:t>
      </w:r>
    </w:p>
    <w:p>
      <w:pPr>
        <w:spacing w:after="0" w:line="200" w:lineRule="exact"/>
        <w:rPr>
          <w:sz w:val="20"/>
          <w:szCs w:val="20"/>
          <w:color w:val="auto"/>
        </w:rPr>
      </w:pPr>
    </w:p>
    <w:p>
      <w:pPr>
        <w:spacing w:after="0" w:line="222" w:lineRule="exact"/>
        <w:rPr>
          <w:sz w:val="20"/>
          <w:szCs w:val="20"/>
          <w:color w:val="auto"/>
        </w:rPr>
      </w:pPr>
    </w:p>
    <w:p>
      <w:pPr>
        <w:ind w:firstLine="757"/>
        <w:spacing w:after="0" w:line="269" w:lineRule="auto"/>
        <w:tabs>
          <w:tab w:leader="none" w:pos="1018" w:val="left"/>
        </w:tabs>
        <w:numPr>
          <w:ilvl w:val="0"/>
          <w:numId w:val="56"/>
        </w:numPr>
        <w:rPr>
          <w:rFonts w:ascii="Arial" w:cs="Arial" w:eastAsia="Arial" w:hAnsi="Arial"/>
          <w:sz w:val="19"/>
          <w:szCs w:val="19"/>
          <w:color w:val="auto"/>
        </w:rPr>
      </w:pPr>
      <w:r>
        <w:rPr>
          <w:rFonts w:ascii="Arial" w:cs="Arial" w:eastAsia="Arial" w:hAnsi="Arial"/>
          <w:sz w:val="19"/>
          <w:szCs w:val="19"/>
          <w:color w:val="auto"/>
        </w:rPr>
        <w:t>James Reath, (“</w:t>
      </w:r>
      <w:r>
        <w:rPr>
          <w:rFonts w:ascii="Arial" w:cs="Arial" w:eastAsia="Arial" w:hAnsi="Arial"/>
          <w:sz w:val="19"/>
          <w:szCs w:val="19"/>
          <w:u w:val="single" w:color="auto"/>
          <w:color w:val="auto"/>
        </w:rPr>
        <w:t>Executive</w:t>
      </w:r>
      <w:r>
        <w:rPr>
          <w:rFonts w:ascii="Arial" w:cs="Arial" w:eastAsia="Arial" w:hAnsi="Arial"/>
          <w:sz w:val="19"/>
          <w:szCs w:val="19"/>
          <w:color w:val="auto"/>
        </w:rPr>
        <w:t>”), for himself and his family, heirs, executors, administrators, legal representatives and their respective successors and assigns, in exchange for good and valuable consideration to be paid after the date of Executive’s termination as set forth in the Employment Agreement, to which a form of this release is attached as Exhibit A (the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does hereby release and forever discharge, to the maximum extent permitted by law, CMRG Apparel, LLC (the “Company”), its parent,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Arial" w:cs="Arial" w:eastAsia="Arial" w:hAnsi="Arial"/>
          <w:sz w:val="19"/>
          <w:szCs w:val="19"/>
          <w:u w:val="single" w:color="auto"/>
          <w:color w:val="auto"/>
        </w:rPr>
        <w:t>et seq</w:t>
      </w:r>
      <w:r>
        <w:rPr>
          <w:rFonts w:ascii="Arial" w:cs="Arial" w:eastAsia="Arial" w:hAnsi="Arial"/>
          <w:sz w:val="19"/>
          <w:szCs w:val="19"/>
          <w:color w:val="auto"/>
        </w:rPr>
        <w:t>.;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200" w:lineRule="exact"/>
        <w:rPr>
          <w:sz w:val="20"/>
          <w:szCs w:val="20"/>
          <w:color w:val="auto"/>
        </w:rPr>
      </w:pPr>
    </w:p>
    <w:p>
      <w:pPr>
        <w:spacing w:after="0" w:line="217"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Executive acknowledges that Executive is specifically advised to consult with an attorney of Executive’s choosing before signing this General Release of Claims, and through this General Release of Claims advises Executive to consult with his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5" w:name="page46"/>
    <w:bookmarkEnd w:id="45"/>
    <w:p>
      <w:pPr>
        <w:spacing w:after="0" w:line="244" w:lineRule="auto"/>
        <w:rPr>
          <w:sz w:val="20"/>
          <w:szCs w:val="20"/>
          <w:color w:val="auto"/>
        </w:rPr>
      </w:pPr>
      <w:r>
        <w:rPr>
          <w:rFonts w:ascii="Arial" w:cs="Arial" w:eastAsia="Arial" w:hAnsi="Arial"/>
          <w:sz w:val="21"/>
          <w:szCs w:val="21"/>
          <w:color w:val="auto"/>
        </w:rPr>
        <w:t>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spacing w:after="0" w:line="189" w:lineRule="exact"/>
        <w:rPr>
          <w:sz w:val="20"/>
          <w:szCs w:val="20"/>
          <w:color w:val="auto"/>
        </w:rPr>
      </w:pPr>
    </w:p>
    <w:p>
      <w:pPr>
        <w:jc w:val="both"/>
        <w:ind w:firstLine="757"/>
        <w:spacing w:after="0" w:line="279" w:lineRule="auto"/>
        <w:tabs>
          <w:tab w:leader="none" w:pos="1018"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Executive shall not have relinquished his right to commence a Proceeding to challenge whether Executive knowingly and voluntarily waived his rights under ADEA.</w:t>
      </w:r>
    </w:p>
    <w:p>
      <w:pPr>
        <w:spacing w:after="0" w:line="144" w:lineRule="exact"/>
        <w:rPr>
          <w:rFonts w:ascii="Arial" w:cs="Arial" w:eastAsia="Arial" w:hAnsi="Arial"/>
          <w:sz w:val="19"/>
          <w:szCs w:val="19"/>
          <w:color w:val="auto"/>
        </w:rPr>
      </w:pPr>
    </w:p>
    <w:p>
      <w:pPr>
        <w:ind w:left="1180" w:hanging="423"/>
        <w:spacing w:after="0"/>
        <w:tabs>
          <w:tab w:leader="none" w:pos="1180"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color w:val="auto"/>
        </w:rPr>
        <w:t>.</w:t>
      </w:r>
    </w:p>
    <w:p>
      <w:pPr>
        <w:spacing w:after="0" w:line="239" w:lineRule="exact"/>
        <w:rPr>
          <w:sz w:val="20"/>
          <w:szCs w:val="20"/>
          <w:color w:val="auto"/>
        </w:rPr>
      </w:pPr>
    </w:p>
    <w:p>
      <w:pPr>
        <w:jc w:val="both"/>
        <w:ind w:firstLine="757"/>
        <w:spacing w:after="0" w:line="270" w:lineRule="auto"/>
        <w:tabs>
          <w:tab w:leader="none" w:pos="1181"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In consideration for the consideration set forth in the Employment Agreement and the payment of severance benefits set forth in Section 7 of the Employment Agreement,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Arial" w:cs="Arial" w:eastAsia="Arial" w:hAnsi="Arial"/>
          <w:sz w:val="19"/>
          <w:szCs w:val="19"/>
          <w:color w:val="333333"/>
        </w:rPr>
        <w:t>in which the Executive provided services or had a material presence or influence on behalf of</w:t>
      </w:r>
      <w:r>
        <w:rPr>
          <w:rFonts w:ascii="Arial" w:cs="Arial" w:eastAsia="Arial" w:hAnsi="Arial"/>
          <w:sz w:val="19"/>
          <w:szCs w:val="19"/>
          <w:color w:val="auto"/>
        </w:rPr>
        <w:t xml:space="preserve"> </w:t>
      </w:r>
      <w:r>
        <w:rPr>
          <w:rFonts w:ascii="Arial" w:cs="Arial" w:eastAsia="Arial" w:hAnsi="Arial"/>
          <w:sz w:val="19"/>
          <w:szCs w:val="19"/>
          <w:color w:val="333333"/>
        </w:rPr>
        <w:t>the Company, whether in the United States, Canada, Europe or elsewhere during the two years prior to Executive’s separation from the Company</w:t>
      </w:r>
      <w:r>
        <w:rPr>
          <w:rFonts w:ascii="Arial" w:cs="Arial" w:eastAsia="Arial" w:hAnsi="Arial"/>
          <w:sz w:val="19"/>
          <w:szCs w:val="19"/>
          <w:color w:val="000000"/>
        </w:rPr>
        <w:t>; provided, however, that Executive may own any securities of any corporation which is engaged in such</w:t>
      </w:r>
      <w:r>
        <w:rPr>
          <w:rFonts w:ascii="Arial" w:cs="Arial" w:eastAsia="Arial" w:hAnsi="Arial"/>
          <w:sz w:val="19"/>
          <w:szCs w:val="19"/>
          <w:color w:val="333333"/>
        </w:rPr>
        <w:t xml:space="preserve"> </w:t>
      </w:r>
      <w:r>
        <w:rPr>
          <w:rFonts w:ascii="Arial" w:cs="Arial" w:eastAsia="Arial" w:hAnsi="Arial"/>
          <w:sz w:val="19"/>
          <w:szCs w:val="19"/>
          <w:color w:val="000000"/>
        </w:rPr>
        <w:t>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both"/>
        <w:ind w:firstLine="851"/>
        <w:spacing w:after="0" w:line="282" w:lineRule="auto"/>
        <w:tabs>
          <w:tab w:leader="none" w:pos="1275" w:val="left"/>
        </w:tabs>
        <w:numPr>
          <w:ilvl w:val="1"/>
          <w:numId w:val="59"/>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74" w:lineRule="exact"/>
        <w:rPr>
          <w:rFonts w:ascii="Arial" w:cs="Arial" w:eastAsia="Arial" w:hAnsi="Arial"/>
          <w:sz w:val="19"/>
          <w:szCs w:val="19"/>
          <w:color w:val="auto"/>
        </w:rPr>
      </w:pPr>
    </w:p>
    <w:p>
      <w:pPr>
        <w:jc w:val="both"/>
        <w:ind w:firstLine="757"/>
        <w:spacing w:after="0" w:line="279" w:lineRule="auto"/>
        <w:tabs>
          <w:tab w:leader="none" w:pos="1181" w:val="left"/>
        </w:tabs>
        <w:numPr>
          <w:ilvl w:val="0"/>
          <w:numId w:val="60"/>
        </w:numPr>
        <w:rPr>
          <w:rFonts w:ascii="Arial" w:cs="Arial" w:eastAsia="Arial" w:hAnsi="Arial"/>
          <w:sz w:val="19"/>
          <w:szCs w:val="19"/>
          <w:color w:val="auto"/>
        </w:rPr>
      </w:pPr>
      <w:r>
        <w:rPr>
          <w:rFonts w:ascii="Arial" w:cs="Arial" w:eastAsia="Arial" w:hAnsi="Arial"/>
          <w:sz w:val="19"/>
          <w:szCs w:val="19"/>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77" w:lineRule="exact"/>
        <w:rPr>
          <w:rFonts w:ascii="Arial" w:cs="Arial" w:eastAsia="Arial" w:hAnsi="Arial"/>
          <w:sz w:val="19"/>
          <w:szCs w:val="19"/>
          <w:color w:val="auto"/>
        </w:rPr>
      </w:pPr>
    </w:p>
    <w:p>
      <w:pPr>
        <w:jc w:val="both"/>
        <w:ind w:firstLine="757"/>
        <w:spacing w:after="0" w:line="236" w:lineRule="auto"/>
        <w:tabs>
          <w:tab w:leader="none" w:pos="1181"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8" w:lineRule="exact"/>
        <w:rPr>
          <w:sz w:val="20"/>
          <w:szCs w:val="20"/>
          <w:color w:val="auto"/>
        </w:rPr>
      </w:pPr>
    </w:p>
    <w:p>
      <w:pPr>
        <w:ind w:left="1180" w:hanging="423"/>
        <w:spacing w:after="0"/>
        <w:tabs>
          <w:tab w:leader="none" w:pos="1180"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Inventions and Discoveries.</w:t>
      </w:r>
    </w:p>
    <w:p>
      <w:pPr>
        <w:spacing w:after="0" w:line="239" w:lineRule="exact"/>
        <w:rPr>
          <w:sz w:val="20"/>
          <w:szCs w:val="20"/>
          <w:color w:val="auto"/>
        </w:rPr>
      </w:pPr>
    </w:p>
    <w:p>
      <w:pPr>
        <w:jc w:val="both"/>
        <w:ind w:firstLine="757"/>
        <w:spacing w:after="0" w:line="275" w:lineRule="auto"/>
        <w:tabs>
          <w:tab w:leader="none" w:pos="1181" w:val="left"/>
        </w:tabs>
        <w:numPr>
          <w:ilvl w:val="1"/>
          <w:numId w:val="62"/>
        </w:numPr>
        <w:rPr>
          <w:rFonts w:ascii="Arial" w:cs="Arial" w:eastAsia="Arial" w:hAnsi="Arial"/>
          <w:sz w:val="19"/>
          <w:szCs w:val="19"/>
          <w:color w:val="auto"/>
        </w:rPr>
      </w:pPr>
      <w:r>
        <w:rPr>
          <w:rFonts w:ascii="Arial" w:cs="Arial" w:eastAsia="Arial" w:hAnsi="Arial"/>
          <w:sz w:val="19"/>
          <w:szCs w:val="19"/>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84" w:lineRule="exact"/>
        <w:rPr>
          <w:rFonts w:ascii="Arial" w:cs="Arial" w:eastAsia="Arial" w:hAnsi="Arial"/>
          <w:sz w:val="19"/>
          <w:szCs w:val="19"/>
          <w:color w:val="auto"/>
        </w:rPr>
      </w:pPr>
    </w:p>
    <w:p>
      <w:pPr>
        <w:jc w:val="both"/>
        <w:ind w:firstLine="440"/>
        <w:spacing w:after="0" w:line="244" w:lineRule="auto"/>
        <w:tabs>
          <w:tab w:leader="none" w:pos="864" w:val="left"/>
        </w:tabs>
        <w:numPr>
          <w:ilvl w:val="0"/>
          <w:numId w:val="63"/>
        </w:numPr>
        <w:rPr>
          <w:rFonts w:ascii="Arial" w:cs="Arial" w:eastAsia="Arial" w:hAnsi="Arial"/>
          <w:sz w:val="21"/>
          <w:szCs w:val="21"/>
          <w:color w:val="auto"/>
        </w:rPr>
      </w:pPr>
      <w:r>
        <w:rPr>
          <w:rFonts w:ascii="Arial" w:cs="Arial" w:eastAsia="Arial" w:hAnsi="Arial"/>
          <w:sz w:val="21"/>
          <w:szCs w:val="21"/>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 provided, however, that Executive shall be compensated in a timely manner at the rate of $250 per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line="251" w:lineRule="auto"/>
        <w:rPr>
          <w:sz w:val="20"/>
          <w:szCs w:val="20"/>
          <w:color w:val="auto"/>
        </w:rPr>
      </w:pPr>
      <w:r>
        <w:rPr>
          <w:rFonts w:ascii="Arial" w:cs="Arial" w:eastAsia="Arial" w:hAnsi="Arial"/>
          <w:sz w:val="22"/>
          <w:szCs w:val="22"/>
          <w:color w:val="auto"/>
        </w:rPr>
        <w:t>day (or portion thereof), plus out-of-pocket expenses incurred in rendering such assistance or giving or preparing to give such testimony.</w:t>
      </w:r>
    </w:p>
    <w:p>
      <w:pPr>
        <w:spacing w:after="0" w:line="194" w:lineRule="exact"/>
        <w:rPr>
          <w:sz w:val="20"/>
          <w:szCs w:val="20"/>
          <w:color w:val="auto"/>
        </w:rPr>
      </w:pPr>
    </w:p>
    <w:p>
      <w:pPr>
        <w:ind w:left="1180" w:hanging="423"/>
        <w:spacing w:after="0"/>
        <w:tabs>
          <w:tab w:leader="none" w:pos="118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Non-Disclosure of Confidential Information.</w:t>
      </w:r>
    </w:p>
    <w:p>
      <w:pPr>
        <w:spacing w:after="0" w:line="239" w:lineRule="exact"/>
        <w:rPr>
          <w:sz w:val="20"/>
          <w:szCs w:val="20"/>
          <w:color w:val="auto"/>
        </w:rPr>
      </w:pPr>
    </w:p>
    <w:p>
      <w:pPr>
        <w:jc w:val="both"/>
        <w:ind w:firstLine="757"/>
        <w:spacing w:after="0" w:line="270" w:lineRule="auto"/>
        <w:tabs>
          <w:tab w:leader="none" w:pos="1181" w:val="left"/>
        </w:tabs>
        <w:numPr>
          <w:ilvl w:val="0"/>
          <w:numId w:val="65"/>
        </w:numPr>
        <w:rPr>
          <w:rFonts w:ascii="Arial" w:cs="Arial" w:eastAsia="Arial" w:hAnsi="Arial"/>
          <w:sz w:val="19"/>
          <w:szCs w:val="19"/>
          <w:color w:val="auto"/>
        </w:rPr>
      </w:pPr>
      <w:r>
        <w:rPr>
          <w:rFonts w:ascii="Arial" w:cs="Arial" w:eastAsia="Arial" w:hAnsi="Arial"/>
          <w:sz w:val="19"/>
          <w:szCs w:val="19"/>
          <w:color w:val="auto"/>
        </w:rPr>
        <w:t>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jc w:val="both"/>
        <w:ind w:firstLine="757"/>
        <w:spacing w:after="0" w:line="282" w:lineRule="auto"/>
        <w:tabs>
          <w:tab w:leader="none" w:pos="1181" w:val="left"/>
        </w:tabs>
        <w:numPr>
          <w:ilvl w:val="0"/>
          <w:numId w:val="65"/>
        </w:numPr>
        <w:rPr>
          <w:rFonts w:ascii="Arial" w:cs="Arial" w:eastAsia="Arial" w:hAnsi="Arial"/>
          <w:sz w:val="19"/>
          <w:szCs w:val="19"/>
          <w:color w:val="auto"/>
        </w:rPr>
      </w:pPr>
      <w:r>
        <w:rPr>
          <w:rFonts w:ascii="Arial" w:cs="Arial" w:eastAsia="Arial" w:hAnsi="Arial"/>
          <w:sz w:val="19"/>
          <w:szCs w:val="19"/>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74" w:lineRule="exact"/>
        <w:rPr>
          <w:rFonts w:ascii="Arial" w:cs="Arial" w:eastAsia="Arial" w:hAnsi="Arial"/>
          <w:sz w:val="19"/>
          <w:szCs w:val="19"/>
          <w:color w:val="auto"/>
        </w:rPr>
      </w:pPr>
    </w:p>
    <w:p>
      <w:pPr>
        <w:jc w:val="both"/>
        <w:ind w:firstLine="757"/>
        <w:spacing w:after="0" w:line="282" w:lineRule="auto"/>
        <w:tabs>
          <w:tab w:leader="none" w:pos="1181"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spacing w:after="0" w:line="168" w:lineRule="exact"/>
        <w:rPr>
          <w:sz w:val="20"/>
          <w:szCs w:val="20"/>
          <w:color w:val="auto"/>
        </w:rPr>
      </w:pPr>
    </w:p>
    <w:p>
      <w:pPr>
        <w:ind w:firstLine="757"/>
        <w:spacing w:after="0" w:line="244" w:lineRule="auto"/>
        <w:tabs>
          <w:tab w:leader="none" w:pos="1194"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Specific Performance</w:t>
      </w:r>
      <w:r>
        <w:rPr>
          <w:rFonts w:ascii="Arial" w:cs="Arial" w:eastAsia="Arial" w:hAnsi="Arial"/>
          <w:sz w:val="22"/>
          <w:szCs w:val="22"/>
          <w:color w:val="auto"/>
        </w:rPr>
        <w:t>. Executive agrees that if he breaches, or threatens to commit a breach of, any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paragraphs 3, 4 or 5 (the "Restrictive Covenants"),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jc w:val="both"/>
        <w:spacing w:after="0" w:line="247" w:lineRule="auto"/>
        <w:rPr>
          <w:sz w:val="20"/>
          <w:szCs w:val="20"/>
          <w:color w:val="auto"/>
        </w:rPr>
      </w:pPr>
      <w:r>
        <w:rPr>
          <w:rFonts w:ascii="Arial" w:cs="Arial" w:eastAsia="Arial" w:hAnsi="Arial"/>
          <w:sz w:val="21"/>
          <w:szCs w:val="21"/>
          <w:color w:val="auto"/>
        </w:rPr>
        <w:t>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Any such damages, attorneys’ fees and costs shall be in addition to and not in lieu of any injunctive relief that may be available to the Company.</w:t>
      </w:r>
    </w:p>
    <w:p>
      <w:pPr>
        <w:spacing w:after="0" w:line="205" w:lineRule="exact"/>
        <w:rPr>
          <w:sz w:val="20"/>
          <w:szCs w:val="20"/>
          <w:color w:val="auto"/>
        </w:rPr>
      </w:pPr>
    </w:p>
    <w:p>
      <w:pPr>
        <w:jc w:val="both"/>
        <w:ind w:firstLine="757"/>
        <w:spacing w:after="0" w:line="273" w:lineRule="auto"/>
        <w:tabs>
          <w:tab w:leader="none" w:pos="1181" w:val="left"/>
        </w:tabs>
        <w:numPr>
          <w:ilvl w:val="0"/>
          <w:numId w:val="67"/>
        </w:numPr>
        <w:rPr>
          <w:rFonts w:ascii="Arial" w:cs="Arial" w:eastAsia="Arial" w:hAnsi="Arial"/>
          <w:sz w:val="19"/>
          <w:szCs w:val="19"/>
          <w:color w:val="auto"/>
        </w:rPr>
      </w:pPr>
      <w:r>
        <w:rPr>
          <w:rFonts w:ascii="Arial" w:cs="Arial" w:eastAsia="Arial" w:hAnsi="Arial"/>
          <w:sz w:val="19"/>
          <w:szCs w:val="19"/>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his revocation to the Company. Any such revocation shall be directed to the HR Director, Associate Relations &amp; Compliance and must be delivered to the HR Director, Associate Relations &amp; Compliance within that seven (7) day revocation period, or mailed to Destination XL Group, Inc., Attn: HR Director, Associate Relations &amp; Compliance, 555 Turnpike Street, Canton, MA 02021 and postmarked within the seven (7) day revocation period.</w:t>
      </w:r>
    </w:p>
    <w:p>
      <w:pPr>
        <w:spacing w:after="0" w:line="155" w:lineRule="exact"/>
        <w:rPr>
          <w:rFonts w:ascii="Arial" w:cs="Arial" w:eastAsia="Arial" w:hAnsi="Arial"/>
          <w:sz w:val="19"/>
          <w:szCs w:val="19"/>
          <w:color w:val="auto"/>
        </w:rPr>
      </w:pPr>
    </w:p>
    <w:p>
      <w:pPr>
        <w:jc w:val="both"/>
        <w:ind w:firstLine="757"/>
        <w:spacing w:after="0"/>
        <w:tabs>
          <w:tab w:leader="none" w:pos="1181"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86" w:lineRule="exact"/>
        <w:rPr>
          <w:rFonts w:ascii="Arial" w:cs="Arial" w:eastAsia="Arial" w:hAnsi="Arial"/>
          <w:sz w:val="22"/>
          <w:szCs w:val="22"/>
          <w:color w:val="auto"/>
        </w:rPr>
      </w:pPr>
    </w:p>
    <w:p>
      <w:pPr>
        <w:jc w:val="both"/>
        <w:ind w:firstLine="757"/>
        <w:spacing w:after="0"/>
        <w:tabs>
          <w:tab w:leader="none" w:pos="1181"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p>
    <w:p>
      <w:pPr>
        <w:spacing w:after="0" w:line="186" w:lineRule="exact"/>
        <w:rPr>
          <w:rFonts w:ascii="Arial" w:cs="Arial" w:eastAsia="Arial" w:hAnsi="Arial"/>
          <w:sz w:val="22"/>
          <w:szCs w:val="22"/>
          <w:color w:val="auto"/>
        </w:rPr>
      </w:pPr>
    </w:p>
    <w:p>
      <w:pPr>
        <w:ind w:right="20" w:firstLine="757"/>
        <w:spacing w:after="0" w:line="250" w:lineRule="auto"/>
        <w:tabs>
          <w:tab w:leader="none" w:pos="1181"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This General Release of Claims shall take effect on the eighth business day following Executive’s execution of this General Release of Claims unless Executive’s written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revocation is delivered to the Company within seven (7) business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432435</wp:posOffset>
            </wp:positionV>
            <wp:extent cx="274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James Reath</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0" w:name="page51"/>
    <w:bookmarkEnd w:id="50"/>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20" w:val="left"/>
          <w:tab w:leader="none" w:pos="6760" w:val="left"/>
          <w:tab w:leader="none" w:pos="8400" w:val="left"/>
        </w:tabs>
        <w:rPr>
          <w:sz w:val="20"/>
          <w:szCs w:val="20"/>
          <w:color w:val="auto"/>
        </w:rPr>
      </w:pPr>
      <w:r>
        <w:rPr>
          <w:rFonts w:ascii="Arial" w:cs="Arial" w:eastAsia="Arial" w:hAnsi="Arial"/>
          <w:sz w:val="18"/>
          <w:szCs w:val="18"/>
          <w:color w:val="auto"/>
        </w:rPr>
        <w:t>Date:</w:t>
        <w:tab/>
        <w:t>August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23495</wp:posOffset>
            </wp:positionV>
            <wp:extent cx="26485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Harvey S. Kanter</w:t>
      </w:r>
    </w:p>
    <w:p>
      <w:pPr>
        <w:spacing w:after="0" w:line="25"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20" w:val="left"/>
          <w:tab w:leader="none" w:pos="6760" w:val="left"/>
          <w:tab w:leader="none" w:pos="8300" w:val="left"/>
        </w:tabs>
        <w:rPr>
          <w:sz w:val="20"/>
          <w:szCs w:val="20"/>
          <w:color w:val="auto"/>
        </w:rPr>
      </w:pPr>
      <w:r>
        <w:rPr>
          <w:rFonts w:ascii="Arial" w:cs="Arial" w:eastAsia="Arial" w:hAnsi="Arial"/>
          <w:sz w:val="18"/>
          <w:szCs w:val="18"/>
          <w:color w:val="auto"/>
        </w:rPr>
        <w:t>Date:</w:t>
        <w:tab/>
        <w:t>August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23495</wp:posOffset>
            </wp:positionV>
            <wp:extent cx="26485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Peter H. Stratton, Jr.</w:t>
      </w:r>
    </w:p>
    <w:p>
      <w:pPr>
        <w:spacing w:after="0" w:line="25"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July 29, 2023, as filed with the Securities and Exchange Commission on the date hereof (the “Report”), I, Harvey S. Kanter, Chief Executive Officer of the Company, certify pursuant to 18 U.S.C. § 1350, as adopted pursuant to § 906 of the Sarbanes-Oxley Act of 2002, that:</w:t>
      </w:r>
    </w:p>
    <w:p>
      <w:pPr>
        <w:spacing w:after="0" w:line="76" w:lineRule="exact"/>
        <w:rPr>
          <w:sz w:val="20"/>
          <w:szCs w:val="20"/>
          <w:color w:val="auto"/>
        </w:rPr>
      </w:pPr>
    </w:p>
    <w:p>
      <w:pPr>
        <w:ind w:left="1400" w:right="480" w:hanging="374"/>
        <w:spacing w:after="0" w:line="277" w:lineRule="auto"/>
        <w:tabs>
          <w:tab w:leader="none" w:pos="12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00" w:right="260" w:hanging="374"/>
        <w:spacing w:after="0" w:line="277" w:lineRule="auto"/>
        <w:tabs>
          <w:tab w:leader="none" w:pos="12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8" w:lineRule="exact"/>
        <w:rPr>
          <w:sz w:val="20"/>
          <w:szCs w:val="20"/>
          <w:color w:val="auto"/>
        </w:rPr>
      </w:pPr>
    </w:p>
    <w:p>
      <w:pPr>
        <w:ind w:left="20"/>
        <w:spacing w:after="0"/>
        <w:tabs>
          <w:tab w:leader="none" w:pos="620" w:val="left"/>
          <w:tab w:leader="none" w:pos="6760" w:val="left"/>
          <w:tab w:leader="none" w:pos="8380" w:val="left"/>
        </w:tabs>
        <w:rPr>
          <w:sz w:val="20"/>
          <w:szCs w:val="20"/>
          <w:color w:val="auto"/>
        </w:rPr>
      </w:pPr>
      <w:r>
        <w:rPr>
          <w:rFonts w:ascii="Arial" w:cs="Arial" w:eastAsia="Arial" w:hAnsi="Arial"/>
          <w:sz w:val="18"/>
          <w:szCs w:val="18"/>
          <w:color w:val="auto"/>
        </w:rPr>
        <w:t>Date:</w:t>
        <w:tab/>
        <w:t>August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Harvey S. Kanter</w:t>
      </w:r>
    </w:p>
    <w:p>
      <w:pPr>
        <w:spacing w:after="0" w:line="28"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Harvey S. Kanter</w:t>
      </w:r>
    </w:p>
    <w:p>
      <w:pPr>
        <w:spacing w:after="0" w:line="2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Executive Officer</w:t>
      </w:r>
    </w:p>
    <w:p>
      <w:pPr>
        <w:spacing w:after="0" w:line="21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July 29, 2023,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6" w:lineRule="exact"/>
        <w:rPr>
          <w:sz w:val="20"/>
          <w:szCs w:val="20"/>
          <w:color w:val="auto"/>
        </w:rPr>
      </w:pPr>
    </w:p>
    <w:p>
      <w:pPr>
        <w:ind w:left="1400" w:right="480" w:hanging="374"/>
        <w:spacing w:after="0" w:line="277" w:lineRule="auto"/>
        <w:tabs>
          <w:tab w:leader="none" w:pos="12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00" w:right="260" w:hanging="374"/>
        <w:spacing w:after="0" w:line="277" w:lineRule="auto"/>
        <w:tabs>
          <w:tab w:leader="none" w:pos="12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8" w:lineRule="exact"/>
        <w:rPr>
          <w:sz w:val="20"/>
          <w:szCs w:val="20"/>
          <w:color w:val="auto"/>
        </w:rPr>
      </w:pPr>
    </w:p>
    <w:p>
      <w:pPr>
        <w:ind w:left="20"/>
        <w:spacing w:after="0"/>
        <w:tabs>
          <w:tab w:leader="none" w:pos="560" w:val="left"/>
          <w:tab w:leader="none" w:pos="6760" w:val="left"/>
          <w:tab w:leader="none" w:pos="8280" w:val="left"/>
        </w:tabs>
        <w:rPr>
          <w:sz w:val="20"/>
          <w:szCs w:val="20"/>
          <w:color w:val="auto"/>
        </w:rPr>
      </w:pPr>
      <w:r>
        <w:rPr>
          <w:rFonts w:ascii="Arial" w:cs="Arial" w:eastAsia="Arial" w:hAnsi="Arial"/>
          <w:sz w:val="18"/>
          <w:szCs w:val="18"/>
          <w:color w:val="auto"/>
        </w:rPr>
        <w:t>Date:</w:t>
        <w:tab/>
        <w:t>August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Peter H. Stratton, Jr.</w:t>
      </w:r>
    </w:p>
    <w:p>
      <w:pPr>
        <w:spacing w:after="0" w:line="28"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Peter H. Stratton, Jr.</w:t>
      </w:r>
    </w:p>
    <w:p>
      <w:pPr>
        <w:spacing w:after="0" w:line="2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Financial Officer</w:t>
      </w:r>
    </w:p>
    <w:p>
      <w:pPr>
        <w:spacing w:after="0" w:line="21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2"/>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104"/>
    </w:lvl>
    <w:lvl w:ilvl="1">
      <w:lvlJc w:val="left"/>
      <w:lvlText w:val="*"/>
      <w:numFmt w:val="bullet"/>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2"/>
    </w:lvl>
  </w:abstractNum>
  <w:abstractNum w:abstractNumId="8">
    <w:nsid w:val="2D51779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9">
    <w:nsid w:val="580BD78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5"/>
    </w:lvl>
  </w:abstractNum>
  <w:abstractNum w:abstractNumId="10">
    <w:nsid w:val="153EA43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1">
    <w:nsid w:val="3855585C"/>
    <w:multiLevelType w:val="hybridMultilevel"/>
    <w:lvl w:ilvl="0">
      <w:lvlJc w:val="left"/>
      <w:lvlText w:val="%1."/>
      <w:numFmt w:val="decimal"/>
      <w:start w:val="5"/>
    </w:lvl>
    <w:lvl w:ilvl="1">
      <w:lvlJc w:val="left"/>
      <w:lvlText w:val="(%2)"/>
      <w:numFmt w:val="lowerLetter"/>
      <w:start w:val="1"/>
    </w:lvl>
  </w:abstractNum>
  <w:abstractNum w:abstractNumId="12">
    <w:nsid w:val="70A64E2A"/>
    <w:multiLevelType w:val="hybridMultilevel"/>
    <w:lvl w:ilvl="0">
      <w:lvlJc w:val="left"/>
      <w:lvlText w:val="%1"/>
      <w:numFmt w:val="decimal"/>
      <w:start w:val="1"/>
    </w:lvl>
    <w:lvl w:ilvl="1">
      <w:lvlJc w:val="left"/>
      <w:lvlText w:val="(%2)"/>
      <w:numFmt w:val="lowerLetter"/>
      <w:start w:val="2"/>
    </w:lvl>
  </w:abstractNum>
  <w:abstractNum w:abstractNumId="13">
    <w:nsid w:val="6A2342EC"/>
    <w:multiLevelType w:val="hybridMultilevel"/>
    <w:lvl w:ilvl="0">
      <w:lvlJc w:val="left"/>
      <w:lvlText w:val="%1."/>
      <w:numFmt w:val="decimal"/>
      <w:start w:val="6"/>
    </w:lvl>
    <w:lvl w:ilvl="1">
      <w:lvlJc w:val="left"/>
      <w:lvlText w:val="%2"/>
      <w:numFmt w:val="lowerLetter"/>
      <w:start w:val="1"/>
    </w:lvl>
  </w:abstractNum>
  <w:abstractNum w:abstractNumId="14">
    <w:nsid w:val="2A487CB0"/>
    <w:multiLevelType w:val="hybridMultilevel"/>
    <w:lvl w:ilvl="0">
      <w:lvlJc w:val="left"/>
      <w:lvlText w:val="(%1)"/>
      <w:numFmt w:val="lowerLetter"/>
      <w:start w:val="1"/>
    </w:lvl>
  </w:abstractNum>
  <w:abstractNum w:abstractNumId="15">
    <w:nsid w:val="1D4ED43B"/>
    <w:multiLevelType w:val="hybridMultilevel"/>
    <w:lvl w:ilvl="0">
      <w:lvlJc w:val="left"/>
      <w:lvlText w:val="%1."/>
      <w:numFmt w:val="decimal"/>
      <w:start w:val="7"/>
    </w:lvl>
    <w:lvl w:ilvl="1">
      <w:lvlJc w:val="left"/>
      <w:lvlText w:val="(%2)"/>
      <w:numFmt w:val="lowerLetter"/>
      <w:start w:val="1"/>
    </w:lvl>
  </w:abstractNum>
  <w:abstractNum w:abstractNumId="16">
    <w:nsid w:val="725A06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17">
    <w:nsid w:val="2CD89A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Roman"/>
      <w:start w:val="1"/>
    </w:lvl>
    <w:lvl w:ilvl="5">
      <w:lvlJc w:val="left"/>
      <w:lvlText w:val="(%6)"/>
      <w:numFmt w:val="lowerRoman"/>
      <w:start w:val="1"/>
    </w:lvl>
  </w:abstractNum>
  <w:abstractNum w:abstractNumId="18">
    <w:nsid w:val="57E4CC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3"/>
    </w:lvl>
  </w:abstractNum>
  <w:abstractNum w:abstractNumId="19">
    <w:nsid w:val="7A6D8D3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0">
    <w:nsid w:val="4B588F54"/>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1">
    <w:nsid w:val="542289EC"/>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2">
    <w:nsid w:val="6DE91B18"/>
    <w:multiLevelType w:val="hybridMultilevel"/>
    <w:lvl w:ilvl="0">
      <w:lvlJc w:val="left"/>
      <w:lvlText w:val="(%1)"/>
      <w:numFmt w:val="lowerLetter"/>
      <w:start w:val="6"/>
    </w:lvl>
  </w:abstractNum>
  <w:abstractNum w:abstractNumId="23">
    <w:nsid w:val="38437FDB"/>
    <w:multiLevelType w:val="hybridMultilevel"/>
    <w:lvl w:ilvl="0">
      <w:lvlJc w:val="left"/>
      <w:lvlText w:val="(%1)"/>
      <w:numFmt w:val="lowerLetter"/>
      <w:start w:val="10"/>
    </w:lvl>
    <w:lvl w:ilvl="1">
      <w:lvlJc w:val="left"/>
      <w:lvlText w:val="%2."/>
      <w:numFmt w:val="upperLetter"/>
      <w:start w:val="1"/>
    </w:lvl>
    <w:lvl w:ilvl="2">
      <w:lvlJc w:val="left"/>
      <w:lvlText w:val="%3)"/>
      <w:numFmt w:val="decimal"/>
      <w:start w:val="1"/>
    </w:lvl>
  </w:abstractNum>
  <w:abstractNum w:abstractNumId="24">
    <w:nsid w:val="7644A45C"/>
    <w:multiLevelType w:val="hybridMultilevel"/>
    <w:lvl w:ilvl="0">
      <w:lvlJc w:val="left"/>
      <w:lvlText w:val="%1"/>
      <w:numFmt w:val="decimal"/>
      <w:start w:val="1"/>
    </w:lvl>
    <w:lvl w:ilvl="1">
      <w:lvlJc w:val="left"/>
      <w:lvlText w:val="(%2)"/>
      <w:numFmt w:val="lowerLetter"/>
      <w:start w:val="11"/>
    </w:lvl>
  </w:abstractNum>
  <w:abstractNum w:abstractNumId="25">
    <w:nsid w:val="32FFF902"/>
    <w:multiLevelType w:val="hybridMultilevel"/>
    <w:lvl w:ilvl="0">
      <w:lvlJc w:val="left"/>
      <w:lvlText w:val="%1."/>
      <w:numFmt w:val="decimal"/>
      <w:start w:val="8"/>
    </w:lvl>
    <w:lvl w:ilvl="1">
      <w:lvlJc w:val="left"/>
      <w:lvlText w:val="%2"/>
      <w:numFmt w:val="lowerLetter"/>
      <w:start w:val="1"/>
    </w:lvl>
  </w:abstractNum>
  <w:abstractNum w:abstractNumId="26">
    <w:nsid w:val="684A481A"/>
    <w:multiLevelType w:val="hybridMultilevel"/>
    <w:lvl w:ilvl="0">
      <w:lvlJc w:val="left"/>
      <w:lvlText w:val="(%1)"/>
      <w:numFmt w:val="lowerLetter"/>
      <w:start w:val="1"/>
    </w:lvl>
    <w:lvl w:ilvl="1">
      <w:lvlJc w:val="left"/>
      <w:lvlText w:val="(%2)"/>
      <w:numFmt w:val="lowerRoman"/>
      <w:start w:val="1"/>
    </w:lvl>
  </w:abstractNum>
  <w:abstractNum w:abstractNumId="27">
    <w:nsid w:val="579478FE"/>
    <w:multiLevelType w:val="hybridMultilevel"/>
    <w:lvl w:ilvl="0">
      <w:lvlJc w:val="left"/>
      <w:lvlText w:val="(%1)"/>
      <w:numFmt w:val="lowerLetter"/>
      <w:start w:val="5"/>
    </w:lvl>
    <w:lvl w:ilvl="1">
      <w:lvlJc w:val="left"/>
      <w:lvlText w:val="(%2)"/>
      <w:numFmt w:val="lowerRoman"/>
      <w:start w:val="1"/>
    </w:lvl>
  </w:abstractNum>
  <w:abstractNum w:abstractNumId="28">
    <w:nsid w:val="749ABB43"/>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9">
    <w:nsid w:val="3DC240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0">
    <w:nsid w:val="1BA026FA"/>
    <w:multiLevelType w:val="hybridMultilevel"/>
    <w:lvl w:ilvl="0">
      <w:lvlJc w:val="left"/>
      <w:lvlText w:val="(%1)"/>
      <w:numFmt w:val="lowerLetter"/>
      <w:start w:val="5"/>
    </w:lvl>
  </w:abstractNum>
  <w:abstractNum w:abstractNumId="31">
    <w:nsid w:val="79A1DEAA"/>
    <w:multiLevelType w:val="hybridMultilevel"/>
    <w:lvl w:ilvl="0">
      <w:lvlJc w:val="left"/>
      <w:lvlText w:val="%1."/>
      <w:numFmt w:val="decimal"/>
      <w:start w:val="10"/>
    </w:lvl>
  </w:abstractNum>
  <w:abstractNum w:abstractNumId="32">
    <w:nsid w:val="75C6C33A"/>
    <w:multiLevelType w:val="hybridMultilevel"/>
    <w:lvl w:ilvl="0">
      <w:lvlJc w:val="left"/>
      <w:lvlText w:val="(%1)"/>
      <w:numFmt w:val="lowerLetter"/>
      <w:start w:val="1"/>
    </w:lvl>
  </w:abstractNum>
  <w:abstractNum w:abstractNumId="33">
    <w:nsid w:val="12E685FB"/>
    <w:multiLevelType w:val="hybridMultilevel"/>
    <w:lvl w:ilvl="0">
      <w:lvlJc w:val="left"/>
      <w:lvlText w:val="(%1)"/>
      <w:numFmt w:val="lowerLetter"/>
      <w:start w:val="4"/>
    </w:lvl>
  </w:abstractNum>
  <w:abstractNum w:abstractNumId="34">
    <w:nsid w:val="70C6A529"/>
    <w:multiLevelType w:val="hybridMultilevel"/>
    <w:lvl w:ilvl="0">
      <w:lvlJc w:val="left"/>
      <w:lvlText w:val="%1."/>
      <w:numFmt w:val="decimal"/>
      <w:start w:val="11"/>
    </w:lvl>
  </w:abstractNum>
  <w:abstractNum w:abstractNumId="35">
    <w:nsid w:val="520EEDD1"/>
    <w:multiLevelType w:val="hybridMultilevel"/>
    <w:lvl w:ilvl="0">
      <w:lvlJc w:val="left"/>
      <w:lvlText w:val="%1"/>
      <w:numFmt w:val="lowerLetter"/>
      <w:start w:val="1"/>
    </w:lvl>
    <w:lvl w:ilvl="1">
      <w:lvlJc w:val="left"/>
      <w:lvlText w:val="(%2)"/>
      <w:numFmt w:val="lowerLetter"/>
      <w:start w:val="1"/>
    </w:lvl>
  </w:abstractNum>
  <w:abstractNum w:abstractNumId="36">
    <w:nsid w:val="374A3FE6"/>
    <w:multiLevelType w:val="hybridMultilevel"/>
    <w:lvl w:ilvl="0">
      <w:lvlJc w:val="left"/>
      <w:lvlText w:val="(%1)"/>
      <w:numFmt w:val="lowerLetter"/>
      <w:start w:val="2"/>
    </w:lvl>
    <w:lvl w:ilvl="1">
      <w:lvlJc w:val="left"/>
      <w:lvlText w:val="%2"/>
      <w:numFmt w:val="lowerLetter"/>
      <w:start w:val="1"/>
    </w:lvl>
  </w:abstractNum>
  <w:abstractNum w:abstractNumId="37">
    <w:nsid w:val="4F4EF005"/>
    <w:multiLevelType w:val="hybridMultilevel"/>
    <w:lvl w:ilvl="0">
      <w:lvlJc w:val="left"/>
      <w:lvlText w:val="%1."/>
      <w:numFmt w:val="decimal"/>
      <w:start w:val="12"/>
    </w:lvl>
  </w:abstractNum>
  <w:abstractNum w:abstractNumId="38">
    <w:nsid w:val="23F9C13C"/>
    <w:multiLevelType w:val="hybridMultilevel"/>
    <w:lvl w:ilvl="0">
      <w:lvlJc w:val="left"/>
      <w:lvlText w:val="(%1)"/>
      <w:numFmt w:val="lowerLetter"/>
      <w:start w:val="1"/>
    </w:lvl>
  </w:abstractNum>
  <w:abstractNum w:abstractNumId="39">
    <w:nsid w:val="649BB7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0">
    <w:nsid w:val="275AC79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1">
    <w:nsid w:val="39386575"/>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2">
    <w:nsid w:val="1CF10FD8"/>
    <w:multiLevelType w:val="hybridMultilevel"/>
    <w:lvl w:ilvl="0">
      <w:lvlJc w:val="left"/>
      <w:lvlText w:val="%1."/>
      <w:numFmt w:val="decimal"/>
      <w:start w:val="13"/>
    </w:lvl>
  </w:abstractNum>
  <w:abstractNum w:abstractNumId="43">
    <w:nsid w:val="180115BE"/>
    <w:multiLevelType w:val="hybridMultilevel"/>
    <w:lvl w:ilvl="0">
      <w:lvlJc w:val="left"/>
      <w:lvlText w:val="%1."/>
      <w:numFmt w:val="decimal"/>
      <w:start w:val="14"/>
    </w:lvl>
  </w:abstractNum>
  <w:abstractNum w:abstractNumId="44">
    <w:nsid w:val="235BA861"/>
    <w:multiLevelType w:val="hybridMultilevel"/>
    <w:lvl w:ilvl="0">
      <w:lvlJc w:val="left"/>
      <w:lvlText w:val="%1."/>
      <w:numFmt w:val="decimal"/>
      <w:start w:val="15"/>
    </w:lvl>
  </w:abstractNum>
  <w:abstractNum w:abstractNumId="45">
    <w:nsid w:val="47398C89"/>
    <w:multiLevelType w:val="hybridMultilevel"/>
    <w:lvl w:ilvl="0">
      <w:lvlJc w:val="left"/>
      <w:lvlText w:val="%1."/>
      <w:numFmt w:val="decimal"/>
      <w:start w:val="16"/>
    </w:lvl>
  </w:abstractNum>
  <w:abstractNum w:abstractNumId="46">
    <w:nsid w:val="354FE9F9"/>
    <w:multiLevelType w:val="hybridMultilevel"/>
    <w:lvl w:ilvl="0">
      <w:lvlJc w:val="left"/>
      <w:lvlText w:val="%1."/>
      <w:numFmt w:val="decimal"/>
      <w:start w:val="17"/>
    </w:lvl>
  </w:abstractNum>
  <w:abstractNum w:abstractNumId="47">
    <w:nsid w:val="15B5AF5C"/>
    <w:multiLevelType w:val="hybridMultilevel"/>
    <w:lvl w:ilvl="0">
      <w:lvlJc w:val="left"/>
      <w:lvlText w:val="%1."/>
      <w:numFmt w:val="decimal"/>
      <w:start w:val="18"/>
    </w:lvl>
  </w:abstractNum>
  <w:abstractNum w:abstractNumId="48">
    <w:nsid w:val="741226BB"/>
    <w:multiLevelType w:val="hybridMultilevel"/>
    <w:lvl w:ilvl="0">
      <w:lvlJc w:val="left"/>
      <w:lvlText w:val="%1."/>
      <w:numFmt w:val="decimal"/>
      <w:start w:val="19"/>
    </w:lvl>
  </w:abstractNum>
  <w:abstractNum w:abstractNumId="49">
    <w:nsid w:val="D34B6A8"/>
    <w:multiLevelType w:val="hybridMultilevel"/>
    <w:lvl w:ilvl="0">
      <w:lvlJc w:val="left"/>
      <w:lvlText w:val="%1."/>
      <w:numFmt w:val="decimal"/>
      <w:start w:val="20"/>
    </w:lvl>
  </w:abstractNum>
  <w:abstractNum w:abstractNumId="50">
    <w:nsid w:val="10233C99"/>
    <w:multiLevelType w:val="hybridMultilevel"/>
    <w:lvl w:ilvl="0">
      <w:lvlJc w:val="left"/>
      <w:lvlText w:val="%1."/>
      <w:numFmt w:val="decimal"/>
      <w:start w:val="21"/>
    </w:lvl>
  </w:abstractNum>
  <w:abstractNum w:abstractNumId="51">
    <w:nsid w:val="3F6AB60F"/>
    <w:multiLevelType w:val="hybridMultilevel"/>
    <w:lvl w:ilvl="0">
      <w:lvlJc w:val="left"/>
      <w:lvlText w:val="%1."/>
      <w:numFmt w:val="decimal"/>
      <w:start w:val="22"/>
    </w:lvl>
  </w:abstractNum>
  <w:abstractNum w:abstractNumId="52">
    <w:nsid w:val="61574095"/>
    <w:multiLevelType w:val="hybridMultilevel"/>
    <w:lvl w:ilvl="0">
      <w:lvlJc w:val="left"/>
      <w:lvlText w:val="%1."/>
      <w:numFmt w:val="decimal"/>
      <w:start w:val="23"/>
    </w:lvl>
  </w:abstractNum>
  <w:abstractNum w:abstractNumId="53">
    <w:nsid w:val="7E0C57B1"/>
    <w:multiLevelType w:val="hybridMultilevel"/>
    <w:lvl w:ilvl="0">
      <w:lvlJc w:val="left"/>
      <w:lvlText w:val="%1."/>
      <w:numFmt w:val="decimal"/>
      <w:start w:val="24"/>
    </w:lvl>
    <w:lvl w:ilvl="1">
      <w:lvlJc w:val="left"/>
      <w:lvlText w:val="(%2)"/>
      <w:numFmt w:val="lowerLetter"/>
      <w:start w:val="1"/>
    </w:lvl>
  </w:abstractNum>
  <w:abstractNum w:abstractNumId="54">
    <w:nsid w:val="77AE35EB"/>
    <w:multiLevelType w:val="hybridMultilevel"/>
    <w:lvl w:ilvl="0">
      <w:lvlJc w:val="left"/>
      <w:lvlText w:val="%1."/>
      <w:numFmt w:val="decimal"/>
      <w:start w:val="26"/>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2"/>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lowerLetter"/>
      <w:start w:val="1"/>
    </w:lvl>
    <w:lvl w:ilvl="1">
      <w:lvlJc w:val="left"/>
      <w:lvlText w:val="(%2)"/>
      <w:numFmt w:val="lowerLetter"/>
      <w:start w:val="2"/>
    </w:lvl>
  </w:abstractNum>
  <w:abstractNum w:abstractNumId="59">
    <w:nsid w:val="25A70BF7"/>
    <w:multiLevelType w:val="hybridMultilevel"/>
    <w:lvl w:ilvl="0">
      <w:lvlJc w:val="left"/>
      <w:lvlText w:val="(%1)"/>
      <w:numFmt w:val="lowerLetter"/>
      <w:start w:val="3"/>
    </w:lvl>
    <w:lvl w:ilvl="1">
      <w:lvlJc w:val="left"/>
      <w:lvlText w:val="%2"/>
      <w:numFmt w:val="lowerLetter"/>
      <w:start w:val="1"/>
    </w:lvl>
  </w:abstractNum>
  <w:abstractNum w:abstractNumId="60">
    <w:nsid w:val="1DBABF00"/>
    <w:multiLevelType w:val="hybridMultilevel"/>
    <w:lvl w:ilvl="0">
      <w:lvlJc w:val="left"/>
      <w:lvlText w:val="%1."/>
      <w:numFmt w:val="decimal"/>
      <w:start w:val="4"/>
    </w:lvl>
  </w:abstractNum>
  <w:abstractNum w:abstractNumId="61">
    <w:nsid w:val="4AD084E9"/>
    <w:multiLevelType w:val="hybridMultilevel"/>
    <w:lvl w:ilvl="0">
      <w:lvlJc w:val="left"/>
      <w:lvlText w:val="%1"/>
      <w:numFmt w:val="lowerLetter"/>
      <w:start w:val="1"/>
    </w:lvl>
    <w:lvl w:ilvl="1">
      <w:lvlJc w:val="left"/>
      <w:lvlText w:val="(%2)"/>
      <w:numFmt w:val="lowerLetter"/>
      <w:start w:val="1"/>
    </w:lvl>
  </w:abstractNum>
  <w:abstractNum w:abstractNumId="62">
    <w:nsid w:val="1F48EAA1"/>
    <w:multiLevelType w:val="hybridMultilevel"/>
    <w:lvl w:ilvl="0">
      <w:lvlJc w:val="left"/>
      <w:lvlText w:val="(%1)"/>
      <w:numFmt w:val="lowerLetter"/>
      <w:start w:val="2"/>
    </w:lvl>
    <w:lvl w:ilvl="1">
      <w:lvlJc w:val="left"/>
      <w:lvlText w:val="%2"/>
      <w:numFmt w:val="lowerLetter"/>
      <w:start w:val="1"/>
    </w:lvl>
  </w:abstractNum>
  <w:abstractNum w:abstractNumId="63">
    <w:nsid w:val="1381823A"/>
    <w:multiLevelType w:val="hybridMultilevel"/>
    <w:lvl w:ilvl="0">
      <w:lvlJc w:val="left"/>
      <w:lvlText w:val="%1."/>
      <w:numFmt w:val="decimal"/>
      <w:start w:val="5"/>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6"/>
    </w:lvl>
  </w:abstractNum>
  <w:abstractNum w:abstractNumId="66">
    <w:nsid w:val="6590700B"/>
    <w:multiLevelType w:val="hybridMultilevel"/>
    <w:lvl w:ilvl="0">
      <w:lvlJc w:val="left"/>
      <w:lvlText w:val="%1."/>
      <w:numFmt w:val="decimal"/>
      <w:start w:val="7"/>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171" Type="http://schemas.openxmlformats.org/officeDocument/2006/relationships/hyperlink" Target="https://www.sec.gov/Archives/edgar/data/813298/000095017023012911/dxl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2023-08-24T13:38:20Z</dcterms:created>
  <dcterms:modified xsi:type="dcterms:W3CDTF">2023-08-24T13:38:20Z</dcterms:modified>
</cp:coreProperties>
</file>