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Appointment of Certain Officers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Destination XL Group, Inc. (the “Company”) appointed Dara Pauker, 47, as its Chief Operating Officer and entered into an employment agreement with Ms. Pauker effective January 27, 2023 (the “Employment Agreement”). Ms. Pauker has been working with the Company on a consulting basis since December 2021. Reporting to Ms. Pauker will be the Chief Stores Officer, Chief Merchandising Officer, Senior Vice President of Global Sourcing, and Senior Vice President of Technology.</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Ms. Pauker has over 20 years of strategy and leadership experience, with a particular emphasis on growth initiatives. Since October 2014, Ms. Pauker has been the founder and chief executive officer of Dauntless Decisions, LLC., a consulting firm through which she has advised public and private retail companies and retail investors and held several interim general manager/chief operating officer roles. Prior to that, from January 2012 until June 2014, Ms. Pauker was the president and general manager of ghd Professional, North America, a manufacturer and retailer of hair styling tools. Ms. Pauker also held executive roles at Liz Claiborne, Inc., Custo Barcelona and The Jones Group. She began her career at Bain &amp; Company. Ms. Pauker received an M.B.A., Strategic Management and Marketing, from the Wharton School and a B.A. from Harvard University. She currently serves as a Success Coach in Columbia Business School’s Chief Marketing Officer Certificate Program.</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Ms. Pauker and any other persons pursuant to which Ms. Pauker was named Chief Operating Officer, and Ms. Pauker does not have any family relationship with any of the Company’s executive officers or directors. Ms. Pauker does not have any direct or indirect material interest in any transaction or proposed transaction required to be reported under Item 404(a)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Employment Agreement with Ms. Pauker</w:t>
      </w:r>
    </w:p>
    <w:p>
      <w:pPr>
        <w:spacing w:after="0" w:line="115"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 term of the Employment Agreement began on January 27, 2023 and will continue until terminated by either party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Agreement.</w:t>
      </w:r>
    </w:p>
    <w:p>
      <w:pPr>
        <w:spacing w:after="0" w:line="50"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Location</w:t>
      </w:r>
      <w:r>
        <w:rPr>
          <w:rFonts w:ascii="Times New Roman" w:cs="Times New Roman" w:eastAsia="Times New Roman" w:hAnsi="Times New Roman"/>
          <w:sz w:val="18"/>
          <w:szCs w:val="18"/>
          <w:color w:val="auto"/>
        </w:rPr>
        <w:t>. Ms. Pauker will work remotely from New York City or such other location as may be designated from time to time by the Company, but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present in the Company’s home office frequently. Such travel expenses will be paid by the Company as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Ms. Pauker will be paid an annual base salary of $425,000, which shall be reviewed at least annually.</w:t>
      </w:r>
    </w:p>
    <w:p>
      <w:pPr>
        <w:spacing w:after="0" w:line="11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Sign-On Awards</w:t>
      </w:r>
      <w:r>
        <w:rPr>
          <w:rFonts w:ascii="Times New Roman" w:cs="Times New Roman" w:eastAsia="Times New Roman" w:hAnsi="Times New Roman"/>
          <w:sz w:val="18"/>
          <w:szCs w:val="18"/>
          <w:color w:val="auto"/>
        </w:rPr>
        <w:t>. Ms. Pauker will receive a cash sign-on award of $150,000 and received a one-time grant of restricted stock units (the “RSUs”) equal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to $300,000 on the grant date, or 40,376</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The RSUs vest in three equal annual installments beginning on January 27, 2024. The cash sign-on award is subject to clawback if Ms. Pauker terminates her employment other than for “Good Reason” (as defined in the Employment Agreement) prior to January 27, 2024.</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Annual Incentive Plan</w:t>
      </w:r>
      <w:r>
        <w:rPr>
          <w:rFonts w:ascii="Times New Roman" w:cs="Times New Roman" w:eastAsia="Times New Roman" w:hAnsi="Times New Roman"/>
          <w:sz w:val="18"/>
          <w:szCs w:val="18"/>
          <w:color w:val="auto"/>
        </w:rPr>
        <w:t>. Ms. Pauker is eligible to earn an annual target bonus award under the Company’s annual incentive plan then in effect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equal to 60% of her actual annual base salary earnings. Such incentive shall be determined and payable in accordance with the Annual Incentive Plan in effect at the time, subject to change from year to year in the Company’s sole discretion. The amount of the annual bonus award earned under the Annual Incentive Plan with respect to any fiscal year may range from between 50% and 150% of the annual target bonus award.</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Long-Term Incentive Plan</w:t>
      </w:r>
      <w:r>
        <w:rPr>
          <w:rFonts w:ascii="Times New Roman" w:cs="Times New Roman" w:eastAsia="Times New Roman" w:hAnsi="Times New Roman"/>
          <w:sz w:val="18"/>
          <w:szCs w:val="18"/>
          <w:color w:val="auto"/>
        </w:rPr>
        <w:t>. Ms. Pauker is eligible to participate in the Company’s Long-Term Incentive Plan, as it may be amended from time-to-time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“LTIP”). Ms. Pauker’s Target Cash Value (as defined in the LTIP) is 90% of her base salary. Pursuant to the terms of the LTIP, 50% of such award are time-based awards and 50% are performance-based awards. If and to the extent that the applicable performance targets are achieved, Ms. Pauker will be eligible to receive a performance-based award that will range between 50% and 150% of the Target Cash Value.</w:t>
      </w:r>
    </w:p>
    <w:p>
      <w:pPr>
        <w:spacing w:after="0" w:line="7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Employee Benefits</w:t>
      </w:r>
      <w:r>
        <w:rPr>
          <w:rFonts w:ascii="Times New Roman" w:cs="Times New Roman" w:eastAsia="Times New Roman" w:hAnsi="Times New Roman"/>
          <w:sz w:val="18"/>
          <w:szCs w:val="18"/>
          <w:color w:val="auto"/>
        </w:rPr>
        <w:t>. Ms. Pauker is eligible to participate in all employee benefit plans, practices and programs maintained by the Company, on a basis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less favorable than is provided to other members of the Company’s executive leadership team.</w:t>
      </w:r>
    </w:p>
    <w:p>
      <w:pPr>
        <w:spacing w:after="0" w:line="50"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Either the Company or Ms. Pauker may terminate her employment at any time and for any reason; provided, that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terminates Ms. Pauker without “justifiable cause” (as defined in the Employment Agreement), the Company is required to give Ms. Pauker at least 30 days’ advance written notice.</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If Ms. Pauker’s employment is terminated by her for any reason other than “Good Reason” (as defined in the Employment Agreement) or by the Company for justifiable cause, then Ms. Pauker will be eligible to receive any accrued but unpaid salary for services rendered to the date of termination, any accrued but unpaid expenses required to be reimbursed and any accrued but unused vacation as of the termination date.</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Ms. Pauker terminates her employment for Good Reason or the Company terminates her employment without justifiable cause, Ms. Pauker will be eligible to receive a payment equal to her then current base salary for six months (inclusive of the one-month notice period), payable in accordance with the Company’s customary payroll practices and conditioned upon Mr. Pauker having provided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t>general release. If Ms. Pauker’s employment is terminated by her for Good Reason or by the Company without justifiable cause during the one-year period following a change in control, then Ms. Pauker will be eligible to receive, subject to certain requirements described in the Employment Agreement, a payment equal to twelve months of her base salary in effect at the time of termination.</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Employment Agreement also contains customary covenants regarding confidentiality, non-disclosure, non-competition, non-solicitation, non-disparagement, and proprietary rights.</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summary does not purport to be complete and is subject to and qualified in its entirety by reference to the text of the Employment Agreement, filed herewith as Exhibit 10.1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January 30, 2023, the Company issued a press release, furnished herewith as Exhibit 99.1, announcing the appointment of Ms. Pauker as Chief Operating Officer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3"/>
        </w:trPr>
        <w:tc>
          <w:tcPr>
            <w:tcW w:w="20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6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tcPr>
          <w:p>
            <w:pPr>
              <w:spacing w:after="0"/>
              <w:rPr>
                <w:sz w:val="18"/>
                <w:szCs w:val="18"/>
                <w:color w:val="auto"/>
              </w:rPr>
            </w:pPr>
          </w:p>
        </w:tc>
        <w:tc>
          <w:tcPr>
            <w:tcW w:w="6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Employment Agreement between the Company and Dara Pauker dated as of January 27, 2023</w:t>
            </w:r>
            <w:r>
              <w:rPr>
                <w:rFonts w:ascii="Times New Roman" w:cs="Times New Roman" w:eastAsia="Times New Roman" w:hAnsi="Times New Roman"/>
                <w:sz w:val="18"/>
                <w:szCs w:val="18"/>
                <w:color w:val="000000"/>
                <w:w w:val="99"/>
              </w:rPr>
              <w:t>.</w:t>
            </w:r>
          </w:p>
        </w:tc>
      </w:tr>
      <w:tr>
        <w:trPr>
          <w:trHeight w:val="210"/>
        </w:trPr>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99.1</w:t>
            </w:r>
          </w:p>
        </w:tc>
        <w:tc>
          <w:tcPr>
            <w:tcW w:w="680" w:type="dxa"/>
            <w:vAlign w:val="bottom"/>
          </w:tcPr>
          <w:p>
            <w:pPr>
              <w:spacing w:after="0"/>
              <w:rPr>
                <w:sz w:val="18"/>
                <w:szCs w:val="18"/>
                <w:color w:val="auto"/>
              </w:rPr>
            </w:pPr>
          </w:p>
        </w:tc>
        <w:tc>
          <w:tcPr>
            <w:tcW w:w="67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Press release dated January 30, 2023</w:t>
            </w:r>
            <w:r>
              <w:rPr>
                <w:rFonts w:ascii="Times New Roman" w:cs="Times New Roman" w:eastAsia="Times New Roman" w:hAnsi="Times New Roman"/>
                <w:sz w:val="18"/>
                <w:szCs w:val="18"/>
                <w:color w:val="000000"/>
              </w:rPr>
              <w:t>.</w:t>
            </w:r>
          </w:p>
        </w:tc>
        <w:tc>
          <w:tcPr>
            <w:tcW w:w="4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 w:lineRule="exact"/>
        <w:rPr>
          <w:sz w:val="20"/>
          <w:szCs w:val="20"/>
          <w:color w:val="auto"/>
        </w:rPr>
      </w:pPr>
    </w:p>
    <w:p>
      <w:pPr>
        <w:ind w:left="1660" w:right="560" w:hanging="1470"/>
        <w:spacing w:after="0" w:line="282" w:lineRule="auto"/>
        <w:tabs>
          <w:tab w:leader="none" w:pos="1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30,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37"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22"/>
          <w:szCs w:val="22"/>
          <w:color w:val="auto"/>
        </w:rPr>
        <w:t>This Employment Agreement ("Agreement") is made effective as of January 27, 2023 (the “Effective Date”) between DESTINATION XL GROUP, INC. (the “Company”), a Delaware corporation with an office at 555 Turnpike Street, Canton, Massachusetts 02021 (“DXLG” which term includes any affiliates and subsidiaries), and DARA PAUKER (the “Executive”) having an address at 300 West 23rd Street, Apt 7G, New York, NY 10011.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WITNESSETH:</w:t>
      </w:r>
    </w:p>
    <w:p>
      <w:pPr>
        <w:spacing w:after="0" w:line="233" w:lineRule="exact"/>
        <w:rPr>
          <w:sz w:val="20"/>
          <w:szCs w:val="20"/>
          <w:color w:val="auto"/>
        </w:rPr>
      </w:pPr>
    </w:p>
    <w:p>
      <w:pPr>
        <w:ind w:right="420" w:firstLine="374"/>
        <w:spacing w:after="0" w:line="258" w:lineRule="auto"/>
        <w:rPr>
          <w:sz w:val="20"/>
          <w:szCs w:val="20"/>
          <w:color w:val="auto"/>
        </w:rPr>
      </w:pPr>
      <w:r>
        <w:rPr>
          <w:rFonts w:ascii="Times New Roman" w:cs="Times New Roman" w:eastAsia="Times New Roman" w:hAnsi="Times New Roman"/>
          <w:sz w:val="22"/>
          <w:szCs w:val="22"/>
          <w:color w:val="auto"/>
        </w:rPr>
        <w:t>WHEREAS, the Company desires that Executive work for the Company and Executive desires to be so employed by the Company as its Chief Operating Officer.</w:t>
      </w:r>
    </w:p>
    <w:p>
      <w:pPr>
        <w:spacing w:after="0" w:line="185" w:lineRule="exact"/>
        <w:rPr>
          <w:sz w:val="20"/>
          <w:szCs w:val="20"/>
          <w:color w:val="auto"/>
        </w:rPr>
      </w:pPr>
    </w:p>
    <w:p>
      <w:pPr>
        <w:ind w:right="1040" w:firstLine="374"/>
        <w:spacing w:after="0" w:line="258" w:lineRule="auto"/>
        <w:rPr>
          <w:sz w:val="20"/>
          <w:szCs w:val="20"/>
          <w:color w:val="auto"/>
        </w:rPr>
      </w:pPr>
      <w:r>
        <w:rPr>
          <w:rFonts w:ascii="Times New Roman" w:cs="Times New Roman" w:eastAsia="Times New Roman" w:hAnsi="Times New Roman"/>
          <w:sz w:val="22"/>
          <w:szCs w:val="22"/>
          <w:color w:val="auto"/>
        </w:rPr>
        <w:t>WHEREAS, Executive and the Company desire to set forth in writing the terms and conditions of the Executive's employment with the Company from the date hereof.</w:t>
      </w:r>
    </w:p>
    <w:p>
      <w:pPr>
        <w:spacing w:after="0" w:line="185" w:lineRule="exact"/>
        <w:rPr>
          <w:sz w:val="20"/>
          <w:szCs w:val="20"/>
          <w:color w:val="auto"/>
        </w:rPr>
      </w:pPr>
    </w:p>
    <w:p>
      <w:pPr>
        <w:ind w:right="660" w:firstLine="374"/>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promises and the mutual promises, representations and covenants herein contained, the parties hereto agree as follows:</w:t>
      </w:r>
    </w:p>
    <w:p>
      <w:pPr>
        <w:spacing w:after="0" w:line="185" w:lineRule="exact"/>
        <w:rPr>
          <w:sz w:val="20"/>
          <w:szCs w:val="20"/>
          <w:color w:val="auto"/>
        </w:rPr>
      </w:pPr>
    </w:p>
    <w:p>
      <w:pPr>
        <w:ind w:left="1500" w:hanging="743"/>
        <w:spacing w:after="0"/>
        <w:tabs>
          <w:tab w:leader="none" w:pos="15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p>
    <w:p>
      <w:pPr>
        <w:spacing w:after="0" w:line="233" w:lineRule="exact"/>
        <w:rPr>
          <w:sz w:val="20"/>
          <w:szCs w:val="20"/>
          <w:color w:val="auto"/>
        </w:rPr>
      </w:pPr>
    </w:p>
    <w:p>
      <w:pPr>
        <w:ind w:right="540" w:firstLine="749"/>
        <w:spacing w:after="0" w:line="258" w:lineRule="auto"/>
        <w:rPr>
          <w:sz w:val="20"/>
          <w:szCs w:val="20"/>
          <w:color w:val="auto"/>
        </w:rPr>
      </w:pPr>
      <w:r>
        <w:rPr>
          <w:rFonts w:ascii="Times New Roman" w:cs="Times New Roman" w:eastAsia="Times New Roman" w:hAnsi="Times New Roman"/>
          <w:sz w:val="22"/>
          <w:szCs w:val="22"/>
          <w:color w:val="auto"/>
        </w:rPr>
        <w:t>The Company hereby employs Executive and Executive hereby accepts such employment, subject to the terms and conditions herein set forth.</w:t>
      </w:r>
    </w:p>
    <w:p>
      <w:pPr>
        <w:spacing w:after="0" w:line="185" w:lineRule="exact"/>
        <w:rPr>
          <w:sz w:val="20"/>
          <w:szCs w:val="20"/>
          <w:color w:val="auto"/>
        </w:rPr>
      </w:pPr>
    </w:p>
    <w:p>
      <w:pPr>
        <w:ind w:left="1500" w:hanging="743"/>
        <w:spacing w:after="0"/>
        <w:tabs>
          <w:tab w:leader="none" w:pos="15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p>
    <w:p>
      <w:pPr>
        <w:spacing w:after="0" w:line="233"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22"/>
          <w:szCs w:val="22"/>
          <w:color w:val="auto"/>
        </w:rPr>
        <w:t>The term of employment under this Agreement (the “Term of Employment”) shall begin on the Effective Date and shall continue until terminated by either party as hereinafter set forth.</w:t>
      </w:r>
    </w:p>
    <w:p>
      <w:pPr>
        <w:spacing w:after="0" w:line="185" w:lineRule="exact"/>
        <w:rPr>
          <w:sz w:val="20"/>
          <w:szCs w:val="20"/>
          <w:color w:val="auto"/>
        </w:rPr>
      </w:pPr>
    </w:p>
    <w:p>
      <w:pPr>
        <w:ind w:left="1500" w:hanging="743"/>
        <w:spacing w:after="0"/>
        <w:tabs>
          <w:tab w:leader="none" w:pos="15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p>
    <w:p>
      <w:pPr>
        <w:spacing w:after="0" w:line="233" w:lineRule="exact"/>
        <w:rPr>
          <w:sz w:val="20"/>
          <w:szCs w:val="20"/>
          <w:color w:val="auto"/>
        </w:rPr>
      </w:pPr>
    </w:p>
    <w:p>
      <w:pPr>
        <w:ind w:right="140" w:firstLine="757"/>
        <w:spacing w:after="0" w:line="236" w:lineRule="auto"/>
        <w:tabs>
          <w:tab w:leader="none" w:pos="130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Four Hundred Twenty-Five Thousand Dollars and 00/100 Cents ($425,000.00)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208" w:lineRule="exact"/>
        <w:rPr>
          <w:rFonts w:ascii="Times New Roman" w:cs="Times New Roman" w:eastAsia="Times New Roman" w:hAnsi="Times New Roman"/>
          <w:sz w:val="22"/>
          <w:szCs w:val="22"/>
          <w:color w:val="auto"/>
        </w:rPr>
      </w:pPr>
    </w:p>
    <w:p>
      <w:pPr>
        <w:jc w:val="both"/>
        <w:ind w:firstLine="757"/>
        <w:spacing w:after="0" w:line="249" w:lineRule="auto"/>
        <w:tabs>
          <w:tab w:leader="none" w:pos="1309"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60% of Executive’s actual annual base earnings (which shall be the total Base Salary as may be paid during the fiscal year (“Base Earnings”)). The actual award under the incentive program, if any, may be more or less than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line="259" w:lineRule="auto"/>
        <w:rPr>
          <w:sz w:val="20"/>
          <w:szCs w:val="20"/>
          <w:color w:val="auto"/>
        </w:rPr>
      </w:pPr>
      <w:r>
        <w:rPr>
          <w:rFonts w:ascii="Times New Roman" w:cs="Times New Roman" w:eastAsia="Times New Roman" w:hAnsi="Times New Roman"/>
          <w:sz w:val="22"/>
          <w:szCs w:val="22"/>
          <w:color w:val="auto"/>
        </w:rPr>
        <w:t>target and will be based on Executive’s performance and the performance of the Company and payment will be made in accordance with and subject to the terms and conditions of the incentive program then in effect.</w:t>
      </w:r>
    </w:p>
    <w:p>
      <w:pPr>
        <w:spacing w:after="0" w:line="157" w:lineRule="exact"/>
        <w:rPr>
          <w:sz w:val="20"/>
          <w:szCs w:val="20"/>
          <w:color w:val="auto"/>
        </w:rPr>
      </w:pPr>
    </w:p>
    <w:p>
      <w:pPr>
        <w:jc w:val="both"/>
        <w:ind w:firstLine="757"/>
        <w:spacing w:after="0" w:line="236" w:lineRule="auto"/>
        <w:tabs>
          <w:tab w:leader="none" w:pos="130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during the Term of Employment, Executive is eligible to participate in the Company’s Long-Term Incentive Plan, as amended (“LTIP”). Such incentive shall be determined and distributable in accordance with and subject to the terms and conditions as described in the LTIP documents in effect at the time of the award, subject to change from year-to-year in the Compensation Committee’s sole discretion. Executive will participate in the Company’s LTIP at a target incentive rate of 90% of Executive’s Base Salary in effect on the Executive’s Effective Date of Participation, for the incentive period, based upon the Company’s targeted performance as defined in the LTIP documents in effect at the time of the award.</w:t>
      </w:r>
    </w:p>
    <w:p>
      <w:pPr>
        <w:spacing w:after="0" w:line="181" w:lineRule="exact"/>
        <w:rPr>
          <w:rFonts w:ascii="Times New Roman" w:cs="Times New Roman" w:eastAsia="Times New Roman" w:hAnsi="Times New Roman"/>
          <w:sz w:val="22"/>
          <w:szCs w:val="22"/>
          <w:color w:val="auto"/>
        </w:rPr>
      </w:pPr>
    </w:p>
    <w:p>
      <w:pPr>
        <w:jc w:val="both"/>
        <w:ind w:firstLine="757"/>
        <w:spacing w:after="0" w:line="249" w:lineRule="auto"/>
        <w:tabs>
          <w:tab w:leader="none" w:pos="1309"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for the promises in Paragraph 10 below, the Company shall pay Executive a sign-on award consisting of $150,000 cash payable as of February 10, 2023 (the “Sign-on Award” and an inducement grant of $300,000 of restricted stock units of the Common Stock of DXLG (“RSUs”) on the Effective Date (the “Equity Award”). The RSUs granted in the Equity Award shall be determined based on the close price of the Company’s stock on January 26, 2023 and shall vest in three equal annual installments beginning on the first anniversary of the date of grant. Details will be provided in a formal Restricted Stock Unit Agreement. The Sign-on Award and Equity Award are subject to clawback as set forth in Paragraph 7(j).</w:t>
      </w:r>
    </w:p>
    <w:p>
      <w:pPr>
        <w:spacing w:after="0" w:line="198" w:lineRule="exact"/>
        <w:rPr>
          <w:sz w:val="20"/>
          <w:szCs w:val="20"/>
          <w:color w:val="auto"/>
        </w:rPr>
      </w:pPr>
    </w:p>
    <w:p>
      <w:pPr>
        <w:ind w:left="1500" w:hanging="743"/>
        <w:spacing w:after="0"/>
        <w:tabs>
          <w:tab w:leader="none" w:pos="15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p>
    <w:p>
      <w:pPr>
        <w:spacing w:after="0" w:line="23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04" w:lineRule="exact"/>
        <w:rPr>
          <w:sz w:val="20"/>
          <w:szCs w:val="20"/>
          <w:color w:val="auto"/>
        </w:rPr>
      </w:pPr>
    </w:p>
    <w:p>
      <w:pPr>
        <w:ind w:left="1500" w:hanging="743"/>
        <w:spacing w:after="0"/>
        <w:tabs>
          <w:tab w:leader="none" w:pos="15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p>
    <w:p>
      <w:pPr>
        <w:spacing w:after="0" w:line="206" w:lineRule="exact"/>
        <w:rPr>
          <w:sz w:val="20"/>
          <w:szCs w:val="20"/>
          <w:color w:val="auto"/>
        </w:rPr>
      </w:pPr>
    </w:p>
    <w:p>
      <w:pPr>
        <w:jc w:val="both"/>
        <w:ind w:firstLine="757"/>
        <w:spacing w:after="0" w:line="238" w:lineRule="auto"/>
        <w:tabs>
          <w:tab w:leader="none" w:pos="130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76"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be eligible to participate in the Company’s annual performance appraisal process.</w:t>
      </w:r>
    </w:p>
    <w:p>
      <w:pPr>
        <w:spacing w:after="0" w:line="233" w:lineRule="exact"/>
        <w:rPr>
          <w:sz w:val="20"/>
          <w:szCs w:val="20"/>
          <w:color w:val="auto"/>
        </w:rPr>
      </w:pPr>
    </w:p>
    <w:p>
      <w:pPr>
        <w:ind w:left="1500" w:hanging="743"/>
        <w:spacing w:after="0"/>
        <w:tabs>
          <w:tab w:leader="none" w:pos="1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p>
    <w:p>
      <w:pPr>
        <w:spacing w:after="0" w:line="206" w:lineRule="exact"/>
        <w:rPr>
          <w:sz w:val="20"/>
          <w:szCs w:val="20"/>
          <w:color w:val="auto"/>
        </w:rPr>
      </w:pPr>
    </w:p>
    <w:p>
      <w:pPr>
        <w:ind w:right="20" w:firstLine="757"/>
        <w:spacing w:after="0" w:line="258" w:lineRule="auto"/>
        <w:tabs>
          <w:tab w:leader="none" w:pos="130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perform such duties and functions consistent with the position of Chief Operating Officer and/or as the Company shall from time to time determine and Executive</w:t>
      </w:r>
    </w:p>
    <w:p>
      <w:pPr>
        <w:spacing w:after="0" w:line="1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shall comply in the performance of her duties with the policies of, and be subject to the direction of the Company.</w:t>
      </w:r>
    </w:p>
    <w:p>
      <w:pPr>
        <w:spacing w:after="0" w:line="206" w:lineRule="exact"/>
        <w:rPr>
          <w:sz w:val="20"/>
          <w:szCs w:val="20"/>
          <w:color w:val="auto"/>
        </w:rPr>
      </w:pPr>
    </w:p>
    <w:p>
      <w:pPr>
        <w:jc w:val="both"/>
        <w:ind w:firstLine="757"/>
        <w:spacing w:after="0" w:line="236" w:lineRule="auto"/>
        <w:tabs>
          <w:tab w:leader="none" w:pos="130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Executive shall devote substantially all of her time and attention, vacation time and absences for sickness excepted, to the business of the Company, as necessary to fulfill her duties. Executive shall perform the duties assigned to her with fidelity and to the best of her ability. Notwithstanding anything herein to the contrary, and subject to the foregoing and review by the Company’s Board of Directors, Executive shall not be prevented from accepting positions in outside organizations so long as such activities do not interfere with Executive's performance of her duties hereunder and do not violate paragraph 10 hereof.</w:t>
      </w:r>
    </w:p>
    <w:p>
      <w:pPr>
        <w:spacing w:after="0" w:line="181" w:lineRule="exact"/>
        <w:rPr>
          <w:rFonts w:ascii="Times New Roman" w:cs="Times New Roman" w:eastAsia="Times New Roman" w:hAnsi="Times New Roman"/>
          <w:sz w:val="22"/>
          <w:szCs w:val="22"/>
          <w:color w:val="auto"/>
        </w:rPr>
      </w:pPr>
    </w:p>
    <w:p>
      <w:pPr>
        <w:ind w:right="20" w:firstLine="757"/>
        <w:spacing w:after="0" w:line="238" w:lineRule="auto"/>
        <w:tabs>
          <w:tab w:leader="none" w:pos="130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location at which the Executive shall perform her duties hereunder shall be in New York City, NY or at such other location as may be designated from time to time by the Company. Executive is expected to be present in the Company’s home office in Canton, MA frequently and such trips to Canton, MA shall be expensed in accordance with Paragraph 4 above. Notwithstanding the foregoing, Executive shall perform such services at such other locations as may be required for the proper performance of her duties hereunder, and Executive recognizes that such duties may involve travel.</w:t>
      </w:r>
    </w:p>
    <w:p>
      <w:pPr>
        <w:spacing w:after="0" w:line="204" w:lineRule="exact"/>
        <w:rPr>
          <w:sz w:val="20"/>
          <w:szCs w:val="20"/>
          <w:color w:val="auto"/>
        </w:rPr>
      </w:pPr>
    </w:p>
    <w:p>
      <w:pPr>
        <w:ind w:left="1500" w:hanging="743"/>
        <w:spacing w:after="0"/>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EFFECT OF TERMINATION</w:t>
      </w:r>
    </w:p>
    <w:p>
      <w:pPr>
        <w:spacing w:after="0" w:line="233" w:lineRule="exact"/>
        <w:rPr>
          <w:sz w:val="20"/>
          <w:szCs w:val="20"/>
          <w:color w:val="auto"/>
        </w:rPr>
      </w:pPr>
    </w:p>
    <w:p>
      <w:pPr>
        <w:ind w:left="1320" w:hanging="563"/>
        <w:spacing w:after="0"/>
        <w:tabs>
          <w:tab w:leader="none" w:pos="13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Employment may be terminated by the Company at any time:</w:t>
      </w:r>
    </w:p>
    <w:p>
      <w:pPr>
        <w:spacing w:after="0" w:line="23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57"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determination by the Company that Executive's performance of her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207"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determination of the Company that there is justifiable cause (as hereinafter defined) for such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w:t>
      </w:r>
    </w:p>
    <w:p>
      <w:pPr>
        <w:spacing w:after="0" w:line="209"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Employment shall terminate upon:</w:t>
      </w:r>
    </w:p>
    <w:p>
      <w:pPr>
        <w:spacing w:after="0" w:line="206"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death of Executive;</w:t>
      </w:r>
    </w:p>
    <w:p>
      <w:pPr>
        <w:spacing w:after="0" w:line="206" w:lineRule="exact"/>
        <w:rPr>
          <w:rFonts w:ascii="Times New Roman" w:cs="Times New Roman" w:eastAsia="Times New Roman" w:hAnsi="Times New Roman"/>
          <w:sz w:val="22"/>
          <w:szCs w:val="22"/>
          <w:color w:val="auto"/>
        </w:rPr>
      </w:pPr>
    </w:p>
    <w:p>
      <w:pPr>
        <w:ind w:right="100" w:firstLine="1505"/>
        <w:spacing w:after="0" w:line="258" w:lineRule="auto"/>
        <w:tabs>
          <w:tab w:leader="none" w:pos="2057"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Company elects to terminate the Term of Employment by reason of the "disability" of Executive (as hereinafter defined in subsection (c) herein) pursuant to subsection (g) hereof; or</w:t>
      </w:r>
    </w:p>
    <w:p>
      <w:pPr>
        <w:spacing w:after="0" w:line="158"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resignation of employment.</w:t>
      </w:r>
    </w:p>
    <w:p>
      <w:pPr>
        <w:spacing w:after="0" w:line="233" w:lineRule="exact"/>
        <w:rPr>
          <w:rFonts w:ascii="Times New Roman" w:cs="Times New Roman" w:eastAsia="Times New Roman" w:hAnsi="Times New Roman"/>
          <w:sz w:val="22"/>
          <w:szCs w:val="22"/>
          <w:color w:val="auto"/>
        </w:rPr>
      </w:pPr>
    </w:p>
    <w:p>
      <w:pPr>
        <w:jc w:val="both"/>
        <w:ind w:firstLine="757"/>
        <w:spacing w:after="0" w:line="244" w:lineRule="auto"/>
        <w:tabs>
          <w:tab w:leader="none" w:pos="130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30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hereof, the term "justifiable cause" shall mean: any failure or refusal to perform any of the duties pursuant to this Agreement or any breach of this Agreement</w:t>
      </w:r>
    </w:p>
    <w:p>
      <w:pPr>
        <w:spacing w:after="0" w:line="1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 w:name="page8"/>
    <w:bookmarkEnd w:id="7"/>
    <w:p>
      <w:pPr>
        <w:jc w:val="both"/>
        <w:spacing w:after="0" w:line="233" w:lineRule="auto"/>
        <w:rPr>
          <w:sz w:val="20"/>
          <w:szCs w:val="20"/>
          <w:color w:val="auto"/>
        </w:rPr>
      </w:pPr>
      <w:r>
        <w:rPr>
          <w:rFonts w:ascii="Times New Roman" w:cs="Times New Roman" w:eastAsia="Times New Roman" w:hAnsi="Times New Roman"/>
          <w:sz w:val="22"/>
          <w:szCs w:val="22"/>
          <w:color w:val="auto"/>
        </w:rPr>
        <w:t>by the Executive; Executive’s breach of any material written policies, rules or regulations which have been adopted by the Company; Executive’s repeated failure to perform her duties in a satisfactory manner; Executive's performance of any act or her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her duties hereunder. Upon termination of Executive's employment for justifiable cause, Executive shall not be entitled to any amounts or benefits hereunder other than such portion of Executive's Base Salary and reimbursement of expenses pursuant to paragraph 4 hereof as have been accrued through the date of her termination of employment.</w:t>
      </w:r>
    </w:p>
    <w:p>
      <w:pPr>
        <w:spacing w:after="0" w:line="187" w:lineRule="exact"/>
        <w:rPr>
          <w:sz w:val="20"/>
          <w:szCs w:val="20"/>
          <w:color w:val="auto"/>
        </w:rPr>
      </w:pPr>
    </w:p>
    <w:p>
      <w:pPr>
        <w:jc w:val="both"/>
        <w:ind w:firstLine="757"/>
        <w:spacing w:after="0" w:line="233" w:lineRule="auto"/>
        <w:tabs>
          <w:tab w:leader="none" w:pos="130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terminates this Agreement without "justifiable cause" as provided in subsection 7(a)(i), the Company shall pay Executive her then current Base Salary for six months (that is, the one month notice period referenced in Paragraph 7(a)(i) and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substantially in the form attached hereto as Exhibit A or such other form that is acceptable to the Company, in its sole discretion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(or such longer period as may be authorized by the Company or otherwise required by applicable law) after termination of the Term of Employment (and the Executive’s not revoking that General Release) and will be in lieu of payments to which Executive might have been entitled under any other severance plan of the Company.</w:t>
      </w:r>
    </w:p>
    <w:p>
      <w:pPr>
        <w:spacing w:after="0" w:line="184" w:lineRule="exact"/>
        <w:rPr>
          <w:rFonts w:ascii="Times New Roman" w:cs="Times New Roman" w:eastAsia="Times New Roman" w:hAnsi="Times New Roman"/>
          <w:sz w:val="22"/>
          <w:szCs w:val="22"/>
          <w:color w:val="auto"/>
        </w:rPr>
      </w:pPr>
    </w:p>
    <w:p>
      <w:pPr>
        <w:jc w:val="both"/>
        <w:ind w:firstLine="757"/>
        <w:spacing w:after="0" w:line="244" w:lineRule="auto"/>
        <w:tabs>
          <w:tab w:leader="none" w:pos="185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shall die during the term of her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her death.</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30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she begins to receive long-term disability insurance benefits under the policy provided by the Company pursuant to paragraph 5 hereof.</w:t>
      </w:r>
    </w:p>
    <w:p>
      <w:pPr>
        <w:spacing w:after="0" w:line="180" w:lineRule="exact"/>
        <w:rPr>
          <w:rFonts w:ascii="Times New Roman" w:cs="Times New Roman" w:eastAsia="Times New Roman" w:hAnsi="Times New Roman"/>
          <w:sz w:val="22"/>
          <w:szCs w:val="22"/>
          <w:color w:val="auto"/>
        </w:rPr>
      </w:pPr>
    </w:p>
    <w:p>
      <w:pPr>
        <w:ind w:right="260" w:firstLine="757"/>
        <w:spacing w:after="0" w:line="239" w:lineRule="auto"/>
        <w:tabs>
          <w:tab w:leader="none" w:pos="130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she shall be entitled only to receive such portion of her annual Base Salary and reimbursement of expenses pursuant to paragraph 4 as have been accrued through the date of her resignation.</w:t>
      </w:r>
    </w:p>
    <w:p>
      <w:pPr>
        <w:spacing w:after="0" w:line="18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ind w:firstLine="757"/>
        <w:spacing w:after="0" w:line="243" w:lineRule="auto"/>
        <w:tabs>
          <w:tab w:leader="none" w:pos="179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2016 Incentive Compensation Plan (without regard to any subsequent amendments thereto). For purposes of the foregoing, </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i w:val="1"/>
          <w:iCs w:val="1"/>
          <w:color w:val="auto"/>
        </w:rPr>
        <w:t>Good Reason”</w:t>
      </w:r>
      <w:r>
        <w:rPr>
          <w:rFonts w:ascii="Times New Roman" w:cs="Times New Roman" w:eastAsia="Times New Roman" w:hAnsi="Times New Roman"/>
          <w:sz w:val="21"/>
          <w:szCs w:val="21"/>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7(i)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87" w:lineRule="exact"/>
        <w:rPr>
          <w:rFonts w:ascii="Times New Roman" w:cs="Times New Roman" w:eastAsia="Times New Roman" w:hAnsi="Times New Roman"/>
          <w:sz w:val="21"/>
          <w:szCs w:val="21"/>
          <w:color w:val="auto"/>
        </w:rPr>
      </w:pPr>
    </w:p>
    <w:p>
      <w:pPr>
        <w:ind w:left="1740" w:hanging="983"/>
        <w:spacing w:after="0"/>
        <w:tabs>
          <w:tab w:leader="none" w:pos="17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Clawback of Certain Compensation and Benefits.</w:t>
      </w:r>
    </w:p>
    <w:p>
      <w:pPr>
        <w:spacing w:after="0" w:line="206" w:lineRule="exact"/>
        <w:rPr>
          <w:rFonts w:ascii="Times New Roman" w:cs="Times New Roman" w:eastAsia="Times New Roman" w:hAnsi="Times New Roman"/>
          <w:sz w:val="22"/>
          <w:szCs w:val="22"/>
          <w:color w:val="auto"/>
        </w:rPr>
      </w:pPr>
    </w:p>
    <w:p>
      <w:pPr>
        <w:ind w:right="220" w:firstLine="1505"/>
        <w:spacing w:after="0" w:line="244" w:lineRule="auto"/>
        <w:tabs>
          <w:tab w:leader="none" w:pos="211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Term of Employment is terminated by Executive (other than for Good Reason) prior to January 27, 2024, Executive shall reimburse the Company the dollar amount of the Sign-on Award within thirty (30) days following Executive’s termination of employment.</w:t>
      </w:r>
    </w:p>
    <w:p>
      <w:pPr>
        <w:spacing w:after="0" w:line="173"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termination of the Term of Employment for any reason other than by the Company for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“justifiable cause”:</w:t>
      </w:r>
    </w:p>
    <w:p>
      <w:pPr>
        <w:spacing w:after="0" w:line="182" w:lineRule="exact"/>
        <w:rPr>
          <w:rFonts w:ascii="Times New Roman" w:cs="Times New Roman" w:eastAsia="Times New Roman" w:hAnsi="Times New Roman"/>
          <w:sz w:val="22"/>
          <w:szCs w:val="22"/>
          <w:color w:val="auto"/>
        </w:rPr>
      </w:pPr>
    </w:p>
    <w:p>
      <w:pPr>
        <w:jc w:val="both"/>
        <w:ind w:firstLine="2254"/>
        <w:spacing w:after="0" w:line="238" w:lineRule="auto"/>
        <w:tabs>
          <w:tab w:leader="none" w:pos="2988"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76" w:lineRule="exact"/>
        <w:rPr>
          <w:rFonts w:ascii="Times New Roman" w:cs="Times New Roman" w:eastAsia="Times New Roman" w:hAnsi="Times New Roman"/>
          <w:sz w:val="22"/>
          <w:szCs w:val="22"/>
          <w:color w:val="auto"/>
        </w:rPr>
      </w:pPr>
    </w:p>
    <w:p>
      <w:pPr>
        <w:jc w:val="both"/>
        <w:ind w:firstLine="2254"/>
        <w:spacing w:after="0" w:line="239" w:lineRule="auto"/>
        <w:tabs>
          <w:tab w:leader="none" w:pos="3029"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8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 w:name="page10"/>
    <w:bookmarkEnd w:id="9"/>
    <w:p>
      <w:pPr>
        <w:jc w:val="both"/>
        <w:ind w:left="-20" w:firstLine="3003"/>
        <w:spacing w:after="0" w:line="235" w:lineRule="auto"/>
        <w:tabs>
          <w:tab w:leader="none" w:pos="3535"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83" w:lineRule="exact"/>
        <w:rPr>
          <w:rFonts w:ascii="Times New Roman" w:cs="Times New Roman" w:eastAsia="Times New Roman" w:hAnsi="Times New Roman"/>
          <w:sz w:val="22"/>
          <w:szCs w:val="22"/>
          <w:color w:val="auto"/>
        </w:rPr>
      </w:pPr>
    </w:p>
    <w:p>
      <w:pPr>
        <w:ind w:left="-20" w:firstLine="3003"/>
        <w:spacing w:after="0" w:line="258" w:lineRule="auto"/>
        <w:tabs>
          <w:tab w:leader="none" w:pos="3535"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vested and unvested Awards (as that term is defined in the 2016 Incentive Compensation Plan) then held by the Executive shall immediately expire; and</w:t>
      </w:r>
    </w:p>
    <w:p>
      <w:pPr>
        <w:spacing w:after="0" w:line="158" w:lineRule="exact"/>
        <w:rPr>
          <w:rFonts w:ascii="Times New Roman" w:cs="Times New Roman" w:eastAsia="Times New Roman" w:hAnsi="Times New Roman"/>
          <w:sz w:val="22"/>
          <w:szCs w:val="22"/>
          <w:color w:val="auto"/>
        </w:rPr>
      </w:pPr>
    </w:p>
    <w:p>
      <w:pPr>
        <w:jc w:val="both"/>
        <w:ind w:left="-20" w:firstLine="3003"/>
        <w:spacing w:after="0" w:line="234" w:lineRule="auto"/>
        <w:tabs>
          <w:tab w:leader="none" w:pos="3535"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required to pay to the Company, immediately upon written demand by the Company, an amount equal to any Gains resulting from the exercise or payment of any Awards (as that term is defined in the 2016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79" w:lineRule="exact"/>
        <w:rPr>
          <w:rFonts w:ascii="Times New Roman" w:cs="Times New Roman" w:eastAsia="Times New Roman" w:hAnsi="Times New Roman"/>
          <w:sz w:val="22"/>
          <w:szCs w:val="22"/>
          <w:color w:val="auto"/>
        </w:rPr>
      </w:pPr>
    </w:p>
    <w:p>
      <w:pPr>
        <w:ind w:left="-20" w:right="100" w:firstLine="757"/>
        <w:spacing w:after="0" w:line="244" w:lineRule="auto"/>
        <w:tabs>
          <w:tab w:leader="none" w:pos="128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pursuant to paragraph 7(e) or 7(i) shall be contingent upon Executive’s execution of the General Release within 21 days after termination of the Term of Employment (or such longer time as may be authorized by the Company or otherwise required by applicable law), and the Executive’s not revoking that release.</w:t>
      </w:r>
    </w:p>
    <w:p>
      <w:pPr>
        <w:spacing w:after="0" w:line="173" w:lineRule="exact"/>
        <w:rPr>
          <w:sz w:val="20"/>
          <w:szCs w:val="20"/>
          <w:color w:val="auto"/>
        </w:rPr>
      </w:pPr>
    </w:p>
    <w:p>
      <w:pPr>
        <w:ind w:left="1480" w:hanging="743"/>
        <w:spacing w:after="0"/>
        <w:tabs>
          <w:tab w:leader="none" w:pos="14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p>
    <w:p>
      <w:pPr>
        <w:spacing w:after="0" w:line="206" w:lineRule="exact"/>
        <w:rPr>
          <w:sz w:val="20"/>
          <w:szCs w:val="20"/>
          <w:color w:val="auto"/>
        </w:rPr>
      </w:pPr>
    </w:p>
    <w:p>
      <w:pPr>
        <w:jc w:val="both"/>
        <w:ind w:left="-20" w:firstLine="757"/>
        <w:spacing w:after="0" w:line="235" w:lineRule="auto"/>
        <w:tabs>
          <w:tab w:leader="none" w:pos="128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83" w:lineRule="exact"/>
        <w:rPr>
          <w:rFonts w:ascii="Times New Roman" w:cs="Times New Roman" w:eastAsia="Times New Roman" w:hAnsi="Times New Roman"/>
          <w:sz w:val="22"/>
          <w:szCs w:val="22"/>
          <w:color w:val="auto"/>
        </w:rPr>
      </w:pPr>
    </w:p>
    <w:p>
      <w:pPr>
        <w:jc w:val="both"/>
        <w:ind w:left="-20" w:firstLine="757"/>
        <w:spacing w:after="0" w:line="244" w:lineRule="auto"/>
        <w:tabs>
          <w:tab w:leader="none" w:pos="128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7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20" w:right="339" w:bottom="1440" w:gutter="0" w:footer="0" w:header="0"/>
        </w:sectPr>
      </w:pPr>
    </w:p>
    <w:bookmarkStart w:id="10" w:name="page11"/>
    <w:bookmarkEnd w:id="10"/>
    <w:p>
      <w:pPr>
        <w:ind w:left="1300" w:hanging="563"/>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Month Delay for “Specified Employees”.</w:t>
      </w:r>
    </w:p>
    <w:p>
      <w:pPr>
        <w:spacing w:after="0" w:line="206" w:lineRule="exact"/>
        <w:rPr>
          <w:rFonts w:ascii="Times New Roman" w:cs="Times New Roman" w:eastAsia="Times New Roman" w:hAnsi="Times New Roman"/>
          <w:sz w:val="22"/>
          <w:szCs w:val="22"/>
          <w:color w:val="auto"/>
        </w:rPr>
      </w:pPr>
    </w:p>
    <w:p>
      <w:pPr>
        <w:ind w:left="-20" w:firstLine="1505"/>
        <w:spacing w:after="0" w:line="246" w:lineRule="auto"/>
        <w:tabs>
          <w:tab w:leader="none" w:pos="2037"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75" w:lineRule="exact"/>
        <w:rPr>
          <w:rFonts w:ascii="Times New Roman" w:cs="Times New Roman" w:eastAsia="Times New Roman" w:hAnsi="Times New Roman"/>
          <w:sz w:val="21"/>
          <w:szCs w:val="21"/>
          <w:color w:val="auto"/>
        </w:rPr>
      </w:pPr>
    </w:p>
    <w:p>
      <w:pPr>
        <w:jc w:val="both"/>
        <w:ind w:left="-20" w:firstLine="1505"/>
        <w:spacing w:after="0" w:line="239" w:lineRule="auto"/>
        <w:tabs>
          <w:tab w:leader="none" w:pos="203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provision, the Executive shall be considered to be a “specified employee” if, at the time of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80" w:lineRule="exact"/>
        <w:rPr>
          <w:rFonts w:ascii="Times New Roman" w:cs="Times New Roman" w:eastAsia="Times New Roman" w:hAnsi="Times New Roman"/>
          <w:sz w:val="22"/>
          <w:szCs w:val="22"/>
          <w:color w:val="auto"/>
        </w:rPr>
      </w:pPr>
    </w:p>
    <w:p>
      <w:pPr>
        <w:ind w:left="-20" w:right="120" w:firstLine="757"/>
        <w:spacing w:after="0" w:line="239" w:lineRule="auto"/>
        <w:tabs>
          <w:tab w:leader="none" w:pos="128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0" w:lineRule="exact"/>
        <w:rPr>
          <w:rFonts w:ascii="Times New Roman" w:cs="Times New Roman" w:eastAsia="Times New Roman" w:hAnsi="Times New Roman"/>
          <w:sz w:val="22"/>
          <w:szCs w:val="22"/>
          <w:color w:val="auto"/>
        </w:rPr>
      </w:pPr>
    </w:p>
    <w:p>
      <w:pPr>
        <w:ind w:left="-20" w:right="60" w:firstLine="757"/>
        <w:spacing w:after="0" w:line="239" w:lineRule="auto"/>
        <w:tabs>
          <w:tab w:leader="none" w:pos="128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80" w:lineRule="exact"/>
        <w:rPr>
          <w:rFonts w:ascii="Times New Roman" w:cs="Times New Roman" w:eastAsia="Times New Roman" w:hAnsi="Times New Roman"/>
          <w:sz w:val="22"/>
          <w:szCs w:val="22"/>
          <w:color w:val="auto"/>
        </w:rPr>
      </w:pPr>
    </w:p>
    <w:p>
      <w:pPr>
        <w:ind w:left="1720" w:hanging="983"/>
        <w:spacing w:after="0"/>
        <w:tabs>
          <w:tab w:leader="none" w:pos="17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Taxable Reimbursements.</w:t>
      </w:r>
    </w:p>
    <w:p>
      <w:pPr>
        <w:spacing w:after="0" w:line="206" w:lineRule="exact"/>
        <w:rPr>
          <w:rFonts w:ascii="Times New Roman" w:cs="Times New Roman" w:eastAsia="Times New Roman" w:hAnsi="Times New Roman"/>
          <w:sz w:val="22"/>
          <w:szCs w:val="22"/>
          <w:color w:val="auto"/>
        </w:rPr>
      </w:pPr>
    </w:p>
    <w:p>
      <w:pPr>
        <w:ind w:left="-20" w:right="220" w:firstLine="1505"/>
        <w:spacing w:after="0" w:line="239" w:lineRule="auto"/>
        <w:tabs>
          <w:tab w:leader="none" w:pos="203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80" w:lineRule="exact"/>
        <w:rPr>
          <w:rFonts w:ascii="Times New Roman" w:cs="Times New Roman" w:eastAsia="Times New Roman" w:hAnsi="Times New Roman"/>
          <w:sz w:val="22"/>
          <w:szCs w:val="22"/>
          <w:color w:val="auto"/>
        </w:rPr>
      </w:pPr>
    </w:p>
    <w:p>
      <w:pPr>
        <w:jc w:val="both"/>
        <w:ind w:left="-20" w:right="200" w:firstLine="1505"/>
        <w:spacing w:after="0" w:line="282" w:lineRule="auto"/>
        <w:tabs>
          <w:tab w:leader="none" w:pos="2037"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4" w:lineRule="exact"/>
        <w:rPr>
          <w:rFonts w:ascii="Times New Roman" w:cs="Times New Roman" w:eastAsia="Times New Roman" w:hAnsi="Times New Roman"/>
          <w:sz w:val="21"/>
          <w:szCs w:val="21"/>
          <w:color w:val="auto"/>
        </w:rPr>
      </w:pPr>
    </w:p>
    <w:p>
      <w:pPr>
        <w:ind w:left="2040" w:hanging="555"/>
        <w:spacing w:after="0"/>
        <w:tabs>
          <w:tab w:leader="none" w:pos="204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 to Taxable Reimbursements shall not be subject to liquidation or exchange for another benefit.</w:t>
      </w: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8" w:right="339" w:bottom="1440" w:gutter="0" w:footer="0" w:header="0"/>
        </w:sectPr>
      </w:pPr>
    </w:p>
    <w:bookmarkStart w:id="11" w:name="page12"/>
    <w:bookmarkEnd w:id="11"/>
    <w:p>
      <w:pPr>
        <w:ind w:left="1500" w:hanging="743"/>
        <w:spacing w:after="0"/>
        <w:tabs>
          <w:tab w:leader="none" w:pos="15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AND AGREEMENTS OF EXECUTIVE</w:t>
      </w:r>
    </w:p>
    <w:p>
      <w:pPr>
        <w:spacing w:after="0" w:line="206" w:lineRule="exact"/>
        <w:rPr>
          <w:sz w:val="20"/>
          <w:szCs w:val="20"/>
          <w:color w:val="auto"/>
        </w:rPr>
      </w:pPr>
    </w:p>
    <w:p>
      <w:pPr>
        <w:jc w:val="both"/>
        <w:ind w:firstLine="757"/>
        <w:spacing w:after="0" w:line="244" w:lineRule="auto"/>
        <w:tabs>
          <w:tab w:leader="none" w:pos="130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she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173" w:lineRule="exact"/>
        <w:rPr>
          <w:rFonts w:ascii="Times New Roman" w:cs="Times New Roman" w:eastAsia="Times New Roman" w:hAnsi="Times New Roman"/>
          <w:sz w:val="22"/>
          <w:szCs w:val="22"/>
          <w:color w:val="auto"/>
        </w:rPr>
      </w:pPr>
    </w:p>
    <w:p>
      <w:pPr>
        <w:ind w:right="220" w:firstLine="757"/>
        <w:spacing w:after="0" w:line="261" w:lineRule="auto"/>
        <w:tabs>
          <w:tab w:leader="none" w:pos="130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57" w:lineRule="exact"/>
        <w:rPr>
          <w:rFonts w:ascii="Times New Roman" w:cs="Times New Roman" w:eastAsia="Times New Roman" w:hAnsi="Times New Roman"/>
          <w:sz w:val="21"/>
          <w:szCs w:val="21"/>
          <w:color w:val="auto"/>
        </w:rPr>
      </w:pPr>
    </w:p>
    <w:p>
      <w:pPr>
        <w:jc w:val="both"/>
        <w:ind w:right="60" w:firstLine="757"/>
        <w:spacing w:after="0" w:line="244" w:lineRule="auto"/>
        <w:tabs>
          <w:tab w:leader="none" w:pos="130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she has never been convicted of a felony and she has not been convicted or incarcerated for a misdemeanor within the past five years, other than a first conviction for drunkenness, simple assault, speeding, minor traffic violations, affray, or disturbance of the peace.</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30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she has never been a party to any judicial or administrative proceeding that resulted in a judgment, decree, or final order (i) enjoining her from future violations of, or prohibiting any violations of any federal or state securities law, or (ii) finding any violations of any federal or state securities law.</w:t>
      </w:r>
    </w:p>
    <w:p>
      <w:pPr>
        <w:spacing w:after="0" w:line="173"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she has never been accused of any impropriety in connection with any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w:t>
      </w:r>
    </w:p>
    <w:p>
      <w:pPr>
        <w:spacing w:after="0" w:line="20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Any breach of any of the above representations and warranties is "justifiable cause" for termination under paragraph 7(d) of this Agreement.</w:t>
      </w:r>
    </w:p>
    <w:p>
      <w:pPr>
        <w:spacing w:after="0" w:line="185" w:lineRule="exact"/>
        <w:rPr>
          <w:sz w:val="20"/>
          <w:szCs w:val="20"/>
          <w:color w:val="auto"/>
        </w:rPr>
      </w:pPr>
    </w:p>
    <w:p>
      <w:pPr>
        <w:ind w:left="1500" w:hanging="743"/>
        <w:spacing w:after="0"/>
        <w:tabs>
          <w:tab w:leader="none" w:pos="15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p>
    <w:p>
      <w:pPr>
        <w:spacing w:after="0" w:line="206" w:lineRule="exact"/>
        <w:rPr>
          <w:sz w:val="20"/>
          <w:szCs w:val="20"/>
          <w:color w:val="auto"/>
        </w:rPr>
      </w:pPr>
    </w:p>
    <w:p>
      <w:pPr>
        <w:ind w:right="20" w:firstLine="757"/>
        <w:spacing w:after="0" w:line="244" w:lineRule="auto"/>
        <w:tabs>
          <w:tab w:leader="none" w:pos="1309"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consideration for the Sign-On Award, the Equity Award referenced in Paragraph 3(d), and the potential to receive additional compensation pursuant to paragraph 7(a)(i) and 7(e) above,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w:t>
      </w:r>
      <w:r>
        <w:rPr>
          <w:rFonts w:ascii="Times New Roman" w:cs="Times New Roman" w:eastAsia="Times New Roman" w:hAnsi="Times New Roman"/>
          <w:sz w:val="21"/>
          <w:szCs w:val="21"/>
          <w:color w:val="333333"/>
        </w:rPr>
        <w:t>in which the Executive provided services or had a material presence or influence on behalf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333333"/>
        </w:rPr>
        <w:t>the Company, whether in the United States, Canada, Europe or elsewhere during the two years prior to Executive’s separation from the Company</w:t>
      </w:r>
      <w:r>
        <w:rPr>
          <w:rFonts w:ascii="Times New Roman" w:cs="Times New Roman" w:eastAsia="Times New Roman" w:hAnsi="Times New Roman"/>
          <w:sz w:val="21"/>
          <w:szCs w:val="21"/>
          <w:color w:val="000000"/>
        </w:rPr>
        <w:t>; provided, however, that Executive may own any securities of any corporation which is engaged in such</w:t>
      </w:r>
      <w:r>
        <w:rPr>
          <w:rFonts w:ascii="Times New Roman" w:cs="Times New Roman" w:eastAsia="Times New Roman" w:hAnsi="Times New Roman"/>
          <w:sz w:val="21"/>
          <w:szCs w:val="21"/>
          <w:color w:val="333333"/>
        </w:rPr>
        <w:t xml:space="preserve"> </w:t>
      </w:r>
      <w:r>
        <w:rPr>
          <w:rFonts w:ascii="Times New Roman" w:cs="Times New Roman" w:eastAsia="Times New Roman" w:hAnsi="Times New Roman"/>
          <w:sz w:val="21"/>
          <w:szCs w:val="21"/>
          <w:color w:val="000000"/>
        </w:rPr>
        <w:t>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w:t>
      </w:r>
    </w:p>
    <w:p>
      <w:pPr>
        <w:spacing w:after="0" w:line="18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ind w:right="140"/>
        <w:spacing w:after="0" w:line="244" w:lineRule="auto"/>
        <w:rPr>
          <w:sz w:val="20"/>
          <w:szCs w:val="20"/>
          <w:color w:val="auto"/>
        </w:rPr>
      </w:pPr>
      <w:r>
        <w:rPr>
          <w:rFonts w:ascii="Times New Roman" w:cs="Times New Roman" w:eastAsia="Times New Roman" w:hAnsi="Times New Roman"/>
          <w:sz w:val="22"/>
          <w:szCs w:val="22"/>
          <w:color w:val="auto"/>
        </w:rPr>
        <w:t>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73" w:lineRule="exact"/>
        <w:rPr>
          <w:sz w:val="20"/>
          <w:szCs w:val="20"/>
          <w:color w:val="auto"/>
        </w:rPr>
      </w:pPr>
    </w:p>
    <w:p>
      <w:pPr>
        <w:ind w:right="120" w:firstLine="757"/>
        <w:spacing w:after="0" w:line="236" w:lineRule="auto"/>
        <w:tabs>
          <w:tab w:leader="none" w:pos="130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81" w:lineRule="exact"/>
        <w:rPr>
          <w:rFonts w:ascii="Times New Roman" w:cs="Times New Roman" w:eastAsia="Times New Roman" w:hAnsi="Times New Roman"/>
          <w:sz w:val="22"/>
          <w:szCs w:val="22"/>
          <w:color w:val="auto"/>
        </w:rPr>
      </w:pPr>
    </w:p>
    <w:p>
      <w:pPr>
        <w:ind w:right="40" w:firstLine="757"/>
        <w:spacing w:after="0" w:line="236" w:lineRule="auto"/>
        <w:tabs>
          <w:tab w:leader="none" w:pos="130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81" w:lineRule="exact"/>
        <w:rPr>
          <w:rFonts w:ascii="Times New Roman" w:cs="Times New Roman" w:eastAsia="Times New Roman" w:hAnsi="Times New Roman"/>
          <w:sz w:val="22"/>
          <w:szCs w:val="22"/>
          <w:color w:val="auto"/>
        </w:rPr>
      </w:pPr>
    </w:p>
    <w:p>
      <w:pPr>
        <w:ind w:right="80" w:firstLine="757"/>
        <w:spacing w:after="0" w:line="238" w:lineRule="auto"/>
        <w:tabs>
          <w:tab w:leader="none" w:pos="130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4" w:lineRule="exact"/>
        <w:rPr>
          <w:sz w:val="20"/>
          <w:szCs w:val="20"/>
          <w:color w:val="auto"/>
        </w:rPr>
      </w:pPr>
    </w:p>
    <w:p>
      <w:pPr>
        <w:ind w:left="1500" w:hanging="743"/>
        <w:spacing w:after="0"/>
        <w:tabs>
          <w:tab w:leader="none" w:pos="15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INVENTIONS AND DISCOVERIES</w:t>
      </w:r>
    </w:p>
    <w:p>
      <w:pPr>
        <w:spacing w:after="0" w:line="206" w:lineRule="exact"/>
        <w:rPr>
          <w:sz w:val="20"/>
          <w:szCs w:val="20"/>
          <w:color w:val="auto"/>
        </w:rPr>
      </w:pPr>
    </w:p>
    <w:p>
      <w:pPr>
        <w:ind w:firstLine="757"/>
        <w:spacing w:after="0" w:line="235" w:lineRule="auto"/>
        <w:tabs>
          <w:tab w:leader="none" w:pos="130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her as a consequence of her employment or the rendering of advisory and consulting services hereunder (collectively the "Subject Matter").</w:t>
      </w:r>
    </w:p>
    <w:p>
      <w:pPr>
        <w:spacing w:after="0" w:line="178" w:lineRule="exact"/>
        <w:rPr>
          <w:rFonts w:ascii="Times New Roman" w:cs="Times New Roman" w:eastAsia="Times New Roman" w:hAnsi="Times New Roman"/>
          <w:sz w:val="22"/>
          <w:szCs w:val="22"/>
          <w:color w:val="auto"/>
        </w:rPr>
      </w:pPr>
    </w:p>
    <w:p>
      <w:pPr>
        <w:ind w:right="160" w:firstLine="757"/>
        <w:spacing w:after="0" w:line="238" w:lineRule="auto"/>
        <w:tabs>
          <w:tab w:leader="none" w:pos="130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w:t>
      </w:r>
    </w:p>
    <w:p>
      <w:pPr>
        <w:spacing w:after="0" w:line="17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p>
      <w:pPr>
        <w:ind w:right="60"/>
        <w:spacing w:after="0" w:line="238" w:lineRule="auto"/>
        <w:rPr>
          <w:sz w:val="20"/>
          <w:szCs w:val="20"/>
          <w:color w:val="auto"/>
        </w:rPr>
      </w:pPr>
      <w:r>
        <w:rPr>
          <w:rFonts w:ascii="Times New Roman" w:cs="Times New Roman" w:eastAsia="Times New Roman" w:hAnsi="Times New Roman"/>
          <w:sz w:val="22"/>
          <w:szCs w:val="22"/>
          <w:color w:val="auto"/>
        </w:rPr>
        <w:t>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04" w:lineRule="exact"/>
        <w:rPr>
          <w:sz w:val="20"/>
          <w:szCs w:val="20"/>
          <w:color w:val="auto"/>
        </w:rPr>
      </w:pPr>
    </w:p>
    <w:p>
      <w:pPr>
        <w:ind w:left="1500" w:hanging="743"/>
        <w:spacing w:after="0"/>
        <w:tabs>
          <w:tab w:leader="none" w:pos="15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 OF CONFIDENTIAL INFORMATION</w:t>
      </w:r>
    </w:p>
    <w:p>
      <w:pPr>
        <w:spacing w:after="0" w:line="206" w:lineRule="exact"/>
        <w:rPr>
          <w:sz w:val="20"/>
          <w:szCs w:val="20"/>
          <w:color w:val="auto"/>
        </w:rPr>
      </w:pPr>
    </w:p>
    <w:p>
      <w:pPr>
        <w:ind w:firstLine="757"/>
        <w:spacing w:after="0" w:line="243" w:lineRule="auto"/>
        <w:tabs>
          <w:tab w:leader="none" w:pos="130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that the Company possesses certain confidential and propriety information that has been or may be revealed to,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her during the course of, or as an incident to, her employment or the rendering of her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employee compensation and benefits information,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88" w:lineRule="exact"/>
        <w:rPr>
          <w:rFonts w:ascii="Times New Roman" w:cs="Times New Roman" w:eastAsia="Times New Roman" w:hAnsi="Times New Roman"/>
          <w:sz w:val="21"/>
          <w:szCs w:val="21"/>
          <w:color w:val="auto"/>
        </w:rPr>
      </w:pPr>
    </w:p>
    <w:p>
      <w:pPr>
        <w:ind w:right="60" w:firstLine="757"/>
        <w:spacing w:after="0" w:line="238" w:lineRule="auto"/>
        <w:tabs>
          <w:tab w:leader="none" w:pos="130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76" w:lineRule="exact"/>
        <w:rPr>
          <w:rFonts w:ascii="Times New Roman" w:cs="Times New Roman" w:eastAsia="Times New Roman" w:hAnsi="Times New Roman"/>
          <w:sz w:val="22"/>
          <w:szCs w:val="22"/>
          <w:color w:val="auto"/>
        </w:rPr>
      </w:pPr>
    </w:p>
    <w:p>
      <w:pPr>
        <w:jc w:val="both"/>
        <w:ind w:right="120" w:firstLine="757"/>
        <w:spacing w:after="0" w:line="239" w:lineRule="auto"/>
        <w:tabs>
          <w:tab w:leader="none" w:pos="130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w:t>
      </w:r>
    </w:p>
    <w:p>
      <w:pPr>
        <w:spacing w:after="0" w:line="18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 w:name="page15"/>
    <w:bookmarkEnd w:id="14"/>
    <w:p>
      <w:pPr>
        <w:ind w:right="180"/>
        <w:spacing w:after="0" w:line="258" w:lineRule="auto"/>
        <w:rPr>
          <w:sz w:val="20"/>
          <w:szCs w:val="20"/>
          <w:color w:val="auto"/>
        </w:rPr>
      </w:pPr>
      <w:r>
        <w:rPr>
          <w:rFonts w:ascii="Times New Roman" w:cs="Times New Roman" w:eastAsia="Times New Roman" w:hAnsi="Times New Roman"/>
          <w:sz w:val="22"/>
          <w:szCs w:val="22"/>
          <w:color w:val="auto"/>
        </w:rPr>
        <w:t>proceeding. Notwithstanding this immunity from liability, Executive may be held liable if Executive unlawfully accesses trade secrets by unauthorized means.</w:t>
      </w:r>
    </w:p>
    <w:p>
      <w:pPr>
        <w:spacing w:after="0" w:line="185" w:lineRule="exact"/>
        <w:rPr>
          <w:sz w:val="20"/>
          <w:szCs w:val="20"/>
          <w:color w:val="auto"/>
        </w:rPr>
      </w:pPr>
    </w:p>
    <w:p>
      <w:pPr>
        <w:ind w:left="1500" w:hanging="743"/>
        <w:spacing w:after="0"/>
        <w:tabs>
          <w:tab w:leader="none" w:pos="15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p>
    <w:p>
      <w:pPr>
        <w:spacing w:after="0" w:line="233"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Executive agrees that if she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14" w:lineRule="exact"/>
        <w:rPr>
          <w:sz w:val="20"/>
          <w:szCs w:val="20"/>
          <w:color w:val="auto"/>
        </w:rPr>
      </w:pPr>
    </w:p>
    <w:p>
      <w:pPr>
        <w:ind w:left="1500" w:hanging="743"/>
        <w:spacing w:after="0"/>
        <w:tabs>
          <w:tab w:leader="none" w:pos="15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OR ALTERATION</w:t>
      </w:r>
    </w:p>
    <w:p>
      <w:pPr>
        <w:spacing w:after="0" w:line="233"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No amendment or alteration of the terms of this Agreement shall be valid unless made in writing and signed by both of the parties hereto.</w:t>
      </w:r>
    </w:p>
    <w:p>
      <w:pPr>
        <w:spacing w:after="0" w:line="185" w:lineRule="exact"/>
        <w:rPr>
          <w:sz w:val="20"/>
          <w:szCs w:val="20"/>
          <w:color w:val="auto"/>
        </w:rPr>
      </w:pPr>
    </w:p>
    <w:p>
      <w:pPr>
        <w:ind w:left="1500" w:hanging="743"/>
        <w:spacing w:after="0"/>
        <w:tabs>
          <w:tab w:leader="none" w:pos="15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p>
    <w:p>
      <w:pPr>
        <w:spacing w:after="0" w:line="233" w:lineRule="exact"/>
        <w:rPr>
          <w:sz w:val="20"/>
          <w:szCs w:val="20"/>
          <w:color w:val="auto"/>
        </w:rPr>
      </w:pPr>
    </w:p>
    <w:p>
      <w:pPr>
        <w:ind w:right="680" w:firstLine="749"/>
        <w:spacing w:after="0" w:line="258" w:lineRule="auto"/>
        <w:rPr>
          <w:sz w:val="20"/>
          <w:szCs w:val="20"/>
          <w:color w:val="auto"/>
        </w:rPr>
      </w:pPr>
      <w:r>
        <w:rPr>
          <w:rFonts w:ascii="Times New Roman" w:cs="Times New Roman" w:eastAsia="Times New Roman" w:hAnsi="Times New Roman"/>
          <w:sz w:val="22"/>
          <w:szCs w:val="22"/>
          <w:color w:val="auto"/>
        </w:rPr>
        <w:t>This Agreement shall be governed by, and construed and enforced in accordance with the substantive laws of the Commonwealth of Massachusetts, without regard to its principles of conflicts of laws.</w:t>
      </w:r>
    </w:p>
    <w:p>
      <w:pPr>
        <w:spacing w:after="0" w:line="185" w:lineRule="exact"/>
        <w:rPr>
          <w:sz w:val="20"/>
          <w:szCs w:val="20"/>
          <w:color w:val="auto"/>
        </w:rPr>
      </w:pPr>
    </w:p>
    <w:p>
      <w:pPr>
        <w:ind w:left="1500" w:hanging="743"/>
        <w:spacing w:after="0"/>
        <w:tabs>
          <w:tab w:leader="none" w:pos="15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p>
    <w:p>
      <w:pPr>
        <w:spacing w:after="0" w:line="23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The holding of any provision of this Agreement to be invalid or unenforceable by a court of competent jurisdiction shall not affect any other provision of this Agreement, which shall remain in full force and effect.</w:t>
      </w:r>
    </w:p>
    <w:p>
      <w:pPr>
        <w:spacing w:after="0" w:line="185" w:lineRule="exact"/>
        <w:rPr>
          <w:sz w:val="20"/>
          <w:szCs w:val="20"/>
          <w:color w:val="auto"/>
        </w:rPr>
      </w:pPr>
    </w:p>
    <w:p>
      <w:pPr>
        <w:ind w:left="1500" w:hanging="743"/>
        <w:spacing w:after="0"/>
        <w:tabs>
          <w:tab w:leader="none" w:pos="15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Any notices required or permitted to be given hereunder shall be sufficient if in</w:t>
      </w:r>
    </w:p>
    <w:p>
      <w:pPr>
        <w:spacing w:after="0" w:line="14"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05" w:lineRule="exact"/>
        <w:rPr>
          <w:sz w:val="20"/>
          <w:szCs w:val="20"/>
          <w:color w:val="auto"/>
        </w:rPr>
      </w:pPr>
    </w:p>
    <w:p>
      <w:pPr>
        <w:ind w:left="1500" w:hanging="743"/>
        <w:spacing w:after="0"/>
        <w:tabs>
          <w:tab w:leader="none" w:pos="15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BREACH</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15" w:name="page16"/>
    <w:bookmarkEnd w:id="15"/>
    <w:p>
      <w:pPr>
        <w:ind w:right="20" w:firstLine="749"/>
        <w:spacing w:after="0" w:line="259" w:lineRule="auto"/>
        <w:rPr>
          <w:sz w:val="20"/>
          <w:szCs w:val="20"/>
          <w:color w:val="auto"/>
        </w:rPr>
      </w:pPr>
      <w:r>
        <w:rPr>
          <w:rFonts w:ascii="Times New Roman" w:cs="Times New Roman" w:eastAsia="Times New Roman" w:hAnsi="Times New Roman"/>
          <w:sz w:val="22"/>
          <w:szCs w:val="22"/>
          <w:color w:val="auto"/>
        </w:rPr>
        <w:t>It is agreed that a waiver by either party of a breach of any provision of this Agreement shall not operate, or be construed as a waiver of any subsequent breach by that same party.</w:t>
      </w:r>
    </w:p>
    <w:p>
      <w:pPr>
        <w:spacing w:after="0" w:line="184" w:lineRule="exact"/>
        <w:rPr>
          <w:sz w:val="20"/>
          <w:szCs w:val="20"/>
          <w:color w:val="auto"/>
        </w:rPr>
      </w:pPr>
    </w:p>
    <w:p>
      <w:pPr>
        <w:ind w:left="1500" w:hanging="743"/>
        <w:spacing w:after="0"/>
        <w:tabs>
          <w:tab w:leader="none" w:pos="15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AND BINDING EFFECT</w:t>
      </w:r>
    </w:p>
    <w:p>
      <w:pPr>
        <w:spacing w:after="0" w:line="233"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her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06" w:lineRule="exact"/>
        <w:rPr>
          <w:sz w:val="20"/>
          <w:szCs w:val="20"/>
          <w:color w:val="auto"/>
        </w:rPr>
      </w:pPr>
    </w:p>
    <w:p>
      <w:pPr>
        <w:ind w:left="1500" w:hanging="743"/>
        <w:spacing w:after="0"/>
        <w:tabs>
          <w:tab w:leader="none" w:pos="15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p>
    <w:p>
      <w:pPr>
        <w:spacing w:after="0" w:line="233"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200" w:lineRule="exact"/>
        <w:rPr>
          <w:sz w:val="20"/>
          <w:szCs w:val="20"/>
          <w:color w:val="auto"/>
        </w:rPr>
      </w:pPr>
    </w:p>
    <w:p>
      <w:pPr>
        <w:ind w:left="1500" w:hanging="7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RESOLUTION OF DISPUTES</w:t>
      </w:r>
    </w:p>
    <w:p>
      <w:pPr>
        <w:spacing w:after="0" w:line="233" w:lineRule="exact"/>
        <w:rPr>
          <w:sz w:val="20"/>
          <w:szCs w:val="20"/>
          <w:color w:val="auto"/>
        </w:rPr>
      </w:pPr>
    </w:p>
    <w:p>
      <w:pPr>
        <w:ind w:right="700" w:firstLine="749"/>
        <w:spacing w:after="0" w:line="258" w:lineRule="auto"/>
        <w:rPr>
          <w:sz w:val="20"/>
          <w:szCs w:val="20"/>
          <w:color w:val="auto"/>
        </w:rPr>
      </w:pPr>
      <w:r>
        <w:rPr>
          <w:rFonts w:ascii="Times New Roman" w:cs="Times New Roman" w:eastAsia="Times New Roman" w:hAnsi="Times New Roman"/>
          <w:sz w:val="22"/>
          <w:szCs w:val="22"/>
          <w:color w:val="auto"/>
        </w:rPr>
        <w:t>Any and all disputes arising under or in connection with this Agreement shall be resolved in accordance with this paragraph 21 and paragraph 15.</w:t>
      </w:r>
    </w:p>
    <w:p>
      <w:pPr>
        <w:spacing w:after="0" w:line="185" w:lineRule="exact"/>
        <w:rPr>
          <w:sz w:val="20"/>
          <w:szCs w:val="20"/>
          <w:color w:val="auto"/>
        </w:rPr>
      </w:pPr>
    </w:p>
    <w:p>
      <w:pPr>
        <w:ind w:right="280" w:firstLine="749"/>
        <w:spacing w:after="0" w:line="238" w:lineRule="auto"/>
        <w:rPr>
          <w:sz w:val="20"/>
          <w:szCs w:val="20"/>
          <w:color w:val="auto"/>
        </w:rPr>
      </w:pPr>
      <w:r>
        <w:rPr>
          <w:rFonts w:ascii="Times New Roman" w:cs="Times New Roman" w:eastAsia="Times New Roman" w:hAnsi="Times New Roman"/>
          <w:sz w:val="22"/>
          <w:szCs w:val="22"/>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04" w:lineRule="exact"/>
        <w:rPr>
          <w:sz w:val="20"/>
          <w:szCs w:val="20"/>
          <w:color w:val="auto"/>
        </w:rPr>
      </w:pPr>
    </w:p>
    <w:p>
      <w:pPr>
        <w:ind w:left="1500" w:hanging="743"/>
        <w:spacing w:after="0"/>
        <w:tabs>
          <w:tab w:leader="none" w:pos="15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p>
    <w:p>
      <w:pPr>
        <w:spacing w:after="0" w:line="233"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ind w:left="1500" w:hanging="743"/>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p>
    <w:p>
      <w:pPr>
        <w:spacing w:after="0" w:line="234"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85" w:lineRule="exact"/>
        <w:rPr>
          <w:sz w:val="20"/>
          <w:szCs w:val="20"/>
          <w:color w:val="auto"/>
        </w:rPr>
      </w:pPr>
    </w:p>
    <w:p>
      <w:pPr>
        <w:ind w:left="760" w:right="6460" w:hanging="3"/>
        <w:spacing w:after="0" w:line="483" w:lineRule="auto"/>
        <w:tabs>
          <w:tab w:leader="none" w:pos="1509"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 xml:space="preserve">SUBSIDIARIES AND AFFILIATES </w:t>
      </w:r>
      <w:r>
        <w:rPr>
          <w:rFonts w:ascii="Times New Roman" w:cs="Times New Roman" w:eastAsia="Times New Roman" w:hAnsi="Times New Roman"/>
          <w:sz w:val="21"/>
          <w:szCs w:val="21"/>
          <w:color w:val="auto"/>
        </w:rPr>
        <w:t>For purposes of this Agreement:</w:t>
      </w:r>
    </w:p>
    <w:p>
      <w:pPr>
        <w:ind w:right="100" w:firstLine="757"/>
        <w:spacing w:after="0" w:line="244" w:lineRule="auto"/>
        <w:tabs>
          <w:tab w:leader="none" w:pos="130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200" w:lineRule="exact"/>
        <w:rPr>
          <w:rFonts w:ascii="Times New Roman" w:cs="Times New Roman" w:eastAsia="Times New Roman" w:hAnsi="Times New Roman"/>
          <w:sz w:val="22"/>
          <w:szCs w:val="22"/>
          <w:color w:val="auto"/>
        </w:rPr>
      </w:pPr>
    </w:p>
    <w:p>
      <w:pPr>
        <w:ind w:firstLine="757"/>
        <w:spacing w:after="0" w:line="238" w:lineRule="auto"/>
        <w:tabs>
          <w:tab w:leader="none" w:pos="136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04" w:lineRule="exact"/>
        <w:rPr>
          <w:sz w:val="20"/>
          <w:szCs w:val="20"/>
          <w:color w:val="auto"/>
        </w:rPr>
      </w:pPr>
    </w:p>
    <w:p>
      <w:pPr>
        <w:ind w:left="1500" w:hanging="743"/>
        <w:spacing w:after="0"/>
        <w:tabs>
          <w:tab w:leader="none" w:pos="15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p>
    <w:p>
      <w:pPr>
        <w:spacing w:after="0" w:line="23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The paragraph headings appearing in this Agreement are for the purposes of easy reference and shall not be considered a part of this Agreement or in any way modify, amend or affect its provisions.</w:t>
      </w:r>
    </w:p>
    <w:p>
      <w:pPr>
        <w:spacing w:after="0" w:line="185" w:lineRule="exact"/>
        <w:rPr>
          <w:sz w:val="20"/>
          <w:szCs w:val="20"/>
          <w:color w:val="auto"/>
        </w:rPr>
      </w:pPr>
    </w:p>
    <w:p>
      <w:pPr>
        <w:ind w:left="1500" w:hanging="7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p>
    <w:p>
      <w:pPr>
        <w:spacing w:after="0" w:line="233"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22"/>
          <w:szCs w:val="22"/>
          <w:color w:val="auto"/>
        </w:rPr>
        <w:t>This Agreement may be executed in one or more counterparts, each of which shall be deemed an original and all of which together shall constitute one and the same agreement.</w:t>
      </w:r>
    </w:p>
    <w:p>
      <w:pPr>
        <w:spacing w:after="0" w:line="37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7" w:name="page18"/>
    <w:bookmarkEnd w:id="17"/>
    <w:p>
      <w:pPr>
        <w:ind w:right="2840"/>
        <w:spacing w:after="0" w:line="259"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under seal, as of the date and year first above written.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DESTINATION XL GROUP, INC.</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499"/>
        </w:trPr>
        <w:tc>
          <w:tcPr>
            <w:tcW w:w="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Harvey S. Kanter</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January 18, 2023</w:t>
            </w:r>
          </w:p>
        </w:tc>
      </w:tr>
      <w:tr>
        <w:trPr>
          <w:trHeight w:val="251"/>
        </w:trPr>
        <w:tc>
          <w:tcPr>
            <w:tcW w:w="58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w w:val="91"/>
              </w:rPr>
              <w:t>Name:</w:t>
            </w:r>
          </w:p>
        </w:tc>
        <w:tc>
          <w:tcPr>
            <w:tcW w:w="4740" w:type="dxa"/>
            <w:vAlign w:val="bottom"/>
            <w:gridSpan w:val="2"/>
          </w:tcPr>
          <w:p>
            <w:pPr>
              <w:ind w:left="380"/>
              <w:spacing w:after="0" w:line="251" w:lineRule="exact"/>
              <w:rPr>
                <w:sz w:val="20"/>
                <w:szCs w:val="20"/>
                <w:color w:val="auto"/>
              </w:rPr>
            </w:pPr>
            <w:r>
              <w:rPr>
                <w:rFonts w:ascii="Times New Roman" w:cs="Times New Roman" w:eastAsia="Times New Roman" w:hAnsi="Times New Roman"/>
                <w:sz w:val="22"/>
                <w:szCs w:val="22"/>
                <w:color w:val="auto"/>
              </w:rPr>
              <w:t>Harvey S. Kanter</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580" w:type="dxa"/>
            <w:vAlign w:val="bottom"/>
          </w:tcPr>
          <w:p>
            <w:pPr>
              <w:spacing w:after="0"/>
              <w:rPr>
                <w:sz w:val="21"/>
                <w:szCs w:val="21"/>
                <w:color w:val="auto"/>
              </w:rPr>
            </w:pPr>
          </w:p>
        </w:tc>
      </w:tr>
      <w:tr>
        <w:trPr>
          <w:trHeight w:val="282"/>
        </w:trPr>
        <w:tc>
          <w:tcPr>
            <w:tcW w:w="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Its:</w:t>
            </w:r>
          </w:p>
        </w:tc>
        <w:tc>
          <w:tcPr>
            <w:tcW w:w="47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President, Chief Executive Officer</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51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 Dara Pauker</w:t>
            </w:r>
          </w:p>
        </w:tc>
        <w:tc>
          <w:tcPr>
            <w:tcW w:w="300" w:type="dxa"/>
            <w:vAlign w:val="bottom"/>
          </w:tcPr>
          <w:p>
            <w:pPr>
              <w:spacing w:after="0"/>
              <w:rPr>
                <w:sz w:val="24"/>
                <w:szCs w:val="24"/>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January 17, 2023</w:t>
            </w:r>
          </w:p>
        </w:tc>
      </w:tr>
      <w:tr>
        <w:trPr>
          <w:trHeight w:val="277"/>
        </w:trPr>
        <w:tc>
          <w:tcPr>
            <w:tcW w:w="5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Dara Pauker</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580" w:type="dxa"/>
            <w:vAlign w:val="bottom"/>
            <w:tcBorders>
              <w:top w:val="single" w:sz="8" w:color="auto"/>
            </w:tcBorders>
          </w:tcPr>
          <w:p>
            <w:pPr>
              <w:spacing w:after="0"/>
              <w:rPr>
                <w:sz w:val="24"/>
                <w:szCs w:val="24"/>
                <w:color w:val="auto"/>
              </w:rPr>
            </w:pPr>
          </w:p>
        </w:tc>
      </w:tr>
      <w:tr>
        <w:trPr>
          <w:trHeight w:val="855"/>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3"/>
          </w:tcPr>
          <w:p>
            <w:pPr>
              <w:jc w:val="right"/>
              <w:ind w:right="5412"/>
              <w:spacing w:after="0"/>
              <w:rPr>
                <w:sz w:val="20"/>
                <w:szCs w:val="20"/>
                <w:color w:val="auto"/>
              </w:rPr>
            </w:pPr>
            <w:r>
              <w:rPr>
                <w:rFonts w:ascii="Calibri" w:cs="Calibri" w:eastAsia="Calibri" w:hAnsi="Calibri"/>
                <w:sz w:val="18"/>
                <w:szCs w:val="18"/>
                <w:color w:val="auto"/>
              </w:rPr>
              <w:t>14</w:t>
            </w:r>
          </w:p>
        </w:tc>
      </w:tr>
      <w:tr>
        <w:trPr>
          <w:trHeight w:val="138"/>
        </w:trPr>
        <w:tc>
          <w:tcPr>
            <w:tcW w:w="580" w:type="dxa"/>
            <w:vAlign w:val="bottom"/>
            <w:tcBorders>
              <w:bottom w:val="single" w:sz="8" w:color="9A9A9A"/>
            </w:tcBorders>
          </w:tcPr>
          <w:p>
            <w:pPr>
              <w:spacing w:after="0"/>
              <w:rPr>
                <w:sz w:val="12"/>
                <w:szCs w:val="12"/>
                <w:color w:val="auto"/>
              </w:rPr>
            </w:pPr>
          </w:p>
        </w:tc>
        <w:tc>
          <w:tcPr>
            <w:tcW w:w="47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5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RELEASE OF CLAIMS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GENERAL RELEASE OF CLAIMS</w:t>
      </w:r>
    </w:p>
    <w:p>
      <w:pPr>
        <w:spacing w:after="0" w:line="212" w:lineRule="exact"/>
        <w:rPr>
          <w:sz w:val="20"/>
          <w:szCs w:val="20"/>
          <w:color w:val="auto"/>
        </w:rPr>
      </w:pPr>
    </w:p>
    <w:p>
      <w:pPr>
        <w:ind w:firstLine="757"/>
        <w:spacing w:after="0" w:line="232" w:lineRule="auto"/>
        <w:tabs>
          <w:tab w:leader="none" w:pos="149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Dara Pauker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for herself and her family, heirs, executors, administrators, legal representatives and their respective successors and assigns, in exchange for good and valuable consideration to be paid after the date of Executive’s termination as set forth in the Employment Agreement, to which a form of this release is attached as Exhibit A (the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does hereby release and forever discharge, to the maximum extent permitted by law, Destination XL Group, Inc. (the “Company”), its subsidiaries, affiliated companies, successors and assigns, and their respective current or former directors, officers, employees, shareholders or agents in such capacities (collectively with the Company, the “</w:t>
      </w: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 xml:space="preserve">”) from any and all actions, causes of action, suits, controversies, claims and demands whatsoever, for or by reason of any matter, cause or thing whatsoever, whether known or unknown including, but not limited to, the Employee Retirement Income Security Act of 1974, 29 U.S.C. §1001 et seq., the Civil Rights Act of 1964, 42 U.S.C. §2000e et seq., COBRA; the Equal Pay Act of 1963, 29 U.S.C. §206(d), the Civil Rights Act of 1991; the Age Discrimination in Employment Act (ADEA); the Americans with Disabilities Act, 42 U.S.C. §12101 et seq., the Family and Medical Leave Act (FMLA); the Civil Rights Act of 1866, 42 U.S.C. §1981 et seq., as amended, the Fair Credit Reporting Act, the Worker Adjustment and Retraining Notification Act, the Genetic Information Nondiscrimination Act of 2008, the Massachusetts Law Against Discrimination, G.L. c. 151B; the Massachusetts Privacy Statute, G.L. c. 214, § 1B, the Massachusetts Wage Payment Statute, G.L. c. 149, §§ 148, 148A, 148B, 149, 150,150A-150C, 151, 152, 152A,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the Massachusetts Wage and Hour laws, G.L. c. 151§1A et seq; the Massachusetts Paid Family and Medical Leave Act, G.L. c. 175M; the Massachusetts Sexual Harassment Statute, G.L. c. 214 §1C, the Massachusetts Consumer Protection Act, G.L. c. 93A, the Massachusetts Civil Rights Act, G.L. c. 12, § 11, the Massachusetts Equal Rights Act, G.L. c. 93, the Massachusetts Civil Rights Act, G.L. c. 12, § 11; the Massachusetts Equal Rights Act, G.L. c. 93; the Massachusetts AIDS Testing statute, G.L. c. 111, §70F; the Massachusetts Employment Leave for Victims and Family Members of Abuse, G.L. c. 149, §52E, as amended; the Massachusetts Earned Sick Time Law, M.G.L. c. 149, § 148C; the Massachusetts Small Necessities Leave Act; and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w:t>
      </w:r>
    </w:p>
    <w:p>
      <w:pPr>
        <w:spacing w:after="0" w:line="179"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Executive acknowledges that Executive is specifically advised to consult with an attorney of Executive’s choosing before signing this General Release of Claims, and through this General Release of Claims advises Executive to consult with her attorney with respect to possible claims, including but not limited to claims under the ADEA,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she may have as of the date hereof. Executive further understands that by signing this General Release of Claims she is in fact waiving, releasing and forever giving up any claim under the ADEA as well as all other laws within the scope of this paragraph 1 that may have existed on or prior to the date hereof. Notwithstanding anything in this paragraph 1 to the contrary, this</w:t>
      </w:r>
    </w:p>
    <w:p>
      <w:pPr>
        <w:spacing w:after="0" w:line="3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ind w:right="140"/>
        <w:spacing w:after="0" w:line="233" w:lineRule="auto"/>
        <w:rPr>
          <w:sz w:val="20"/>
          <w:szCs w:val="20"/>
          <w:color w:val="auto"/>
        </w:rPr>
      </w:pPr>
      <w:r>
        <w:rPr>
          <w:rFonts w:ascii="Times New Roman" w:cs="Times New Roman" w:eastAsia="Times New Roman" w:hAnsi="Times New Roman"/>
          <w:sz w:val="22"/>
          <w:szCs w:val="22"/>
          <w:color w:val="auto"/>
        </w:rPr>
        <w:t>General Release of Claims shall not apply to (i) any rights to receive any payments pursuant to the Employment Agreement, or any accrued but unpaid benefits under any employee benefit plan maintained by the Company (ii) any rights or claims that may arise as a result of events occurring after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she will not be able to recover any monetary benefits in connection with any such claim, charge or proceeding.</w:t>
      </w:r>
    </w:p>
    <w:p>
      <w:pPr>
        <w:spacing w:after="0" w:line="188" w:lineRule="exact"/>
        <w:rPr>
          <w:sz w:val="20"/>
          <w:szCs w:val="20"/>
          <w:color w:val="auto"/>
        </w:rPr>
      </w:pPr>
    </w:p>
    <w:p>
      <w:pPr>
        <w:jc w:val="both"/>
        <w:ind w:firstLine="757"/>
        <w:spacing w:after="0" w:line="249" w:lineRule="auto"/>
        <w:tabs>
          <w:tab w:leader="none" w:pos="149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represents that she has not filed against the Released Parties any complaints, charges, or lawsuits arising out of her employment, or any other matter arising on or prior to the date of this General Release of Claims, and covenants and agrees that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Executive shall not have relinquished her right to commence a Proceeding to challenge whether Executive knowingly and voluntarily waived her rights under ADEA.</w:t>
      </w:r>
    </w:p>
    <w:p>
      <w:pPr>
        <w:spacing w:after="0" w:line="167" w:lineRule="exact"/>
        <w:rPr>
          <w:sz w:val="20"/>
          <w:szCs w:val="20"/>
          <w:color w:val="auto"/>
        </w:rPr>
      </w:pPr>
    </w:p>
    <w:p>
      <w:pPr>
        <w:ind w:left="1500" w:hanging="743"/>
        <w:spacing w:after="0"/>
        <w:tabs>
          <w:tab w:leader="none" w:pos="15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757"/>
        <w:spacing w:after="0" w:line="232" w:lineRule="auto"/>
        <w:tabs>
          <w:tab w:leader="none" w:pos="130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for the consideration set forth in the Employment Agreement and the payment of severance benefits set forth in Section 7 of the Employment Agreement,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w:t>
      </w:r>
      <w:r>
        <w:rPr>
          <w:rFonts w:ascii="Times New Roman" w:cs="Times New Roman" w:eastAsia="Times New Roman" w:hAnsi="Times New Roman"/>
          <w:sz w:val="22"/>
          <w:szCs w:val="22"/>
          <w:color w:val="333333"/>
        </w:rPr>
        <w:t>in which the Executive provided services or had a material presence or influence on behalf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33333"/>
        </w:rPr>
        <w:t>the Company, whether in the United States, Canada, Europe or elsewhere during the two years prior to Executive’s separation from the Company</w:t>
      </w:r>
      <w:r>
        <w:rPr>
          <w:rFonts w:ascii="Times New Roman" w:cs="Times New Roman" w:eastAsia="Times New Roman" w:hAnsi="Times New Roman"/>
          <w:sz w:val="22"/>
          <w:szCs w:val="22"/>
          <w:color w:val="000000"/>
        </w:rPr>
        <w:t>; provided, however, that Executive may own any securities of any corporation which is engaged in such</w:t>
      </w:r>
      <w:r>
        <w:rPr>
          <w:rFonts w:ascii="Times New Roman" w:cs="Times New Roman" w:eastAsia="Times New Roman" w:hAnsi="Times New Roman"/>
          <w:sz w:val="22"/>
          <w:szCs w:val="22"/>
          <w:color w:val="333333"/>
        </w:rPr>
        <w:t xml:space="preserve"> </w:t>
      </w:r>
      <w:r>
        <w:rPr>
          <w:rFonts w:ascii="Times New Roman" w:cs="Times New Roman" w:eastAsia="Times New Roman" w:hAnsi="Times New Roman"/>
          <w:sz w:val="22"/>
          <w:szCs w:val="22"/>
          <w:color w:val="000000"/>
        </w:rPr>
        <w:t>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jc w:val="both"/>
        <w:ind w:left="-20" w:firstLine="757"/>
        <w:spacing w:after="0" w:line="236" w:lineRule="auto"/>
        <w:tabs>
          <w:tab w:leader="none" w:pos="128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portion of the restrictions set forth in this paragraph 3 should, for any reason whatsoever, be declared invalid by a court of competent jurisdiction, the validity or enforceability of the remainder of such restrictions shall not thereby be adversely affected. For the purposes of this paragraph 3,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208" w:lineRule="exact"/>
        <w:rPr>
          <w:rFonts w:ascii="Times New Roman" w:cs="Times New Roman" w:eastAsia="Times New Roman" w:hAnsi="Times New Roman"/>
          <w:sz w:val="22"/>
          <w:szCs w:val="22"/>
          <w:color w:val="auto"/>
        </w:rPr>
      </w:pPr>
    </w:p>
    <w:p>
      <w:pPr>
        <w:jc w:val="both"/>
        <w:ind w:left="-20" w:firstLine="757"/>
        <w:spacing w:after="0" w:line="236" w:lineRule="auto"/>
        <w:tabs>
          <w:tab w:leader="none" w:pos="128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3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208" w:lineRule="exact"/>
        <w:rPr>
          <w:rFonts w:ascii="Times New Roman" w:cs="Times New Roman" w:eastAsia="Times New Roman" w:hAnsi="Times New Roman"/>
          <w:sz w:val="22"/>
          <w:szCs w:val="22"/>
          <w:color w:val="auto"/>
        </w:rPr>
      </w:pPr>
    </w:p>
    <w:p>
      <w:pPr>
        <w:jc w:val="both"/>
        <w:ind w:left="-20" w:firstLine="757"/>
        <w:spacing w:after="0" w:line="238" w:lineRule="auto"/>
        <w:tabs>
          <w:tab w:leader="none" w:pos="128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0" w:lineRule="exact"/>
        <w:rPr>
          <w:sz w:val="20"/>
          <w:szCs w:val="20"/>
          <w:color w:val="auto"/>
        </w:rPr>
      </w:pPr>
    </w:p>
    <w:p>
      <w:pPr>
        <w:ind w:left="1480" w:hanging="743"/>
        <w:spacing w:after="0"/>
        <w:tabs>
          <w:tab w:leader="none" w:pos="14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Inventions and Discoveries.</w:t>
      </w:r>
    </w:p>
    <w:p>
      <w:pPr>
        <w:spacing w:after="0" w:line="237" w:lineRule="exact"/>
        <w:rPr>
          <w:sz w:val="20"/>
          <w:szCs w:val="20"/>
          <w:color w:val="auto"/>
        </w:rPr>
      </w:pPr>
    </w:p>
    <w:p>
      <w:pPr>
        <w:jc w:val="both"/>
        <w:ind w:left="-20" w:firstLine="757"/>
        <w:spacing w:after="0" w:line="235" w:lineRule="auto"/>
        <w:tabs>
          <w:tab w:leader="none" w:pos="128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execution of this General Release of Claims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her as a consequence of her employment or the rendering of advisory and consulting services hereunder (collectively the "Subject Matter").</w:t>
      </w:r>
    </w:p>
    <w:p>
      <w:pPr>
        <w:spacing w:after="0" w:line="205" w:lineRule="exact"/>
        <w:rPr>
          <w:rFonts w:ascii="Times New Roman" w:cs="Times New Roman" w:eastAsia="Times New Roman" w:hAnsi="Times New Roman"/>
          <w:sz w:val="22"/>
          <w:szCs w:val="22"/>
          <w:color w:val="auto"/>
        </w:rPr>
      </w:pPr>
    </w:p>
    <w:p>
      <w:pPr>
        <w:jc w:val="both"/>
        <w:ind w:left="-20" w:firstLine="757"/>
        <w:spacing w:after="0" w:line="235" w:lineRule="auto"/>
        <w:tabs>
          <w:tab w:leader="none" w:pos="128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General Release Of Claims, and at any time thereafter on reasonable notice and at mutually convenient times, and Executive agrees to testify in any prosecution or litigation involving any of the Subject Matter;</w:t>
      </w:r>
    </w:p>
    <w:p>
      <w:pPr>
        <w:spacing w:after="0" w:line="18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55" w:right="339" w:bottom="1440" w:gutter="0" w:footer="0" w:header="0"/>
        </w:sectPr>
      </w:pPr>
    </w:p>
    <w:bookmarkStart w:id="21" w:name="page22"/>
    <w:bookmarkEnd w:id="21"/>
    <w:p>
      <w:pPr>
        <w:spacing w:after="0" w:line="259" w:lineRule="auto"/>
        <w:rPr>
          <w:sz w:val="20"/>
          <w:szCs w:val="20"/>
          <w:color w:val="auto"/>
        </w:rPr>
      </w:pPr>
      <w:r>
        <w:rPr>
          <w:rFonts w:ascii="Times New Roman" w:cs="Times New Roman" w:eastAsia="Times New Roman" w:hAnsi="Times New Roman"/>
          <w:sz w:val="22"/>
          <w:szCs w:val="22"/>
          <w:color w:val="auto"/>
        </w:rPr>
        <w:t>provided, however, that Executive shall be compensated in a timely manner at the rate of $250 per day (or portion thereof), plus out-of-pocket expenses incurred in rendering such assistance or giving or preparing to give such testimony.</w:t>
      </w:r>
    </w:p>
    <w:p>
      <w:pPr>
        <w:spacing w:after="0" w:line="180" w:lineRule="exact"/>
        <w:rPr>
          <w:sz w:val="20"/>
          <w:szCs w:val="20"/>
          <w:color w:val="auto"/>
        </w:rPr>
      </w:pPr>
    </w:p>
    <w:p>
      <w:pPr>
        <w:ind w:left="1500" w:hanging="743"/>
        <w:spacing w:after="0"/>
        <w:tabs>
          <w:tab w:leader="none" w:pos="15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Non-Disclosure of Confidential Information.</w:t>
      </w:r>
    </w:p>
    <w:p>
      <w:pPr>
        <w:spacing w:after="0" w:line="237" w:lineRule="exact"/>
        <w:rPr>
          <w:sz w:val="20"/>
          <w:szCs w:val="20"/>
          <w:color w:val="auto"/>
        </w:rPr>
      </w:pPr>
    </w:p>
    <w:p>
      <w:pPr>
        <w:jc w:val="both"/>
        <w:ind w:firstLine="757"/>
        <w:spacing w:after="0" w:line="232" w:lineRule="auto"/>
        <w:tabs>
          <w:tab w:leader="none" w:pos="130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possesses certain confidential and propriety information that has been revealed to her or learned by Executive during the course of Executive’s employment with the Company and that it would be unfair to use that information or knowledge to compete with or to otherwise disadvantage the Company. Executive shall not, at any time following the end of Executive’s employment with the Company,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her during the course of, or as an incident to, her employment or the rendering of her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5(a) by Executive.</w:t>
      </w:r>
    </w:p>
    <w:p>
      <w:pPr>
        <w:spacing w:after="0" w:line="215" w:lineRule="exact"/>
        <w:rPr>
          <w:rFonts w:ascii="Times New Roman" w:cs="Times New Roman" w:eastAsia="Times New Roman" w:hAnsi="Times New Roman"/>
          <w:sz w:val="22"/>
          <w:szCs w:val="22"/>
          <w:color w:val="auto"/>
        </w:rPr>
      </w:pPr>
    </w:p>
    <w:p>
      <w:pPr>
        <w:jc w:val="both"/>
        <w:ind w:firstLine="757"/>
        <w:spacing w:after="0" w:line="238" w:lineRule="auto"/>
        <w:tabs>
          <w:tab w:leader="none" w:pos="130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03" w:lineRule="exact"/>
        <w:rPr>
          <w:rFonts w:ascii="Times New Roman" w:cs="Times New Roman" w:eastAsia="Times New Roman" w:hAnsi="Times New Roman"/>
          <w:sz w:val="22"/>
          <w:szCs w:val="22"/>
          <w:color w:val="auto"/>
        </w:rPr>
      </w:pPr>
    </w:p>
    <w:p>
      <w:pPr>
        <w:jc w:val="both"/>
        <w:ind w:firstLine="757"/>
        <w:spacing w:after="0" w:line="238" w:lineRule="auto"/>
        <w:tabs>
          <w:tab w:leader="none" w:pos="130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Executive may be held liable if Executive unlawfully accesses trade secrets by unauthorized means.</w:t>
      </w: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jc w:val="both"/>
        <w:ind w:left="-20" w:firstLine="757"/>
        <w:spacing w:after="0" w:line="235" w:lineRule="auto"/>
        <w:tabs>
          <w:tab w:leader="none" w:pos="128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Specific Performance</w:t>
      </w:r>
      <w:r>
        <w:rPr>
          <w:rFonts w:ascii="Times New Roman" w:cs="Times New Roman" w:eastAsia="Times New Roman" w:hAnsi="Times New Roman"/>
          <w:sz w:val="22"/>
          <w:szCs w:val="22"/>
          <w:color w:val="auto"/>
        </w:rPr>
        <w:t>. Executive agrees that if she breaches, or threatens to commit a breach of, any enforceable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paragraphs 3, 4 or 5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such a breach or threatened breach of any Restrictive Covenant has occurred. Any such damages, attorneys’ fees and costs shall be in addition to and not in lieu of any injunctive relief that may be available to the Company.</w:t>
      </w:r>
    </w:p>
    <w:p>
      <w:pPr>
        <w:spacing w:after="0" w:line="209" w:lineRule="exact"/>
        <w:rPr>
          <w:rFonts w:ascii="Times New Roman" w:cs="Times New Roman" w:eastAsia="Times New Roman" w:hAnsi="Times New Roman"/>
          <w:sz w:val="22"/>
          <w:szCs w:val="22"/>
          <w:color w:val="auto"/>
        </w:rPr>
      </w:pPr>
    </w:p>
    <w:p>
      <w:pPr>
        <w:jc w:val="both"/>
        <w:ind w:left="-20" w:firstLine="757"/>
        <w:spacing w:after="0" w:line="245" w:lineRule="auto"/>
        <w:tabs>
          <w:tab w:leader="none" w:pos="128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is advised that Executive has up to twenty-one (21) calendar days to consider this General Release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 (21) day consideration period shall be enlarged to up to forty-five (45) calendar days, and Executive shall be provided with additional disclosures required by the Older Workers Benefit Protection Act prior to the start of the up to forty-five (45) calendar day consideration period. In either case, Executive also shall have seven (7) business days following the date on which Executive signs this General Release of Claims within which to revoke it by providing a written notice of her revocation to the Company. Any such revocation shall be directed to the HR Director, Associate Relations &amp; Compliance and must be delivered to the HR Director, Associate Relations &amp; Compliance within that seven (7) day revocation period, or mailed to Destination XL Group, Inc., Attn: HR Director, Associate Relations &amp; Compliance, 555 Turnpike Street, Canton, MA 02021 and postmarked within the seven (7) day revocation period.</w:t>
      </w:r>
    </w:p>
    <w:p>
      <w:pPr>
        <w:spacing w:after="0" w:line="177" w:lineRule="exact"/>
        <w:rPr>
          <w:rFonts w:ascii="Times New Roman" w:cs="Times New Roman" w:eastAsia="Times New Roman" w:hAnsi="Times New Roman"/>
          <w:sz w:val="21"/>
          <w:szCs w:val="21"/>
          <w:color w:val="auto"/>
        </w:rPr>
      </w:pPr>
    </w:p>
    <w:p>
      <w:pPr>
        <w:jc w:val="both"/>
        <w:ind w:left="-20" w:firstLine="757"/>
        <w:spacing w:after="0" w:line="244" w:lineRule="auto"/>
        <w:tabs>
          <w:tab w:leader="none" w:pos="128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73" w:lineRule="exact"/>
        <w:rPr>
          <w:rFonts w:ascii="Times New Roman" w:cs="Times New Roman" w:eastAsia="Times New Roman" w:hAnsi="Times New Roman"/>
          <w:sz w:val="22"/>
          <w:szCs w:val="22"/>
          <w:color w:val="auto"/>
        </w:rPr>
      </w:pPr>
    </w:p>
    <w:p>
      <w:pPr>
        <w:jc w:val="both"/>
        <w:ind w:left="-20" w:firstLine="757"/>
        <w:spacing w:after="0" w:line="244" w:lineRule="auto"/>
        <w:tabs>
          <w:tab w:leader="none" w:pos="128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she has read this General Release of Claims, has been advised that she should consult with an attorney before executing this general release of claims, and that she understands all of its terms and executes it voluntarily and with full knowledge of its significance and the consequences thereof.</w:t>
      </w:r>
    </w:p>
    <w:p>
      <w:pPr>
        <w:spacing w:after="0" w:line="173" w:lineRule="exact"/>
        <w:rPr>
          <w:rFonts w:ascii="Times New Roman" w:cs="Times New Roman" w:eastAsia="Times New Roman" w:hAnsi="Times New Roman"/>
          <w:sz w:val="22"/>
          <w:szCs w:val="22"/>
          <w:color w:val="auto"/>
        </w:rPr>
      </w:pPr>
    </w:p>
    <w:p>
      <w:pPr>
        <w:jc w:val="both"/>
        <w:ind w:left="-20" w:firstLine="757"/>
        <w:spacing w:after="0" w:line="244" w:lineRule="auto"/>
        <w:tabs>
          <w:tab w:leader="none" w:pos="128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General Release of Claims shall take effect on the eighth business day following Executive’s execution of this General Release of Claims unless Executive’s written revocation is delivered to the Company within seven (7) business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144780</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Dara Pauker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 w:right="339" w:bottom="1440" w:gutter="0" w:footer="0" w:header="0"/>
        </w:sectPr>
      </w:pPr>
    </w:p>
    <w:bookmarkStart w:id="23" w:name="page24"/>
    <w:bookmarkEnd w:id="23"/>
    <w:p>
      <w:pPr>
        <w:ind w:left="10700"/>
        <w:spacing w:after="0"/>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5911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185"/>
                    </a:xfrm>
                    <a:prstGeom prst="rect">
                      <a:avLst/>
                    </a:prstGeom>
                    <a:noFill/>
                  </pic:spPr>
                </pic:pic>
              </a:graphicData>
            </a:graphic>
          </wp:anchor>
        </w:drawing>
        <w:t>Exhibit</w:t>
      </w:r>
    </w:p>
    <w:p>
      <w:pPr>
        <w:ind w:left="10740"/>
        <w:spacing w:after="0" w:line="238" w:lineRule="auto"/>
        <w:rPr>
          <w:sz w:val="20"/>
          <w:szCs w:val="20"/>
          <w:color w:val="auto"/>
        </w:rPr>
      </w:pPr>
      <w:r>
        <w:rPr>
          <w:rFonts w:ascii="Calibri" w:cs="Calibri" w:eastAsia="Calibri" w:hAnsi="Calibri"/>
          <w:sz w:val="20"/>
          <w:szCs w:val="20"/>
          <w:color w:val="auto"/>
        </w:rPr>
        <w:t>99.1</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Destination XL Group, Inc. Names Dara Pauker Chief Operating Officer</w:t>
      </w:r>
    </w:p>
    <w:p>
      <w:pPr>
        <w:spacing w:after="0" w:line="30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CANTON, MA (January 30, 2023) -- Destination XL Group, Inc. (NASDAQ: DXLG), the leading integrated commerce retailer of men’s Big + Tall clothing and shoes, announced today that Dara Pauker joined the organization as Chief Operating Officer on January 27, 2023. Ms. Pauker brings over 20 years of strategy and leadership experience, with a particular emphasis on growth initiatives, and has been working with the Company on a long-range strategic growth plan as a consultant since December, 2021. Reporting to Ms. Pauker will be the Chief Stores Officer, Chief Merchandising Officer, SVP Global Sourcing, and SVP Technology.</w:t>
      </w:r>
    </w:p>
    <w:p>
      <w:pPr>
        <w:spacing w:after="0" w:line="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Prior to joining DXL, Ms. Pauker operated her own consultancy, through which she has held many interim GM roles and advised public and private retail companies and investors in retail on a broad array of topics related to defining and executing growth strategy.</w:t>
      </w:r>
    </w:p>
    <w:p>
      <w:pPr>
        <w:spacing w:after="0" w:line="1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Prior to launching her consultancy, Ms. Pauker held a number of senior roles in strategy and general management including President and General Manager of ghd, North America and as CEO, North America, for Custo Barcelona. Ms. Pauker also held executive roles at Liz Claiborne, Inc. and The Jones Group. She began her career at Bain &amp; Company. Ms. Pauker has a Masters of Business Administration, Strategic Management and Marketing, from the Wharton School and an A.B. </w:t>
      </w:r>
      <w:r>
        <w:rPr>
          <w:rFonts w:ascii="Times New Roman" w:cs="Times New Roman" w:eastAsia="Times New Roman" w:hAnsi="Times New Roman"/>
          <w:sz w:val="18"/>
          <w:szCs w:val="18"/>
          <w:i w:val="1"/>
          <w:iCs w:val="1"/>
          <w:color w:val="auto"/>
        </w:rPr>
        <w:t>magna cum laude</w:t>
      </w:r>
      <w:r>
        <w:rPr>
          <w:rFonts w:ascii="Times New Roman" w:cs="Times New Roman" w:eastAsia="Times New Roman" w:hAnsi="Times New Roman"/>
          <w:sz w:val="18"/>
          <w:szCs w:val="18"/>
          <w:color w:val="auto"/>
        </w:rPr>
        <w:t xml:space="preserve"> from Harvard University. She also currently serves as a Success Coach in Columbia Business School’s Chief Marketing Officer Certificate Program.</w:t>
      </w:r>
    </w:p>
    <w:p>
      <w:pPr>
        <w:spacing w:after="0" w:line="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“Working with Dara on the Company’s long-range business development and strategic plan, I have been consistently impressed by both her strategic acumen and her ability to collaboratively help us define growth and operational initiatives. She has proven herself to be a valuable contributor to the team, and I am very pleased that she has agreed to join DXL Big + Tall,” said Harvey Kanter, President and CEO. “Dara’s appointment emphasizes our commitment to transforming and growing our business,” he continued.</w:t>
      </w:r>
    </w:p>
    <w:p>
      <w:pPr>
        <w:spacing w:after="0" w:line="3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“My entire career has been dedicated to growing businesses. I admire what the DXL leadership team has accomplished and strongly believe in the potential of DXL. I am committed to helping make our growth initiatives a reality as we solidify DXL Big + Tall’s position as the haven for men’s big and tall apparel and footwear,” said Ms. Pauker.</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Destination XL Group, Inc.</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Destination XL Group, Inc. is the leading retailer of Men’s Big + Tall apparel that delivers a Big + Tall shopping experience that fits -- fits his body, fits his style, fits his life. Subsidiaries of Destination XL Group, Inc. operate DXL Big + Tall retail and outlet stores and Casual Male XL retail and outlet stores in the United States, and a digital commerce website, DXL.com, and mobile app which offer a multi-channel solution similar to the DXL 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1" w:right="319" w:bottom="1440" w:gutter="0" w:footer="0" w:header="0"/>
        </w:sectPr>
      </w:pPr>
    </w:p>
    <w:bookmarkStart w:id="24" w:name="page25"/>
    <w:bookmarkEnd w:id="24"/>
    <w:p>
      <w:pPr>
        <w:ind w:left="10700"/>
        <w:spacing w:after="0"/>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5911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185"/>
                    </a:xfrm>
                    <a:prstGeom prst="rect">
                      <a:avLst/>
                    </a:prstGeom>
                    <a:noFill/>
                  </pic:spPr>
                </pic:pic>
              </a:graphicData>
            </a:graphic>
          </wp:anchor>
        </w:drawing>
        <w:t>Exhibit</w:t>
      </w:r>
    </w:p>
    <w:p>
      <w:pPr>
        <w:ind w:left="10740"/>
        <w:spacing w:after="0" w:line="238" w:lineRule="auto"/>
        <w:rPr>
          <w:sz w:val="20"/>
          <w:szCs w:val="20"/>
          <w:color w:val="auto"/>
        </w:rPr>
      </w:pPr>
      <w:r>
        <w:rPr>
          <w:rFonts w:ascii="Calibri" w:cs="Calibri" w:eastAsia="Calibri" w:hAnsi="Calibri"/>
          <w:sz w:val="20"/>
          <w:szCs w:val="20"/>
          <w:color w:val="auto"/>
        </w:rPr>
        <w:t>99.1</w:t>
      </w:r>
    </w:p>
    <w:p>
      <w:pPr>
        <w:spacing w:after="0" w:line="16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Investor.relations@dxlg.com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603-933-0541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1" w:right="319" w:bottom="1440"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04"/>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3"/>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1)"/>
      <w:numFmt w:val="lowerLetter"/>
      <w:start w:val="3"/>
    </w:lvl>
  </w:abstractNum>
  <w:abstractNum w:abstractNumId="7">
    <w:nsid w:val="6CEAF087"/>
    <w:multiLevelType w:val="hybridMultilevel"/>
    <w:lvl w:ilvl="0">
      <w:lvlJc w:val="left"/>
      <w:lvlText w:val="%1."/>
      <w:numFmt w:val="decimal"/>
      <w:start w:val="4"/>
    </w:lvl>
  </w:abstractNum>
  <w:abstractNum w:abstractNumId="8">
    <w:nsid w:val="22221A70"/>
    <w:multiLevelType w:val="hybridMultilevel"/>
    <w:lvl w:ilvl="0">
      <w:lvlJc w:val="left"/>
      <w:lvlText w:val="%1."/>
      <w:numFmt w:val="decimal"/>
      <w:start w:val="5"/>
    </w:lvl>
  </w:abstractNum>
  <w:abstractNum w:abstractNumId="9">
    <w:nsid w:val="4516DDE9"/>
    <w:multiLevelType w:val="hybridMultilevel"/>
    <w:lvl w:ilvl="0">
      <w:lvlJc w:val="left"/>
      <w:lvlText w:val="(%1)"/>
      <w:numFmt w:val="lowerLetter"/>
      <w:start w:val="1"/>
    </w:lvl>
  </w:abstractNum>
  <w:abstractNum w:abstractNumId="10">
    <w:nsid w:val="3006C83E"/>
    <w:multiLevelType w:val="hybridMultilevel"/>
    <w:lvl w:ilvl="0">
      <w:lvlJc w:val="left"/>
      <w:lvlText w:val="%1."/>
      <w:numFmt w:val="decimal"/>
      <w:start w:val="6"/>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1)"/>
      <w:numFmt w:val="lowerLetter"/>
      <w:start w:val="2"/>
    </w:lvl>
  </w:abstractNum>
  <w:abstractNum w:abstractNumId="13">
    <w:nsid w:val="5577F8E1"/>
    <w:multiLevelType w:val="hybridMultilevel"/>
    <w:lvl w:ilvl="0">
      <w:lvlJc w:val="left"/>
      <w:lvlText w:val="%1."/>
      <w:numFmt w:val="decimal"/>
      <w:start w:val="7"/>
    </w:lvl>
  </w:abstractNum>
  <w:abstractNum w:abstractNumId="14">
    <w:nsid w:val="440BADFC"/>
    <w:multiLevelType w:val="hybridMultilevel"/>
    <w:lvl w:ilvl="0">
      <w:lvlJc w:val="left"/>
      <w:lvlText w:val="(%1)"/>
      <w:numFmt w:val="lowerLetter"/>
      <w:start w:val="1"/>
    </w:lvl>
    <w:lvl w:ilvl="1">
      <w:lvlJc w:val="left"/>
      <w:lvlText w:val="(%2)"/>
      <w:numFmt w:val="lowerRoman"/>
      <w:start w:val="1"/>
    </w:lvl>
  </w:abstractNum>
  <w:abstractNum w:abstractNumId="15">
    <w:nsid w:val="5072367"/>
    <w:multiLevelType w:val="hybridMultilevel"/>
    <w:lvl w:ilvl="0">
      <w:lvlJc w:val="left"/>
      <w:lvlText w:val="(%1)"/>
      <w:numFmt w:val="lowerLetter"/>
      <w:start w:val="5"/>
    </w:lvl>
  </w:abstractNum>
  <w:abstractNum w:abstractNumId="16">
    <w:nsid w:val="3804823E"/>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17">
    <w:nsid w:val="77465F01"/>
    <w:multiLevelType w:val="hybridMultilevel"/>
    <w:lvl w:ilvl="0">
      <w:lvlJc w:val="left"/>
      <w:lvlText w:val="%1"/>
      <w:numFmt w:val="lowerLetter"/>
      <w:start w:val="1"/>
    </w:lvl>
    <w:lvl w:ilvl="1">
      <w:lvlJc w:val="left"/>
      <w:lvlText w:val="%2)"/>
      <w:numFmt w:val="decimal"/>
      <w:start w:val="1"/>
    </w:lvl>
  </w:abstractNum>
  <w:abstractNum w:abstractNumId="18">
    <w:nsid w:val="7724C67E"/>
    <w:multiLevelType w:val="hybridMultilevel"/>
    <w:lvl w:ilvl="0">
      <w:lvlJc w:val="left"/>
      <w:lvlText w:val="(%1)"/>
      <w:numFmt w:val="lowerLetter"/>
      <w:start w:val="11"/>
    </w:lvl>
    <w:lvl w:ilvl="1">
      <w:lvlJc w:val="left"/>
      <w:lvlText w:val="%2"/>
      <w:numFmt w:val="decimal"/>
      <w:start w:val="1"/>
    </w:lvl>
  </w:abstractNum>
  <w:abstractNum w:abstractNumId="19">
    <w:nsid w:val="5C482A97"/>
    <w:multiLevelType w:val="hybridMultilevel"/>
    <w:lvl w:ilvl="0">
      <w:lvlJc w:val="left"/>
      <w:lvlText w:val="%1."/>
      <w:numFmt w:val="decimal"/>
      <w:start w:val="8"/>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3"/>
    </w:lvl>
    <w:lvl w:ilvl="1">
      <w:lvlJc w:val="left"/>
      <w:lvlText w:val="(%2)"/>
      <w:numFmt w:val="lowerRoman"/>
      <w:start w:val="1"/>
    </w:lvl>
  </w:abstractNum>
  <w:abstractNum w:abstractNumId="22">
    <w:nsid w:val="51EAD36B"/>
    <w:multiLevelType w:val="hybridMultilevel"/>
    <w:lvl w:ilvl="0">
      <w:lvlJc w:val="left"/>
      <w:lvlText w:val="%1."/>
      <w:numFmt w:val="decimal"/>
      <w:start w:val="9"/>
    </w:lvl>
  </w:abstractNum>
  <w:abstractNum w:abstractNumId="23">
    <w:nsid w:val="2D517796"/>
    <w:multiLevelType w:val="hybridMultilevel"/>
    <w:lvl w:ilvl="0">
      <w:lvlJc w:val="left"/>
      <w:lvlText w:val="(%1)"/>
      <w:numFmt w:val="lowerLetter"/>
      <w:start w:val="1"/>
    </w:lvl>
  </w:abstractNum>
  <w:abstractNum w:abstractNumId="24">
    <w:nsid w:val="580BD78F"/>
    <w:multiLevelType w:val="hybridMultilevel"/>
    <w:lvl w:ilvl="0">
      <w:lvlJc w:val="left"/>
      <w:lvlText w:val="%1."/>
      <w:numFmt w:val="decimal"/>
      <w:start w:val="10"/>
    </w:lvl>
  </w:abstractNum>
  <w:abstractNum w:abstractNumId="25">
    <w:nsid w:val="153EA438"/>
    <w:multiLevelType w:val="hybridMultilevel"/>
    <w:lvl w:ilvl="0">
      <w:lvlJc w:val="left"/>
      <w:lvlText w:val="(%1)"/>
      <w:numFmt w:val="lowerLetter"/>
      <w:start w:val="1"/>
    </w:lvl>
  </w:abstractNum>
  <w:abstractNum w:abstractNumId="26">
    <w:nsid w:val="3855585C"/>
    <w:multiLevelType w:val="hybridMultilevel"/>
    <w:lvl w:ilvl="0">
      <w:lvlJc w:val="left"/>
      <w:lvlText w:val="(%1)"/>
      <w:numFmt w:val="lowerLetter"/>
      <w:start w:val="2"/>
    </w:lvl>
  </w:abstractNum>
  <w:abstractNum w:abstractNumId="27">
    <w:nsid w:val="70A64E2A"/>
    <w:multiLevelType w:val="hybridMultilevel"/>
    <w:lvl w:ilvl="0">
      <w:lvlJc w:val="left"/>
      <w:lvlText w:val="%1."/>
      <w:numFmt w:val="decimal"/>
      <w:start w:val="11"/>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1."/>
      <w:numFmt w:val="decimal"/>
      <w:start w:val="12"/>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decimal"/>
      <w:start w:val="13"/>
    </w:lvl>
  </w:abstractNum>
  <w:abstractNum w:abstractNumId="32">
    <w:nsid w:val="2CD89A32"/>
    <w:multiLevelType w:val="hybridMultilevel"/>
    <w:lvl w:ilvl="0">
      <w:lvlJc w:val="left"/>
      <w:lvlText w:val="%1."/>
      <w:numFmt w:val="decimal"/>
      <w:start w:val="14"/>
    </w:lvl>
  </w:abstractNum>
  <w:abstractNum w:abstractNumId="33">
    <w:nsid w:val="57E4CCAF"/>
    <w:multiLevelType w:val="hybridMultilevel"/>
    <w:lvl w:ilvl="0">
      <w:lvlJc w:val="left"/>
      <w:lvlText w:val="%1."/>
      <w:numFmt w:val="decimal"/>
      <w:start w:val="15"/>
    </w:lvl>
  </w:abstractNum>
  <w:abstractNum w:abstractNumId="34">
    <w:nsid w:val="7A6D8D3C"/>
    <w:multiLevelType w:val="hybridMultilevel"/>
    <w:lvl w:ilvl="0">
      <w:lvlJc w:val="left"/>
      <w:lvlText w:val="%1."/>
      <w:numFmt w:val="decimal"/>
      <w:start w:val="16"/>
    </w:lvl>
  </w:abstractNum>
  <w:abstractNum w:abstractNumId="35">
    <w:nsid w:val="4B588F54"/>
    <w:multiLevelType w:val="hybridMultilevel"/>
    <w:lvl w:ilvl="0">
      <w:lvlJc w:val="left"/>
      <w:lvlText w:val="%1."/>
      <w:numFmt w:val="decimal"/>
      <w:start w:val="17"/>
    </w:lvl>
  </w:abstractNum>
  <w:abstractNum w:abstractNumId="36">
    <w:nsid w:val="542289EC"/>
    <w:multiLevelType w:val="hybridMultilevel"/>
    <w:lvl w:ilvl="0">
      <w:lvlJc w:val="left"/>
      <w:lvlText w:val="%1."/>
      <w:numFmt w:val="decimal"/>
      <w:start w:val="18"/>
    </w:lvl>
  </w:abstractNum>
  <w:abstractNum w:abstractNumId="37">
    <w:nsid w:val="6DE91B18"/>
    <w:multiLevelType w:val="hybridMultilevel"/>
    <w:lvl w:ilvl="0">
      <w:lvlJc w:val="left"/>
      <w:lvlText w:val="%1."/>
      <w:numFmt w:val="decimal"/>
      <w:start w:val="19"/>
    </w:lvl>
  </w:abstractNum>
  <w:abstractNum w:abstractNumId="38">
    <w:nsid w:val="38437FDB"/>
    <w:multiLevelType w:val="hybridMultilevel"/>
    <w:lvl w:ilvl="0">
      <w:lvlJc w:val="left"/>
      <w:lvlText w:val="%1."/>
      <w:numFmt w:val="decimal"/>
      <w:start w:val="20"/>
    </w:lvl>
  </w:abstractNum>
  <w:abstractNum w:abstractNumId="39">
    <w:nsid w:val="7644A45C"/>
    <w:multiLevelType w:val="hybridMultilevel"/>
    <w:lvl w:ilvl="0">
      <w:lvlJc w:val="left"/>
      <w:lvlText w:val="%1."/>
      <w:numFmt w:val="decimal"/>
      <w:start w:val="21"/>
    </w:lvl>
  </w:abstractNum>
  <w:abstractNum w:abstractNumId="40">
    <w:nsid w:val="32FFF902"/>
    <w:multiLevelType w:val="hybridMultilevel"/>
    <w:lvl w:ilvl="0">
      <w:lvlJc w:val="left"/>
      <w:lvlText w:val="%1."/>
      <w:numFmt w:val="decimal"/>
      <w:start w:val="22"/>
    </w:lvl>
  </w:abstractNum>
  <w:abstractNum w:abstractNumId="41">
    <w:nsid w:val="684A481A"/>
    <w:multiLevelType w:val="hybridMultilevel"/>
    <w:lvl w:ilvl="0">
      <w:lvlJc w:val="left"/>
      <w:lvlText w:val="%1."/>
      <w:numFmt w:val="decimal"/>
      <w:start w:val="23"/>
    </w:lvl>
  </w:abstractNum>
  <w:abstractNum w:abstractNumId="42">
    <w:nsid w:val="579478FE"/>
    <w:multiLevelType w:val="hybridMultilevel"/>
    <w:lvl w:ilvl="0">
      <w:lvlJc w:val="left"/>
      <w:lvlText w:val="%1."/>
      <w:numFmt w:val="decimal"/>
      <w:start w:val="24"/>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decimal"/>
      <w:start w:val="25"/>
    </w:lvl>
  </w:abstractNum>
  <w:abstractNum w:abstractNumId="45">
    <w:nsid w:val="1BA026FA"/>
    <w:multiLevelType w:val="hybridMultilevel"/>
    <w:lvl w:ilvl="0">
      <w:lvlJc w:val="left"/>
      <w:lvlText w:val="%1."/>
      <w:numFmt w:val="decimal"/>
      <w:start w:val="26"/>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3"/>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lowerLetter"/>
      <w:start w:val="2"/>
    </w:lvl>
  </w:abstractNum>
  <w:abstractNum w:abstractNumId="51">
    <w:nsid w:val="374A3FE6"/>
    <w:multiLevelType w:val="hybridMultilevel"/>
    <w:lvl w:ilvl="0">
      <w:lvlJc w:val="left"/>
      <w:lvlText w:val="%1."/>
      <w:numFmt w:val="decimal"/>
      <w:start w:val="4"/>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decimal"/>
      <w:start w:val="5"/>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2023-01-30T06:35:08Z</dcterms:created>
  <dcterms:modified xsi:type="dcterms:W3CDTF">2023-01-30T06:35:08Z</dcterms:modified>
</cp:coreProperties>
</file>