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August 25,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333-136890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333-163245</w:t>
      </w:r>
    </w:p>
    <w:p>
      <w:pPr>
        <w:jc w:val="right"/>
        <w:spacing w:after="0" w:line="230" w:lineRule="auto"/>
        <w:rPr>
          <w:sz w:val="20"/>
          <w:szCs w:val="20"/>
          <w:color w:val="auto"/>
        </w:rPr>
      </w:pPr>
      <w:r>
        <w:rPr>
          <w:rFonts w:ascii="Arial" w:cs="Arial" w:eastAsia="Arial" w:hAnsi="Arial"/>
          <w:sz w:val="22"/>
          <w:szCs w:val="22"/>
          <w:b w:val="1"/>
          <w:bCs w:val="1"/>
          <w:color w:val="auto"/>
        </w:rPr>
        <w:t>Registration No. 333-170708</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333-194627</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1"/>
              </w:rPr>
              <w:t>Post-Effective Amendment No. 1</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2"/>
              </w:rPr>
              <w:t>to Form S-8</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Registration Statement</w:t>
            </w:r>
          </w:p>
        </w:tc>
        <w:tc>
          <w:tcPr>
            <w:tcW w:w="0" w:type="dxa"/>
            <w:vAlign w:val="bottom"/>
          </w:tcPr>
          <w:p>
            <w:pPr>
              <w:spacing w:after="0"/>
              <w:rPr>
                <w:sz w:val="1"/>
                <w:szCs w:val="1"/>
                <w:color w:val="auto"/>
              </w:rPr>
            </w:pPr>
          </w:p>
        </w:tc>
      </w:tr>
      <w:tr>
        <w:trPr>
          <w:trHeight w:val="329"/>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under the Securities Act of 1933</w:t>
            </w:r>
          </w:p>
        </w:tc>
        <w:tc>
          <w:tcPr>
            <w:tcW w:w="0" w:type="dxa"/>
            <w:vAlign w:val="bottom"/>
          </w:tcPr>
          <w:p>
            <w:pPr>
              <w:spacing w:after="0"/>
              <w:rPr>
                <w:sz w:val="1"/>
                <w:szCs w:val="1"/>
                <w:color w:val="auto"/>
              </w:rPr>
            </w:pPr>
          </w:p>
        </w:tc>
      </w:tr>
      <w:tr>
        <w:trPr>
          <w:trHeight w:val="578"/>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360" w:type="dxa"/>
            <w:vAlign w:val="bottom"/>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684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40" w:type="dxa"/>
            <w:vAlign w:val="bottom"/>
          </w:tcPr>
          <w:p>
            <w:pPr>
              <w:jc w:val="center"/>
              <w:ind w:left="56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6840" w:type="dxa"/>
            <w:vAlign w:val="bottom"/>
          </w:tcPr>
          <w:p>
            <w:pPr>
              <w:jc w:val="center"/>
              <w:ind w:left="567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6840" w:type="dxa"/>
            <w:vAlign w:val="bottom"/>
            <w:vMerge w:val="restart"/>
          </w:tcPr>
          <w:p>
            <w:pPr>
              <w:jc w:val="right"/>
              <w:ind w:right="152"/>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Canton, Massachusetts</w:t>
            </w:r>
          </w:p>
        </w:tc>
        <w:tc>
          <w:tcPr>
            <w:tcW w:w="6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6840" w:type="dxa"/>
            <w:vAlign w:val="bottom"/>
          </w:tcPr>
          <w:p>
            <w:pPr>
              <w:jc w:val="center"/>
              <w:ind w:left="5672"/>
              <w:spacing w:after="0" w:line="135" w:lineRule="exact"/>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8"/>
              </w:rPr>
              <w:t>DESTINATION XL GROUP, INC.</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32"/>
              <w:spacing w:after="0" w:line="249" w:lineRule="exact"/>
              <w:rPr>
                <w:sz w:val="20"/>
                <w:szCs w:val="20"/>
                <w:color w:val="auto"/>
              </w:rPr>
            </w:pPr>
            <w:r>
              <w:rPr>
                <w:rFonts w:ascii="Arial" w:cs="Arial" w:eastAsia="Arial" w:hAnsi="Arial"/>
                <w:sz w:val="22"/>
                <w:szCs w:val="22"/>
                <w:b w:val="1"/>
                <w:bCs w:val="1"/>
                <w:color w:val="auto"/>
                <w:w w:val="98"/>
              </w:rPr>
              <w:t>2006 INCENTIVE COMPENSATION PLAN</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93"/>
              </w:rPr>
              <w:t>(Full title of the plan)</w:t>
            </w:r>
          </w:p>
        </w:tc>
        <w:tc>
          <w:tcPr>
            <w:tcW w:w="0" w:type="dxa"/>
            <w:vAlign w:val="bottom"/>
          </w:tcPr>
          <w:p>
            <w:pPr>
              <w:spacing w:after="0"/>
              <w:rPr>
                <w:sz w:val="1"/>
                <w:szCs w:val="1"/>
                <w:color w:val="auto"/>
              </w:rPr>
            </w:pPr>
          </w:p>
        </w:tc>
      </w:tr>
      <w:tr>
        <w:trPr>
          <w:trHeight w:val="449"/>
        </w:trPr>
        <w:tc>
          <w:tcPr>
            <w:tcW w:w="2360" w:type="dxa"/>
            <w:vAlign w:val="bottom"/>
          </w:tcPr>
          <w:p>
            <w:pPr>
              <w:spacing w:after="0"/>
              <w:rPr>
                <w:sz w:val="24"/>
                <w:szCs w:val="24"/>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b w:val="1"/>
                <w:bCs w:val="1"/>
                <w:color w:val="auto"/>
                <w:w w:val="90"/>
              </w:rPr>
              <w:t>Robert S. Molloy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88"/>
              </w:rPr>
              <w:t>Senior Vice President, General Counsel and Secretary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1"/>
              </w:rPr>
              <w:t>Destination XL Group, Inc.</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12"/>
              <w:spacing w:after="0" w:line="243" w:lineRule="exact"/>
              <w:rPr>
                <w:sz w:val="20"/>
                <w:szCs w:val="20"/>
                <w:color w:val="auto"/>
              </w:rPr>
            </w:pPr>
            <w:r>
              <w:rPr>
                <w:rFonts w:ascii="Arial" w:cs="Arial" w:eastAsia="Arial" w:hAnsi="Arial"/>
                <w:sz w:val="22"/>
                <w:szCs w:val="22"/>
                <w:b w:val="1"/>
                <w:bCs w:val="1"/>
                <w:color w:val="auto"/>
                <w:w w:val="90"/>
              </w:rPr>
              <w:t>555 Turnpike Street</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12"/>
              <w:spacing w:after="0" w:line="249" w:lineRule="exact"/>
              <w:rPr>
                <w:sz w:val="20"/>
                <w:szCs w:val="20"/>
                <w:color w:val="auto"/>
              </w:rPr>
            </w:pPr>
            <w:r>
              <w:rPr>
                <w:rFonts w:ascii="Arial" w:cs="Arial" w:eastAsia="Arial" w:hAnsi="Arial"/>
                <w:sz w:val="22"/>
                <w:szCs w:val="22"/>
                <w:b w:val="1"/>
                <w:bCs w:val="1"/>
                <w:color w:val="auto"/>
                <w:w w:val="86"/>
              </w:rPr>
              <w:t>Canton, Massachusetts 02021</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7"/>
              </w:rPr>
              <w:t>(Name and address of agent for service)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No.1 (this “Post-Effective Amendment”) to each of the following Registration Statements on Form S-8 (the “Prior Registration Statements”) of Destination Group XL, Inc. (the “Registrant”) relating to the offering and sale of shares of Common Stock under the Registrant’s 2006 Incentive Compensation Plan (the “2006 Plan”): (i) Registration Statement on Form S-8, File No. 333-136890, filed with the Securities and Exchange Commission (the “Commission”) on August 25, 2006, (ii) Registration Statement on Form S-8, File No. 333-163245, filed with the Commission on November 20, 2009, (iii) Registration Statement on Form S-8, File No. 333-170708, filed with the Commission on November 19, 2010 and (iv) Registration Statement on Form S-8, File No. 333-194627, filed with the Commission on March 14, 2014, is being filed to deregister any and all securities that remain unsold pursuant to the Prior Registration Statements.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4, 2016, the Registrant’s stockholders approved the Destination XL Group, Inc. 2016 Incentive Compensation Plan (the “2016 Plan”). Pursuant to the 2016 Plan, any shares of Common Stock that remain available for issuance under the 2006 Plan as of August 4, 2016 are to be included in the number of shares of Common Stock available for issuance under the 2016 Plan. No future grants will be made under the 2006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DEREGISTRATION OF UNSOLD SECURITIES</w:t>
      </w:r>
    </w:p>
    <w:p>
      <w:pPr>
        <w:spacing w:after="0" w:line="200" w:lineRule="exact"/>
        <w:rPr>
          <w:sz w:val="20"/>
          <w:szCs w:val="20"/>
          <w:color w:val="auto"/>
        </w:rPr>
      </w:pP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the undertaking contained in the Prior Registration Statements, the Registrant hereby deregisters all shares of Common Stock that were previously registered under the Prior Registration Statements that remain unissued under the 2006 Plan; provided that the Prior Registration Statements will remain in effect to cover the potential issuance of shares of Common Stock pursuant to outstanding awards that were granted under the 2006 Plan prior to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000033"/>
        </w:rPr>
        <w:t>SIGNATURES</w:t>
      </w:r>
    </w:p>
    <w:p>
      <w:pPr>
        <w:spacing w:after="0" w:line="219" w:lineRule="exact"/>
        <w:rPr>
          <w:sz w:val="20"/>
          <w:szCs w:val="20"/>
          <w:color w:val="auto"/>
        </w:rPr>
      </w:pPr>
    </w:p>
    <w:p>
      <w:pPr>
        <w:spacing w:after="0" w:line="312"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Town of Canton, Commonwealth of Massachusetts, on this 25th day of August 2016.</w:t>
      </w:r>
    </w:p>
    <w:p>
      <w:pPr>
        <w:spacing w:after="0" w:line="3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25, 2016</w:t>
      </w:r>
    </w:p>
    <w:p>
      <w:pPr>
        <w:spacing w:after="0" w:line="20"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20"/>
        <w:spacing w:after="0"/>
        <w:rPr>
          <w:sz w:val="20"/>
          <w:szCs w:val="20"/>
          <w:color w:val="auto"/>
        </w:rPr>
      </w:pPr>
      <w:r>
        <w:rPr>
          <w:rFonts w:ascii="Arial" w:cs="Arial" w:eastAsia="Arial" w:hAnsi="Arial"/>
          <w:sz w:val="14"/>
          <w:szCs w:val="14"/>
          <w:b w:val="1"/>
          <w:bCs w:val="1"/>
          <w:color w:val="000033"/>
        </w:rPr>
        <w:t>Senior Vice President, General Counsel and Secretary</w:t>
      </w:r>
    </w:p>
    <w:sectPr>
      <w:pgSz w:w="11900" w:h="16838" w:orient="portrait"/>
      <w:cols w:equalWidth="0" w:num="1">
        <w:col w:w="11280"/>
      </w:cols>
      <w:pgMar w:left="24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2019-12-05T20:00:24Z</dcterms:created>
  <dcterms:modified xsi:type="dcterms:W3CDTF">2019-12-05T20:00:24Z</dcterms:modified>
</cp:coreProperties>
</file>