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ind w:right="640"/>
        <w:spacing w:after="0" w:line="280"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2016 Incentive Compensation Plan</w:t>
      </w:r>
    </w:p>
    <w:p>
      <w:pPr>
        <w:spacing w:after="0" w:line="206"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On August 5, 2021, Destination XL Group, Inc. (the “Company”) held its Annual Meeting of Stockholders (the “Annual Meeting”) as discussed in Item 5.07 below. At the Annual Meeting, the Company’s stockholders approved amendments to the Company’s 2016 Incentive Compensation Plan (the “2016 Plan”) to increase the total number of shares of common stock authorized for issuance under the 2016 Plan by 4,855,000 shares.</w:t>
      </w:r>
    </w:p>
    <w:p>
      <w:pPr>
        <w:spacing w:after="0" w:line="185"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For a description of the material features of the 2016 Plan see “</w:t>
      </w:r>
      <w:r>
        <w:rPr>
          <w:rFonts w:ascii="Arial" w:cs="Arial" w:eastAsia="Arial" w:hAnsi="Arial"/>
          <w:sz w:val="19"/>
          <w:szCs w:val="19"/>
          <w:i w:val="1"/>
          <w:iCs w:val="1"/>
          <w:color w:val="auto"/>
        </w:rPr>
        <w:t>Proposal 4 –Amendments to the Company’s 2016 Incentive</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 Plan to Increase the Total Number of Shares of Common Stock Authorized for Issuance Under the Plan by 4,855,000 Shares –Summary of the 2016 Incentive Compensation Plan</w:t>
      </w:r>
      <w:r>
        <w:rPr>
          <w:rFonts w:ascii="Arial" w:cs="Arial" w:eastAsia="Arial" w:hAnsi="Arial"/>
          <w:sz w:val="19"/>
          <w:szCs w:val="19"/>
          <w:color w:val="auto"/>
        </w:rPr>
        <w:t>” on pages 41 through 48 of the Company’s Definitive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Proxy Statement on Schedule 14A filed on July 2, 2021 in connection with the Annual Meeting. </w:t>
      </w:r>
      <w:r>
        <w:rPr>
          <w:rFonts w:ascii="Arial" w:cs="Arial" w:eastAsia="Arial" w:hAnsi="Arial"/>
          <w:sz w:val="19"/>
          <w:szCs w:val="19"/>
          <w:color w:val="212121"/>
        </w:rPr>
        <w:t>Such description is qualified in</w:t>
      </w:r>
      <w:r>
        <w:rPr>
          <w:rFonts w:ascii="Arial" w:cs="Arial" w:eastAsia="Arial" w:hAnsi="Arial"/>
          <w:sz w:val="19"/>
          <w:szCs w:val="19"/>
          <w:color w:val="auto"/>
        </w:rPr>
        <w:t xml:space="preserve"> </w:t>
      </w:r>
      <w:r>
        <w:rPr>
          <w:rFonts w:ascii="Arial" w:cs="Arial" w:eastAsia="Arial" w:hAnsi="Arial"/>
          <w:sz w:val="19"/>
          <w:szCs w:val="19"/>
          <w:color w:val="212121"/>
        </w:rPr>
        <w:t xml:space="preserve">its entirety by reference to the </w:t>
      </w:r>
      <w:r>
        <w:rPr>
          <w:rFonts w:ascii="Arial" w:cs="Arial" w:eastAsia="Arial" w:hAnsi="Arial"/>
          <w:sz w:val="19"/>
          <w:szCs w:val="19"/>
          <w:color w:val="000000"/>
        </w:rPr>
        <w:t>2016 Plan, as approved and amended by the Company’s Board of Directors and stockholders,</w:t>
      </w:r>
      <w:r>
        <w:rPr>
          <w:rFonts w:ascii="Arial" w:cs="Arial" w:eastAsia="Arial" w:hAnsi="Arial"/>
          <w:sz w:val="19"/>
          <w:szCs w:val="19"/>
          <w:color w:val="212121"/>
        </w:rPr>
        <w:t xml:space="preserve"> </w:t>
      </w:r>
      <w:r>
        <w:rPr>
          <w:rFonts w:ascii="Arial" w:cs="Arial" w:eastAsia="Arial" w:hAnsi="Arial"/>
          <w:sz w:val="19"/>
          <w:szCs w:val="19"/>
          <w:color w:val="000000"/>
        </w:rPr>
        <w:t>which is filed as Exhibit 10.1 hereto and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12"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On August 5, 2021, the Company held its Annual Meeting. Set forth below are the matters submitted at the Annual Meeting by the Board of Directors of the Company to a vote of stockholders and the final results of the voting for each proposal.</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1: Election of Directors.</w:t>
      </w:r>
    </w:p>
    <w:p>
      <w:pPr>
        <w:spacing w:after="0" w:line="212"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The Company’s stockholders elected six directors to hold office until the 2021 Annual Meeting of Stockholders and until their respective successors are duly elected and qualified. The results of the voting were as follows</w:t>
      </w:r>
      <w:r>
        <w:rPr>
          <w:rFonts w:ascii="Arial" w:cs="Arial" w:eastAsia="Arial" w:hAnsi="Arial"/>
          <w:sz w:val="17"/>
          <w:szCs w:val="17"/>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960" w:type="dxa"/>
            <w:vAlign w:val="bottom"/>
            <w:gridSpan w:val="2"/>
          </w:tcPr>
          <w:p>
            <w:pPr>
              <w:ind w:left="740"/>
              <w:spacing w:after="0"/>
              <w:rPr>
                <w:sz w:val="20"/>
                <w:szCs w:val="20"/>
                <w:color w:val="auto"/>
              </w:rPr>
            </w:pPr>
            <w:r>
              <w:rPr>
                <w:rFonts w:ascii="Arial" w:cs="Arial" w:eastAsia="Arial" w:hAnsi="Arial"/>
                <w:sz w:val="18"/>
                <w:szCs w:val="18"/>
                <w:color w:val="auto"/>
              </w:rPr>
              <w:t>FOR</w:t>
            </w:r>
          </w:p>
        </w:tc>
        <w:tc>
          <w:tcPr>
            <w:tcW w:w="1960" w:type="dxa"/>
            <w:vAlign w:val="bottom"/>
            <w:gridSpan w:val="2"/>
          </w:tcPr>
          <w:p>
            <w:pPr>
              <w:ind w:left="520"/>
              <w:spacing w:after="0"/>
              <w:rPr>
                <w:sz w:val="20"/>
                <w:szCs w:val="20"/>
                <w:color w:val="auto"/>
              </w:rPr>
            </w:pPr>
            <w:r>
              <w:rPr>
                <w:rFonts w:ascii="Arial" w:cs="Arial" w:eastAsia="Arial" w:hAnsi="Arial"/>
                <w:sz w:val="18"/>
                <w:szCs w:val="18"/>
                <w:color w:val="auto"/>
              </w:rPr>
              <w:t>AGAINST</w:t>
            </w:r>
          </w:p>
        </w:tc>
        <w:tc>
          <w:tcPr>
            <w:tcW w:w="1940" w:type="dxa"/>
            <w:vAlign w:val="bottom"/>
            <w:gridSpan w:val="2"/>
          </w:tcPr>
          <w:p>
            <w:pPr>
              <w:ind w:left="520"/>
              <w:spacing w:after="0"/>
              <w:rPr>
                <w:sz w:val="20"/>
                <w:szCs w:val="20"/>
                <w:color w:val="auto"/>
              </w:rPr>
            </w:pPr>
            <w:r>
              <w:rPr>
                <w:rFonts w:ascii="Arial" w:cs="Arial" w:eastAsia="Arial" w:hAnsi="Arial"/>
                <w:sz w:val="18"/>
                <w:szCs w:val="18"/>
                <w:color w:val="auto"/>
              </w:rPr>
              <w:t>ABSTAIN</w:t>
            </w:r>
          </w:p>
        </w:tc>
        <w:tc>
          <w:tcPr>
            <w:tcW w:w="1860" w:type="dxa"/>
            <w:vAlign w:val="bottom"/>
          </w:tcPr>
          <w:p>
            <w:pPr>
              <w:jc w:val="right"/>
              <w:ind w:right="182"/>
              <w:spacing w:after="0"/>
              <w:rPr>
                <w:sz w:val="20"/>
                <w:szCs w:val="20"/>
                <w:color w:val="auto"/>
              </w:rPr>
            </w:pPr>
            <w:r>
              <w:rPr>
                <w:rFonts w:ascii="Arial" w:cs="Arial" w:eastAsia="Arial" w:hAnsi="Arial"/>
                <w:sz w:val="18"/>
                <w:szCs w:val="18"/>
                <w:color w:val="auto"/>
              </w:rPr>
              <w:t>Broker Non-Votes</w:t>
            </w:r>
          </w:p>
        </w:tc>
      </w:tr>
      <w:tr>
        <w:trPr>
          <w:trHeight w:val="233"/>
        </w:trPr>
        <w:tc>
          <w:tcPr>
            <w:tcW w:w="3400" w:type="dxa"/>
            <w:vAlign w:val="bottom"/>
          </w:tcPr>
          <w:p>
            <w:pPr>
              <w:spacing w:after="0"/>
              <w:rPr>
                <w:sz w:val="20"/>
                <w:szCs w:val="20"/>
                <w:color w:val="auto"/>
              </w:rPr>
            </w:pPr>
            <w:r>
              <w:rPr>
                <w:rFonts w:ascii="Arial" w:cs="Arial" w:eastAsia="Arial" w:hAnsi="Arial"/>
                <w:sz w:val="18"/>
                <w:szCs w:val="18"/>
                <w:color w:val="auto"/>
              </w:rPr>
              <w:t>Harvey S. Kanter</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41,308,081</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31,991</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9,865</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15,169,599</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Jack Boyle</w:t>
            </w:r>
          </w:p>
        </w:tc>
        <w:tc>
          <w:tcPr>
            <w:tcW w:w="1840" w:type="dxa"/>
            <w:vAlign w:val="bottom"/>
          </w:tcPr>
          <w:p>
            <w:pPr>
              <w:jc w:val="right"/>
              <w:spacing w:after="0"/>
              <w:rPr>
                <w:sz w:val="20"/>
                <w:szCs w:val="20"/>
                <w:color w:val="auto"/>
              </w:rPr>
            </w:pPr>
            <w:r>
              <w:rPr>
                <w:rFonts w:ascii="Arial" w:cs="Arial" w:eastAsia="Arial" w:hAnsi="Arial"/>
                <w:sz w:val="20"/>
                <w:szCs w:val="20"/>
                <w:color w:val="auto"/>
              </w:rPr>
              <w:t>41,311,556</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25,534</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12,847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15,169,599</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Lionel F. Conacher</w:t>
            </w:r>
          </w:p>
        </w:tc>
        <w:tc>
          <w:tcPr>
            <w:tcW w:w="1840" w:type="dxa"/>
            <w:vAlign w:val="bottom"/>
          </w:tcPr>
          <w:p>
            <w:pPr>
              <w:jc w:val="right"/>
              <w:spacing w:after="0"/>
              <w:rPr>
                <w:sz w:val="20"/>
                <w:szCs w:val="20"/>
                <w:color w:val="auto"/>
              </w:rPr>
            </w:pPr>
            <w:r>
              <w:rPr>
                <w:rFonts w:ascii="Arial" w:cs="Arial" w:eastAsia="Arial" w:hAnsi="Arial"/>
                <w:sz w:val="20"/>
                <w:szCs w:val="20"/>
                <w:color w:val="auto"/>
              </w:rPr>
              <w:t>41,291,018</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47,079</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11,840</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15,169,599</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Willem Mesdag</w:t>
            </w:r>
          </w:p>
        </w:tc>
        <w:tc>
          <w:tcPr>
            <w:tcW w:w="1840" w:type="dxa"/>
            <w:vAlign w:val="bottom"/>
          </w:tcPr>
          <w:p>
            <w:pPr>
              <w:jc w:val="right"/>
              <w:spacing w:after="0"/>
              <w:rPr>
                <w:sz w:val="20"/>
                <w:szCs w:val="20"/>
                <w:color w:val="auto"/>
              </w:rPr>
            </w:pPr>
            <w:r>
              <w:rPr>
                <w:rFonts w:ascii="Arial" w:cs="Arial" w:eastAsia="Arial" w:hAnsi="Arial"/>
                <w:sz w:val="20"/>
                <w:szCs w:val="20"/>
                <w:color w:val="auto"/>
              </w:rPr>
              <w:t>37,763,812</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3,569,075</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17,050</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15,169,599</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Ivy Ross</w:t>
            </w:r>
          </w:p>
        </w:tc>
        <w:tc>
          <w:tcPr>
            <w:tcW w:w="1840" w:type="dxa"/>
            <w:vAlign w:val="bottom"/>
          </w:tcPr>
          <w:p>
            <w:pPr>
              <w:jc w:val="right"/>
              <w:spacing w:after="0"/>
              <w:rPr>
                <w:sz w:val="20"/>
                <w:szCs w:val="20"/>
                <w:color w:val="auto"/>
              </w:rPr>
            </w:pPr>
            <w:r>
              <w:rPr>
                <w:rFonts w:ascii="Arial" w:cs="Arial" w:eastAsia="Arial" w:hAnsi="Arial"/>
                <w:sz w:val="20"/>
                <w:szCs w:val="20"/>
                <w:color w:val="auto"/>
              </w:rPr>
              <w:t>41,305,471</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33,926</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10,340</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15,169,799</w:t>
            </w:r>
          </w:p>
        </w:tc>
      </w:tr>
      <w:tr>
        <w:trPr>
          <w:trHeight w:val="250"/>
        </w:trPr>
        <w:tc>
          <w:tcPr>
            <w:tcW w:w="3400" w:type="dxa"/>
            <w:vAlign w:val="bottom"/>
          </w:tcPr>
          <w:p>
            <w:pPr>
              <w:spacing w:after="0"/>
              <w:rPr>
                <w:sz w:val="20"/>
                <w:szCs w:val="20"/>
                <w:color w:val="auto"/>
              </w:rPr>
            </w:pPr>
            <w:r>
              <w:rPr>
                <w:rFonts w:ascii="Arial" w:cs="Arial" w:eastAsia="Arial" w:hAnsi="Arial"/>
                <w:sz w:val="18"/>
                <w:szCs w:val="18"/>
                <w:color w:val="auto"/>
              </w:rPr>
              <w:t>Elaine Rubin</w:t>
            </w:r>
          </w:p>
        </w:tc>
        <w:tc>
          <w:tcPr>
            <w:tcW w:w="1840" w:type="dxa"/>
            <w:vAlign w:val="bottom"/>
          </w:tcPr>
          <w:p>
            <w:pPr>
              <w:jc w:val="right"/>
              <w:spacing w:after="0"/>
              <w:rPr>
                <w:sz w:val="20"/>
                <w:szCs w:val="20"/>
                <w:color w:val="auto"/>
              </w:rPr>
            </w:pPr>
            <w:r>
              <w:rPr>
                <w:rFonts w:ascii="Arial" w:cs="Arial" w:eastAsia="Arial" w:hAnsi="Arial"/>
                <w:sz w:val="20"/>
                <w:szCs w:val="20"/>
                <w:color w:val="auto"/>
              </w:rPr>
              <w:t>41,311,121</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28,477</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10,339</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15,169,599</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2: Advisory Vote on Compensation of Named Executive Officers.</w:t>
      </w:r>
    </w:p>
    <w:p>
      <w:pPr>
        <w:spacing w:after="0" w:line="212"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The compensation of the Company's named executive officers was approved by a non-binding advisory vote based upon the following votes: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gridSpan w:val="2"/>
          </w:tcPr>
          <w:p>
            <w:pPr>
              <w:ind w:left="700"/>
              <w:spacing w:after="0"/>
              <w:rPr>
                <w:sz w:val="20"/>
                <w:szCs w:val="20"/>
                <w:color w:val="auto"/>
              </w:rPr>
            </w:pPr>
            <w:r>
              <w:rPr>
                <w:rFonts w:ascii="Arial" w:cs="Arial" w:eastAsia="Arial" w:hAnsi="Arial"/>
                <w:sz w:val="18"/>
                <w:szCs w:val="18"/>
                <w:color w:val="auto"/>
              </w:rPr>
              <w:t>FOR</w:t>
            </w:r>
          </w:p>
        </w:tc>
        <w:tc>
          <w:tcPr>
            <w:tcW w:w="2580" w:type="dxa"/>
            <w:vAlign w:val="bottom"/>
            <w:gridSpan w:val="2"/>
          </w:tcPr>
          <w:p>
            <w:pPr>
              <w:ind w:left="460"/>
              <w:spacing w:after="0"/>
              <w:rPr>
                <w:sz w:val="20"/>
                <w:szCs w:val="20"/>
                <w:color w:val="auto"/>
              </w:rPr>
            </w:pPr>
            <w:r>
              <w:rPr>
                <w:rFonts w:ascii="Arial" w:cs="Arial" w:eastAsia="Arial" w:hAnsi="Arial"/>
                <w:sz w:val="18"/>
                <w:szCs w:val="18"/>
                <w:color w:val="auto"/>
              </w:rPr>
              <w:t>AGAINST</w:t>
            </w:r>
          </w:p>
        </w:tc>
        <w:tc>
          <w:tcPr>
            <w:tcW w:w="2580" w:type="dxa"/>
            <w:vAlign w:val="bottom"/>
            <w:gridSpan w:val="2"/>
          </w:tcPr>
          <w:p>
            <w:pPr>
              <w:ind w:left="480"/>
              <w:spacing w:after="0"/>
              <w:rPr>
                <w:sz w:val="20"/>
                <w:szCs w:val="20"/>
                <w:color w:val="auto"/>
              </w:rPr>
            </w:pPr>
            <w:r>
              <w:rPr>
                <w:rFonts w:ascii="Arial" w:cs="Arial" w:eastAsia="Arial" w:hAnsi="Arial"/>
                <w:sz w:val="18"/>
                <w:szCs w:val="18"/>
                <w:color w:val="auto"/>
              </w:rPr>
              <w:t>ABSTAIN</w:t>
            </w:r>
          </w:p>
        </w:tc>
        <w:tc>
          <w:tcPr>
            <w:tcW w:w="1780" w:type="dxa"/>
            <w:vAlign w:val="bottom"/>
          </w:tcPr>
          <w:p>
            <w:pPr>
              <w:jc w:val="right"/>
              <w:ind w:right="146"/>
              <w:spacing w:after="0"/>
              <w:rPr>
                <w:sz w:val="20"/>
                <w:szCs w:val="20"/>
                <w:color w:val="auto"/>
              </w:rPr>
            </w:pPr>
            <w:r>
              <w:rPr>
                <w:rFonts w:ascii="Arial" w:cs="Arial" w:eastAsia="Arial" w:hAnsi="Arial"/>
                <w:sz w:val="18"/>
                <w:szCs w:val="18"/>
                <w:color w:val="auto"/>
              </w:rPr>
              <w:t>Broker Non-Votes</w:t>
            </w:r>
          </w:p>
        </w:tc>
        <w:tc>
          <w:tcPr>
            <w:tcW w:w="1720" w:type="dxa"/>
            <w:vAlign w:val="bottom"/>
          </w:tcPr>
          <w:p>
            <w:pPr>
              <w:spacing w:after="0"/>
              <w:rPr>
                <w:sz w:val="20"/>
                <w:szCs w:val="20"/>
                <w:color w:val="auto"/>
              </w:rPr>
            </w:pPr>
          </w:p>
        </w:tc>
      </w:tr>
      <w:tr>
        <w:trPr>
          <w:trHeight w:val="244"/>
        </w:trPr>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41,124,832</w:t>
            </w:r>
          </w:p>
        </w:tc>
        <w:tc>
          <w:tcPr>
            <w:tcW w:w="840" w:type="dxa"/>
            <w:vAlign w:val="bottom"/>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191,982</w:t>
            </w:r>
          </w:p>
        </w:tc>
        <w:tc>
          <w:tcPr>
            <w:tcW w:w="840" w:type="dxa"/>
            <w:vAlign w:val="bottom"/>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33,123</w:t>
            </w:r>
          </w:p>
        </w:tc>
        <w:tc>
          <w:tcPr>
            <w:tcW w:w="840" w:type="dxa"/>
            <w:vAlign w:val="bottom"/>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15,169,599</w:t>
            </w:r>
          </w:p>
        </w:tc>
        <w:tc>
          <w:tcPr>
            <w:tcW w:w="1720" w:type="dxa"/>
            <w:vAlign w:val="bottom"/>
          </w:tcPr>
          <w:p>
            <w:pPr>
              <w:spacing w:after="0"/>
              <w:rPr>
                <w:sz w:val="21"/>
                <w:szCs w:val="21"/>
                <w:color w:val="auto"/>
              </w:rPr>
            </w:pPr>
          </w:p>
        </w:tc>
      </w:tr>
      <w:tr>
        <w:trPr>
          <w:trHeight w:val="324"/>
        </w:trPr>
        <w:tc>
          <w:tcPr>
            <w:tcW w:w="1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ind w:right="20"/>
        <w:spacing w:after="0" w:line="280" w:lineRule="auto"/>
        <w:rPr>
          <w:sz w:val="20"/>
          <w:szCs w:val="20"/>
          <w:color w:val="auto"/>
        </w:rPr>
      </w:pPr>
      <w:r>
        <w:rPr>
          <w:rFonts w:ascii="Arial" w:cs="Arial" w:eastAsia="Arial" w:hAnsi="Arial"/>
          <w:sz w:val="21"/>
          <w:szCs w:val="21"/>
          <w:b w:val="1"/>
          <w:bCs w:val="1"/>
          <w:u w:val="single" w:color="auto"/>
          <w:color w:val="auto"/>
        </w:rPr>
        <w:t>Proposal 3: Approval of an Amendment to the Company’s Restated Certificate of Incorporation to increase the authorized number of shares of the Company’s common stock from 100,000,000 shares to 125,000,000 shares.</w:t>
      </w:r>
    </w:p>
    <w:p>
      <w:pPr>
        <w:spacing w:after="0" w:line="14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proposal to amend the Company’s Restated Certificate of Incorporation to increase the authorized number of shares of the Company’s common stock was approved by a majority of the shares of common stock outstanding on the record date based upon the following votes: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2"/>
          </w:tcPr>
          <w:p>
            <w:pPr>
              <w:ind w:left="1180"/>
              <w:spacing w:after="0"/>
              <w:rPr>
                <w:sz w:val="20"/>
                <w:szCs w:val="20"/>
                <w:color w:val="auto"/>
              </w:rPr>
            </w:pPr>
            <w:r>
              <w:rPr>
                <w:rFonts w:ascii="Arial" w:cs="Arial" w:eastAsia="Arial" w:hAnsi="Arial"/>
                <w:sz w:val="18"/>
                <w:szCs w:val="18"/>
                <w:color w:val="auto"/>
              </w:rPr>
              <w:t>FOR</w:t>
            </w:r>
          </w:p>
        </w:tc>
        <w:tc>
          <w:tcPr>
            <w:tcW w:w="2800" w:type="dxa"/>
            <w:vAlign w:val="bottom"/>
            <w:gridSpan w:val="2"/>
          </w:tcPr>
          <w:p>
            <w:pPr>
              <w:ind w:left="940"/>
              <w:spacing w:after="0"/>
              <w:rPr>
                <w:sz w:val="20"/>
                <w:szCs w:val="20"/>
                <w:color w:val="auto"/>
              </w:rPr>
            </w:pPr>
            <w:r>
              <w:rPr>
                <w:rFonts w:ascii="Arial" w:cs="Arial" w:eastAsia="Arial" w:hAnsi="Arial"/>
                <w:sz w:val="18"/>
                <w:szCs w:val="18"/>
                <w:color w:val="auto"/>
              </w:rPr>
              <w:t>AGAINST</w:t>
            </w:r>
          </w:p>
        </w:tc>
        <w:tc>
          <w:tcPr>
            <w:tcW w:w="2680" w:type="dxa"/>
            <w:vAlign w:val="bottom"/>
          </w:tcPr>
          <w:p>
            <w:pPr>
              <w:jc w:val="right"/>
              <w:ind w:right="866"/>
              <w:spacing w:after="0"/>
              <w:rPr>
                <w:sz w:val="20"/>
                <w:szCs w:val="20"/>
                <w:color w:val="auto"/>
              </w:rPr>
            </w:pPr>
            <w:r>
              <w:rPr>
                <w:rFonts w:ascii="Arial" w:cs="Arial" w:eastAsia="Arial" w:hAnsi="Arial"/>
                <w:sz w:val="18"/>
                <w:szCs w:val="18"/>
                <w:color w:val="auto"/>
              </w:rPr>
              <w:t>ABSTAIN</w:t>
            </w:r>
          </w:p>
        </w:tc>
      </w:tr>
      <w:tr>
        <w:trPr>
          <w:trHeight w:val="244"/>
        </w:trPr>
        <w:tc>
          <w:tcPr>
            <w:tcW w:w="2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56,127,464</w:t>
            </w:r>
          </w:p>
        </w:tc>
        <w:tc>
          <w:tcPr>
            <w:tcW w:w="120" w:type="dxa"/>
            <w:vAlign w:val="bottom"/>
          </w:tcPr>
          <w:p>
            <w:pPr>
              <w:spacing w:after="0"/>
              <w:rPr>
                <w:sz w:val="21"/>
                <w:szCs w:val="21"/>
                <w:color w:val="auto"/>
              </w:rPr>
            </w:pP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379,603</w:t>
            </w:r>
          </w:p>
        </w:tc>
        <w:tc>
          <w:tcPr>
            <w:tcW w:w="120" w:type="dxa"/>
            <w:vAlign w:val="bottom"/>
          </w:tcPr>
          <w:p>
            <w:pPr>
              <w:spacing w:after="0"/>
              <w:rPr>
                <w:sz w:val="21"/>
                <w:szCs w:val="21"/>
                <w:color w:val="auto"/>
              </w:rPr>
            </w:pP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12,467</w:t>
            </w:r>
          </w:p>
        </w:tc>
      </w:tr>
    </w:tbl>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u w:val="single" w:color="auto"/>
          <w:color w:val="auto"/>
        </w:rPr>
        <w:t>Proposal 4: Approval of Amendments to the Company’s 2016 Incentive Compensation Plan to increase the total number of shares of common stock authorized for issuance under the plan by 4,855,000 shares.</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amendments to the Company’s 2016 Incentive Compensation Plan were approved by a majority of the votes properly cast based upon the following votes.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2"/>
          </w:tcPr>
          <w:p>
            <w:pPr>
              <w:ind w:left="1180"/>
              <w:spacing w:after="0"/>
              <w:rPr>
                <w:sz w:val="20"/>
                <w:szCs w:val="20"/>
                <w:color w:val="auto"/>
              </w:rPr>
            </w:pPr>
            <w:r>
              <w:rPr>
                <w:rFonts w:ascii="Arial" w:cs="Arial" w:eastAsia="Arial" w:hAnsi="Arial"/>
                <w:sz w:val="18"/>
                <w:szCs w:val="18"/>
                <w:color w:val="auto"/>
              </w:rPr>
              <w:t>FOR</w:t>
            </w:r>
          </w:p>
        </w:tc>
        <w:tc>
          <w:tcPr>
            <w:tcW w:w="2820" w:type="dxa"/>
            <w:vAlign w:val="bottom"/>
            <w:gridSpan w:val="2"/>
          </w:tcPr>
          <w:p>
            <w:pPr>
              <w:ind w:left="960"/>
              <w:spacing w:after="0"/>
              <w:rPr>
                <w:sz w:val="20"/>
                <w:szCs w:val="20"/>
                <w:color w:val="auto"/>
              </w:rPr>
            </w:pPr>
            <w:r>
              <w:rPr>
                <w:rFonts w:ascii="Arial" w:cs="Arial" w:eastAsia="Arial" w:hAnsi="Arial"/>
                <w:sz w:val="18"/>
                <w:szCs w:val="18"/>
                <w:color w:val="auto"/>
              </w:rPr>
              <w:t>AGAINST</w:t>
            </w:r>
          </w:p>
        </w:tc>
        <w:tc>
          <w:tcPr>
            <w:tcW w:w="2780" w:type="dxa"/>
            <w:vAlign w:val="bottom"/>
            <w:gridSpan w:val="2"/>
          </w:tcPr>
          <w:p>
            <w:pPr>
              <w:ind w:left="940"/>
              <w:spacing w:after="0"/>
              <w:rPr>
                <w:sz w:val="20"/>
                <w:szCs w:val="20"/>
                <w:color w:val="auto"/>
              </w:rPr>
            </w:pPr>
            <w:r>
              <w:rPr>
                <w:rFonts w:ascii="Arial" w:cs="Arial" w:eastAsia="Arial" w:hAnsi="Arial"/>
                <w:sz w:val="18"/>
                <w:szCs w:val="18"/>
                <w:color w:val="auto"/>
              </w:rPr>
              <w:t>ABSTAIN</w:t>
            </w:r>
          </w:p>
        </w:tc>
        <w:tc>
          <w:tcPr>
            <w:tcW w:w="2700" w:type="dxa"/>
            <w:vAlign w:val="bottom"/>
          </w:tcPr>
          <w:p>
            <w:pPr>
              <w:jc w:val="right"/>
              <w:ind w:right="606"/>
              <w:spacing w:after="0"/>
              <w:rPr>
                <w:sz w:val="20"/>
                <w:szCs w:val="20"/>
                <w:color w:val="auto"/>
              </w:rPr>
            </w:pPr>
            <w:r>
              <w:rPr>
                <w:rFonts w:ascii="Arial" w:cs="Arial" w:eastAsia="Arial" w:hAnsi="Arial"/>
                <w:sz w:val="18"/>
                <w:szCs w:val="18"/>
                <w:color w:val="auto"/>
              </w:rPr>
              <w:t>Broker Non-Votes</w:t>
            </w:r>
          </w:p>
        </w:tc>
      </w:tr>
      <w:tr>
        <w:trPr>
          <w:trHeight w:val="244"/>
        </w:trPr>
        <w:tc>
          <w:tcPr>
            <w:tcW w:w="2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38,694,652</w:t>
            </w:r>
          </w:p>
        </w:tc>
        <w:tc>
          <w:tcPr>
            <w:tcW w:w="120" w:type="dxa"/>
            <w:vAlign w:val="bottom"/>
          </w:tcPr>
          <w:p>
            <w:pPr>
              <w:spacing w:after="0"/>
              <w:rPr>
                <w:sz w:val="21"/>
                <w:szCs w:val="21"/>
                <w:color w:val="auto"/>
              </w:rPr>
            </w:pP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2,640,130</w:t>
            </w:r>
          </w:p>
        </w:tc>
        <w:tc>
          <w:tcPr>
            <w:tcW w:w="120" w:type="dxa"/>
            <w:vAlign w:val="bottom"/>
          </w:tcPr>
          <w:p>
            <w:pPr>
              <w:spacing w:after="0"/>
              <w:rPr>
                <w:sz w:val="21"/>
                <w:szCs w:val="21"/>
                <w:color w:val="auto"/>
              </w:rPr>
            </w:pP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15,155</w:t>
            </w:r>
          </w:p>
        </w:tc>
        <w:tc>
          <w:tcPr>
            <w:tcW w:w="100" w:type="dxa"/>
            <w:vAlign w:val="bottom"/>
          </w:tcPr>
          <w:p>
            <w:pPr>
              <w:spacing w:after="0"/>
              <w:rPr>
                <w:sz w:val="21"/>
                <w:szCs w:val="21"/>
                <w:color w:val="auto"/>
              </w:rPr>
            </w:pP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15,169,599</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Proposal 5: Ratification of Appointment of Independent Registered Public Accountants.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appointment of KPMG LLP as the Company’s independent registered public accounting firm for fiscal year ending January 29, 2022 was ratified based upon the following votes: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ind w:left="1640"/>
              <w:spacing w:after="0"/>
              <w:rPr>
                <w:sz w:val="20"/>
                <w:szCs w:val="20"/>
                <w:color w:val="auto"/>
              </w:rPr>
            </w:pPr>
            <w:r>
              <w:rPr>
                <w:rFonts w:ascii="Arial" w:cs="Arial" w:eastAsia="Arial" w:hAnsi="Arial"/>
                <w:sz w:val="18"/>
                <w:szCs w:val="18"/>
                <w:color w:val="auto"/>
              </w:rPr>
              <w:t>FOR</w:t>
            </w:r>
          </w:p>
        </w:tc>
        <w:tc>
          <w:tcPr>
            <w:tcW w:w="3740" w:type="dxa"/>
            <w:vAlign w:val="bottom"/>
            <w:gridSpan w:val="2"/>
          </w:tcPr>
          <w:p>
            <w:pPr>
              <w:ind w:left="1420"/>
              <w:spacing w:after="0"/>
              <w:rPr>
                <w:sz w:val="20"/>
                <w:szCs w:val="20"/>
                <w:color w:val="auto"/>
              </w:rPr>
            </w:pPr>
            <w:r>
              <w:rPr>
                <w:rFonts w:ascii="Arial" w:cs="Arial" w:eastAsia="Arial" w:hAnsi="Arial"/>
                <w:sz w:val="18"/>
                <w:szCs w:val="18"/>
                <w:color w:val="auto"/>
              </w:rPr>
              <w:t>AGAINST</w:t>
            </w:r>
          </w:p>
        </w:tc>
        <w:tc>
          <w:tcPr>
            <w:tcW w:w="3640" w:type="dxa"/>
            <w:vAlign w:val="bottom"/>
          </w:tcPr>
          <w:p>
            <w:pPr>
              <w:jc w:val="right"/>
              <w:ind w:right="1346"/>
              <w:spacing w:after="0"/>
              <w:rPr>
                <w:sz w:val="20"/>
                <w:szCs w:val="20"/>
                <w:color w:val="auto"/>
              </w:rPr>
            </w:pPr>
            <w:r>
              <w:rPr>
                <w:rFonts w:ascii="Arial" w:cs="Arial" w:eastAsia="Arial" w:hAnsi="Arial"/>
                <w:sz w:val="18"/>
                <w:szCs w:val="18"/>
                <w:color w:val="auto"/>
              </w:rPr>
              <w:t>ABSTAIN</w:t>
            </w:r>
          </w:p>
        </w:tc>
      </w:tr>
      <w:tr>
        <w:trPr>
          <w:trHeight w:val="244"/>
        </w:trPr>
        <w:tc>
          <w:tcPr>
            <w:tcW w:w="3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56,365,369</w:t>
            </w:r>
          </w:p>
        </w:tc>
        <w:tc>
          <w:tcPr>
            <w:tcW w:w="100" w:type="dxa"/>
            <w:vAlign w:val="bottom"/>
          </w:tcPr>
          <w:p>
            <w:pPr>
              <w:spacing w:after="0"/>
              <w:rPr>
                <w:sz w:val="21"/>
                <w:szCs w:val="21"/>
                <w:color w:val="auto"/>
              </w:rPr>
            </w:pPr>
          </w:p>
        </w:tc>
        <w:tc>
          <w:tcPr>
            <w:tcW w:w="3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143,609</w:t>
            </w:r>
          </w:p>
        </w:tc>
        <w:tc>
          <w:tcPr>
            <w:tcW w:w="100" w:type="dxa"/>
            <w:vAlign w:val="bottom"/>
          </w:tcPr>
          <w:p>
            <w:pPr>
              <w:spacing w:after="0"/>
              <w:rPr>
                <w:sz w:val="21"/>
                <w:szCs w:val="21"/>
                <w:color w:val="auto"/>
              </w:rPr>
            </w:pPr>
          </w:p>
        </w:tc>
        <w:tc>
          <w:tcPr>
            <w:tcW w:w="3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10,558</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212121"/>
        </w:rPr>
        <w:t>Other Board of Directors appointments</w:t>
      </w:r>
    </w:p>
    <w:p>
      <w:pPr>
        <w:spacing w:after="0" w:line="206" w:lineRule="exact"/>
        <w:rPr>
          <w:sz w:val="20"/>
          <w:szCs w:val="20"/>
          <w:color w:val="auto"/>
        </w:rPr>
      </w:pPr>
    </w:p>
    <w:p>
      <w:pPr>
        <w:ind w:right="920"/>
        <w:spacing w:after="0" w:line="250" w:lineRule="auto"/>
        <w:rPr>
          <w:sz w:val="20"/>
          <w:szCs w:val="20"/>
          <w:color w:val="auto"/>
        </w:rPr>
      </w:pPr>
      <w:r>
        <w:rPr>
          <w:rFonts w:ascii="Arial" w:cs="Arial" w:eastAsia="Arial" w:hAnsi="Arial"/>
          <w:sz w:val="22"/>
          <w:szCs w:val="22"/>
          <w:color w:val="auto"/>
        </w:rPr>
        <w:t>On August 5, 2021, immediately following the Annual Meeting, the Company's Board of Directors made the following committee changes:</w:t>
      </w:r>
    </w:p>
    <w:p>
      <w:pPr>
        <w:spacing w:after="0" w:line="175" w:lineRule="exact"/>
        <w:rPr>
          <w:sz w:val="20"/>
          <w:szCs w:val="20"/>
          <w:color w:val="auto"/>
        </w:rPr>
      </w:pPr>
    </w:p>
    <w:p>
      <w:pPr>
        <w:ind w:left="880" w:right="20" w:hanging="440"/>
        <w:spacing w:after="0" w:line="328"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Jack Boyle was appointed Chairperson of the Nominating and Corporate Governance Committee. He will no longer serve as the Chairperson of the Cybersecurity and Data Privacy Committee but will remain a member of the committee;</w:t>
      </w:r>
    </w:p>
    <w:p>
      <w:pPr>
        <w:spacing w:after="0" w:line="104" w:lineRule="exact"/>
        <w:rPr>
          <w:rFonts w:ascii="Arial" w:cs="Arial" w:eastAsia="Arial" w:hAnsi="Arial"/>
          <w:sz w:val="19"/>
          <w:szCs w:val="19"/>
          <w:color w:val="auto"/>
        </w:rPr>
      </w:pPr>
    </w:p>
    <w:p>
      <w:pPr>
        <w:ind w:left="880" w:right="200" w:hanging="440"/>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Ivy Ross was appointed Chairperson of the Cybersecurity and Data Privacy Committee and added as a member of the Audit Committee; and</w:t>
      </w:r>
    </w:p>
    <w:p>
      <w:pPr>
        <w:spacing w:after="0" w:line="174" w:lineRule="exact"/>
        <w:rPr>
          <w:rFonts w:ascii="Arial" w:cs="Arial" w:eastAsia="Arial" w:hAnsi="Arial"/>
          <w:sz w:val="22"/>
          <w:szCs w:val="22"/>
          <w:color w:val="auto"/>
        </w:rPr>
      </w:pPr>
    </w:p>
    <w:p>
      <w:pPr>
        <w:ind w:left="880" w:hanging="440"/>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Elaine Rubin was added as a member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600" w:type="dxa"/>
            <w:vAlign w:val="bottom"/>
            <w:tcBorders>
              <w:top w:val="single" w:sz="8" w:color="auto"/>
              <w:left w:val="single" w:sz="8" w:color="auto"/>
              <w:right w:val="single" w:sz="8" w:color="auto"/>
            </w:tcBorders>
            <w:gridSpan w:val="2"/>
          </w:tcPr>
          <w:p>
            <w:pPr>
              <w:ind w:left="20"/>
              <w:spacing w:after="0" w:line="216" w:lineRule="exact"/>
              <w:rPr>
                <w:sz w:val="20"/>
                <w:szCs w:val="20"/>
                <w:color w:val="auto"/>
              </w:rPr>
            </w:pPr>
            <w:r>
              <w:rPr>
                <w:rFonts w:ascii="Arial" w:cs="Arial" w:eastAsia="Arial" w:hAnsi="Arial"/>
                <w:sz w:val="22"/>
                <w:szCs w:val="22"/>
                <w:color w:val="auto"/>
              </w:rPr>
              <w:t>Exhibit No.</w:t>
            </w:r>
          </w:p>
        </w:tc>
        <w:tc>
          <w:tcPr>
            <w:tcW w:w="7140" w:type="dxa"/>
            <w:vAlign w:val="bottom"/>
            <w:tcBorders>
              <w:top w:val="single" w:sz="8" w:color="auto"/>
              <w:right w:val="single" w:sz="8" w:color="auto"/>
            </w:tcBorders>
            <w:gridSpan w:val="6"/>
          </w:tcPr>
          <w:p>
            <w:pPr>
              <w:spacing w:after="0" w:line="216" w:lineRule="exact"/>
              <w:rPr>
                <w:sz w:val="20"/>
                <w:szCs w:val="20"/>
                <w:color w:val="auto"/>
              </w:rPr>
            </w:pPr>
            <w:r>
              <w:rPr>
                <w:rFonts w:ascii="Arial" w:cs="Arial" w:eastAsia="Arial" w:hAnsi="Arial"/>
                <w:sz w:val="22"/>
                <w:szCs w:val="22"/>
                <w:color w:val="auto"/>
              </w:rPr>
              <w:t>Description</w:t>
            </w:r>
          </w:p>
        </w:tc>
        <w:tc>
          <w:tcPr>
            <w:tcW w:w="500" w:type="dxa"/>
            <w:vAlign w:val="bottom"/>
          </w:tcPr>
          <w:p>
            <w:pPr>
              <w:spacing w:after="0"/>
              <w:rPr>
                <w:sz w:val="18"/>
                <w:szCs w:val="18"/>
                <w:color w:val="auto"/>
              </w:rPr>
            </w:pPr>
          </w:p>
        </w:tc>
      </w:tr>
      <w:tr>
        <w:trPr>
          <w:trHeight w:val="21"/>
        </w:trPr>
        <w:tc>
          <w:tcPr>
            <w:tcW w:w="9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980" w:type="dxa"/>
            <w:vAlign w:val="bottom"/>
            <w:tcBorders>
              <w:left w:val="single" w:sz="8" w:color="auto"/>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98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22"/>
                <w:szCs w:val="22"/>
                <w:color w:val="auto"/>
              </w:rPr>
              <w:t>10.1</w:t>
            </w:r>
          </w:p>
        </w:tc>
        <w:tc>
          <w:tcPr>
            <w:tcW w:w="262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gridSpan w:val="6"/>
          </w:tcPr>
          <w:p>
            <w:pPr>
              <w:spacing w:after="0" w:line="195" w:lineRule="exact"/>
              <w:rPr>
                <w:rFonts w:ascii="Arial" w:cs="Arial" w:eastAsia="Arial" w:hAnsi="Arial"/>
                <w:sz w:val="22"/>
                <w:szCs w:val="22"/>
                <w:color w:val="0000EE"/>
                <w:w w:val="93"/>
              </w:rPr>
            </w:pPr>
            <w:hyperlink w:anchor="page6">
              <w:r>
                <w:rPr>
                  <w:rFonts w:ascii="Arial" w:cs="Arial" w:eastAsia="Arial" w:hAnsi="Arial"/>
                  <w:sz w:val="22"/>
                  <w:szCs w:val="22"/>
                  <w:color w:val="0000EE"/>
                  <w:w w:val="93"/>
                </w:rPr>
                <w:t>Destination XL Group, Inc.’s 2016 Incentive Compensation Plan, as amended</w:t>
              </w:r>
            </w:hyperlink>
            <w:r>
              <w:rPr>
                <w:rFonts w:ascii="Arial" w:cs="Arial" w:eastAsia="Arial" w:hAnsi="Arial"/>
                <w:sz w:val="22"/>
                <w:szCs w:val="22"/>
                <w:color w:val="000000"/>
                <w:w w:val="93"/>
              </w:rPr>
              <w:t>.</w:t>
            </w:r>
          </w:p>
        </w:tc>
        <w:tc>
          <w:tcPr>
            <w:tcW w:w="500" w:type="dxa"/>
            <w:vAlign w:val="bottom"/>
          </w:tcPr>
          <w:p>
            <w:pPr>
              <w:spacing w:after="0"/>
              <w:rPr>
                <w:sz w:val="17"/>
                <w:szCs w:val="17"/>
                <w:color w:val="auto"/>
              </w:rPr>
            </w:pPr>
          </w:p>
        </w:tc>
      </w:tr>
      <w:tr>
        <w:trPr>
          <w:trHeight w:val="237"/>
        </w:trPr>
        <w:tc>
          <w:tcPr>
            <w:tcW w:w="980" w:type="dxa"/>
            <w:vAlign w:val="bottom"/>
            <w:tcBorders>
              <w:left w:val="single" w:sz="8" w:color="auto"/>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1000" w:type="dxa"/>
            <w:vAlign w:val="bottom"/>
            <w:tcBorders>
              <w:top w:val="single" w:sz="8" w:color="0000EE"/>
              <w:bottom w:val="single" w:sz="8" w:color="auto"/>
            </w:tcBorders>
          </w:tcPr>
          <w:p>
            <w:pPr>
              <w:spacing w:after="0"/>
              <w:rPr>
                <w:sz w:val="20"/>
                <w:szCs w:val="20"/>
                <w:color w:val="auto"/>
              </w:rPr>
            </w:pPr>
          </w:p>
        </w:tc>
        <w:tc>
          <w:tcPr>
            <w:tcW w:w="1100" w:type="dxa"/>
            <w:vAlign w:val="bottom"/>
            <w:tcBorders>
              <w:top w:val="single" w:sz="8" w:color="0000EE"/>
              <w:bottom w:val="single" w:sz="8" w:color="auto"/>
            </w:tcBorders>
          </w:tcPr>
          <w:p>
            <w:pPr>
              <w:spacing w:after="0"/>
              <w:rPr>
                <w:sz w:val="20"/>
                <w:szCs w:val="20"/>
                <w:color w:val="auto"/>
              </w:rPr>
            </w:pPr>
          </w:p>
        </w:tc>
        <w:tc>
          <w:tcPr>
            <w:tcW w:w="4620" w:type="dxa"/>
            <w:vAlign w:val="bottom"/>
            <w:tcBorders>
              <w:top w:val="single" w:sz="8" w:color="0000EE"/>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r>
      <w:tr>
        <w:trPr>
          <w:trHeight w:val="196"/>
        </w:trPr>
        <w:tc>
          <w:tcPr>
            <w:tcW w:w="98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22"/>
                <w:szCs w:val="22"/>
                <w:color w:val="auto"/>
              </w:rPr>
              <w:t>104</w:t>
            </w:r>
          </w:p>
        </w:tc>
        <w:tc>
          <w:tcPr>
            <w:tcW w:w="2620" w:type="dxa"/>
            <w:vAlign w:val="bottom"/>
            <w:tcBorders>
              <w:right w:val="single" w:sz="8" w:color="auto"/>
            </w:tcBorders>
          </w:tcPr>
          <w:p>
            <w:pPr>
              <w:spacing w:after="0"/>
              <w:rPr>
                <w:sz w:val="17"/>
                <w:szCs w:val="17"/>
                <w:color w:val="auto"/>
              </w:rPr>
            </w:pPr>
          </w:p>
        </w:tc>
        <w:tc>
          <w:tcPr>
            <w:tcW w:w="6880" w:type="dxa"/>
            <w:vAlign w:val="bottom"/>
            <w:tcBorders>
              <w:bottom w:val="single" w:sz="8" w:color="auto"/>
            </w:tcBorders>
            <w:gridSpan w:val="4"/>
          </w:tcPr>
          <w:p>
            <w:pPr>
              <w:spacing w:after="0" w:line="195" w:lineRule="exact"/>
              <w:rPr>
                <w:sz w:val="20"/>
                <w:szCs w:val="20"/>
                <w:color w:val="auto"/>
              </w:rPr>
            </w:pPr>
            <w:r>
              <w:rPr>
                <w:rFonts w:ascii="Arial" w:cs="Arial" w:eastAsia="Arial" w:hAnsi="Arial"/>
                <w:sz w:val="22"/>
                <w:szCs w:val="22"/>
                <w:color w:val="auto"/>
                <w:w w:val="88"/>
              </w:rPr>
              <w:t>Cover Page Interactive Data File – The cover page interactive data file does not</w:t>
            </w:r>
          </w:p>
        </w:tc>
        <w:tc>
          <w:tcPr>
            <w:tcW w:w="260" w:type="dxa"/>
            <w:vAlign w:val="bottom"/>
            <w:tcBorders>
              <w:right w:val="single" w:sz="8" w:color="auto"/>
            </w:tcBorders>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223"/>
        </w:trPr>
        <w:tc>
          <w:tcPr>
            <w:tcW w:w="980" w:type="dxa"/>
            <w:vAlign w:val="bottom"/>
            <w:tcBorders>
              <w:lef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140" w:type="dxa"/>
            <w:vAlign w:val="bottom"/>
            <w:tcBorders>
              <w:right w:val="single" w:sz="8" w:color="auto"/>
            </w:tcBorders>
            <w:gridSpan w:val="6"/>
          </w:tcPr>
          <w:p>
            <w:pPr>
              <w:spacing w:after="0" w:line="223" w:lineRule="exact"/>
              <w:rPr>
                <w:sz w:val="20"/>
                <w:szCs w:val="20"/>
                <w:color w:val="auto"/>
              </w:rPr>
            </w:pPr>
            <w:r>
              <w:rPr>
                <w:rFonts w:ascii="Arial" w:cs="Arial" w:eastAsia="Arial" w:hAnsi="Arial"/>
                <w:sz w:val="22"/>
                <w:szCs w:val="22"/>
                <w:color w:val="auto"/>
                <w:w w:val="89"/>
              </w:rPr>
              <w:t>appear in the interactive data file because its XBRL tags are embedded within the</w:t>
            </w:r>
          </w:p>
        </w:tc>
        <w:tc>
          <w:tcPr>
            <w:tcW w:w="500" w:type="dxa"/>
            <w:vAlign w:val="bottom"/>
          </w:tcPr>
          <w:p>
            <w:pPr>
              <w:spacing w:after="0"/>
              <w:rPr>
                <w:sz w:val="19"/>
                <w:szCs w:val="19"/>
                <w:color w:val="auto"/>
              </w:rPr>
            </w:pPr>
          </w:p>
        </w:tc>
      </w:tr>
      <w:tr>
        <w:trPr>
          <w:trHeight w:val="223"/>
        </w:trPr>
        <w:tc>
          <w:tcPr>
            <w:tcW w:w="980" w:type="dxa"/>
            <w:vAlign w:val="bottom"/>
            <w:tcBorders>
              <w:lef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7040" w:type="dxa"/>
            <w:vAlign w:val="bottom"/>
            <w:tcBorders>
              <w:top w:val="single" w:sz="8" w:color="auto"/>
            </w:tcBorders>
            <w:gridSpan w:val="5"/>
          </w:tcPr>
          <w:p>
            <w:pPr>
              <w:spacing w:after="0" w:line="223" w:lineRule="exact"/>
              <w:rPr>
                <w:sz w:val="20"/>
                <w:szCs w:val="20"/>
                <w:color w:val="auto"/>
              </w:rPr>
            </w:pPr>
            <w:r>
              <w:rPr>
                <w:rFonts w:ascii="Arial" w:cs="Arial" w:eastAsia="Arial" w:hAnsi="Arial"/>
                <w:sz w:val="22"/>
                <w:szCs w:val="22"/>
                <w:color w:val="auto"/>
              </w:rPr>
              <w:t>Inline XBRL document.</w:t>
            </w:r>
          </w:p>
        </w:tc>
        <w:tc>
          <w:tcPr>
            <w:tcW w:w="1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r>
      <w:tr>
        <w:trPr>
          <w:trHeight w:val="236"/>
        </w:trPr>
        <w:tc>
          <w:tcPr>
            <w:tcW w:w="980" w:type="dxa"/>
            <w:vAlign w:val="bottom"/>
            <w:tcBorders>
              <w:left w:val="single" w:sz="8" w:color="auto"/>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r>
      <w:tr>
        <w:trPr>
          <w:trHeight w:val="568"/>
        </w:trPr>
        <w:tc>
          <w:tcPr>
            <w:tcW w:w="9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8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4940" w:type="dxa"/>
            <w:vAlign w:val="bottom"/>
            <w:tcBorders>
              <w:top w:val="single" w:sz="8" w:color="auto"/>
              <w:bottom w:val="single" w:sz="8" w:color="auto"/>
              <w:right w:val="single" w:sz="8" w:color="auto"/>
            </w:tcBorders>
          </w:tcPr>
          <w:p>
            <w:pPr>
              <w:spacing w:after="0"/>
              <w:rPr>
                <w:sz w:val="22"/>
                <w:szCs w:val="22"/>
                <w:color w:val="auto"/>
              </w:rPr>
            </w:pPr>
          </w:p>
        </w:tc>
        <w:tc>
          <w:tcPr>
            <w:tcW w:w="740" w:type="dxa"/>
            <w:vAlign w:val="bottom"/>
            <w:tcBorders>
              <w:top w:val="single" w:sz="8" w:color="auto"/>
              <w:bottom w:val="single" w:sz="8" w:color="auto"/>
              <w:right w:val="single" w:sz="8" w:color="auto"/>
            </w:tcBorders>
          </w:tcPr>
          <w:p>
            <w:pPr>
              <w:spacing w:after="0"/>
              <w:rPr>
                <w:sz w:val="22"/>
                <w:szCs w:val="22"/>
                <w:color w:val="auto"/>
              </w:rPr>
            </w:pPr>
          </w:p>
        </w:tc>
        <w:tc>
          <w:tcPr>
            <w:tcW w:w="46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DESTINATION XL GROUP, INC.</w:t>
            </w:r>
          </w:p>
        </w:tc>
      </w:tr>
      <w:tr>
        <w:trPr>
          <w:trHeight w:val="412"/>
        </w:trPr>
        <w:tc>
          <w:tcPr>
            <w:tcW w:w="8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Date:</w:t>
            </w:r>
          </w:p>
        </w:tc>
        <w:tc>
          <w:tcPr>
            <w:tcW w:w="4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August 6, 2021</w:t>
            </w:r>
          </w:p>
        </w:tc>
        <w:tc>
          <w:tcPr>
            <w:tcW w:w="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By:</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/s/ Robert S. Molloy</w:t>
            </w:r>
          </w:p>
        </w:tc>
      </w:tr>
      <w:tr>
        <w:trPr>
          <w:trHeight w:val="142"/>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49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Robert S. Molloy</w:t>
            </w:r>
          </w:p>
        </w:tc>
      </w:tr>
      <w:tr>
        <w:trPr>
          <w:trHeight w:val="142"/>
        </w:trPr>
        <w:tc>
          <w:tcPr>
            <w:tcW w:w="860" w:type="dxa"/>
            <w:vAlign w:val="bottom"/>
            <w:tcBorders>
              <w:left w:val="single" w:sz="8" w:color="auto"/>
              <w:bottom w:val="single" w:sz="8" w:color="auto"/>
              <w:right w:val="single" w:sz="8" w:color="auto"/>
            </w:tcBorders>
          </w:tcPr>
          <w:p>
            <w:pPr>
              <w:spacing w:after="0"/>
              <w:rPr>
                <w:sz w:val="12"/>
                <w:szCs w:val="12"/>
                <w:color w:val="auto"/>
              </w:rPr>
            </w:pPr>
          </w:p>
        </w:tc>
        <w:tc>
          <w:tcPr>
            <w:tcW w:w="49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General Counsel and Secretary</w:t>
            </w:r>
          </w:p>
        </w:tc>
      </w:tr>
    </w:tbl>
    <w:p>
      <w:pPr>
        <w:sectPr>
          <w:pgSz w:w="11900" w:h="16838" w:orient="portrait"/>
          <w:cols w:equalWidth="0" w:num="1">
            <w:col w:w="11220"/>
          </w:cols>
          <w:pgMar w:left="320" w:top="328"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ind w:left="860" w:right="1980"/>
        <w:spacing w:after="0" w:line="265" w:lineRule="auto"/>
        <w:rPr>
          <w:sz w:val="20"/>
          <w:szCs w:val="20"/>
          <w:color w:val="auto"/>
        </w:rPr>
      </w:pPr>
      <w:r>
        <w:rPr>
          <w:rFonts w:ascii="Arial" w:cs="Arial" w:eastAsia="Arial" w:hAnsi="Arial"/>
          <w:sz w:val="25"/>
          <w:szCs w:val="25"/>
          <w:b w:val="1"/>
          <w:bCs w:val="1"/>
          <w:color w:val="auto"/>
        </w:rPr>
        <w:t>DESTINATION XL GROUP, INC. 2016 INCENTIVE COMPENSATION PLAN (AS AMENDED AND RESTATED EFFECTIVE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631825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2016 INCENTIVE COMPENSATION PLAN, AS AMENDED AND RESTATED AUGUST 5,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0000EE"/>
            </w:tcBorders>
          </w:tcPr>
          <w:p>
            <w:pPr>
              <w:spacing w:after="0"/>
              <w:rPr>
                <w:rFonts w:ascii="Arial" w:cs="Arial" w:eastAsia="Arial" w:hAnsi="Arial"/>
                <w:sz w:val="18"/>
                <w:szCs w:val="18"/>
                <w:color w:val="0000EE"/>
                <w:w w:val="83"/>
              </w:rPr>
            </w:pPr>
            <w:hyperlink w:anchor="page8">
              <w:r>
                <w:rPr>
                  <w:rFonts w:ascii="Arial" w:cs="Arial" w:eastAsia="Arial" w:hAnsi="Arial"/>
                  <w:sz w:val="18"/>
                  <w:szCs w:val="18"/>
                  <w:color w:val="0000EE"/>
                  <w:w w:val="83"/>
                </w:rPr>
                <w:t>Purpose</w:t>
              </w:r>
            </w:hyperlink>
          </w:p>
        </w:tc>
        <w:tc>
          <w:tcPr>
            <w:tcW w:w="6260" w:type="dxa"/>
            <w:vAlign w:val="bottom"/>
            <w:gridSpan w:val="11"/>
          </w:tcPr>
          <w:p>
            <w:pPr>
              <w:spacing w:after="0"/>
              <w:rPr>
                <w:sz w:val="17"/>
                <w:szCs w:val="17"/>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84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Definitions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840" w:type="dxa"/>
            <w:vAlign w:val="bottom"/>
            <w:gridSpan w:val="1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Administration</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Shares Subject to Plan</w:t>
              </w:r>
            </w:hyperlink>
          </w:p>
        </w:tc>
        <w:tc>
          <w:tcPr>
            <w:tcW w:w="5220" w:type="dxa"/>
            <w:vAlign w:val="bottom"/>
            <w:gridSpan w:val="6"/>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29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Eligibility; Per-Participation Limitations</w:t>
              </w:r>
            </w:hyperlink>
          </w:p>
        </w:tc>
        <w:tc>
          <w:tcPr>
            <w:tcW w:w="3920" w:type="dxa"/>
            <w:vAlign w:val="bottom"/>
            <w:gridSpan w:val="2"/>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9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Award Vesting Limitations</w:t>
              </w:r>
            </w:hyperlink>
          </w:p>
        </w:tc>
        <w:tc>
          <w:tcPr>
            <w:tcW w:w="4900" w:type="dxa"/>
            <w:vAlign w:val="bottom"/>
            <w:gridSpan w:val="4"/>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684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Specific Terms of Awards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684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Certain Provisions Applicable to Awards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Code Section 162(m) Provisions</w:t>
              </w:r>
            </w:hyperlink>
          </w:p>
        </w:tc>
        <w:tc>
          <w:tcPr>
            <w:tcW w:w="3900" w:type="dxa"/>
            <w:vAlign w:val="bottom"/>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2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Change in Control</w:t>
              </w:r>
            </w:hyperlink>
          </w:p>
        </w:tc>
        <w:tc>
          <w:tcPr>
            <w:tcW w:w="4500" w:type="dxa"/>
            <w:vAlign w:val="bottom"/>
            <w:gridSpan w:val="3"/>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6840" w:type="dxa"/>
            <w:vAlign w:val="bottom"/>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General Provisions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742"/>
        </w:trPr>
        <w:tc>
          <w:tcPr>
            <w:tcW w:w="32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38" w:right="319" w:bottom="1440" w:gutter="0" w:footer="0" w:header="0"/>
        </w:sectPr>
      </w:pPr>
    </w:p>
    <w:bookmarkStart w:id="7" w:name="page8"/>
    <w:bookmarkEnd w:id="7"/>
    <w:p>
      <w:pPr>
        <w:ind w:left="402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2016 INCENTIVE COMPENSATION PLAN</w:t>
      </w:r>
    </w:p>
    <w:p>
      <w:pPr>
        <w:spacing w:after="0" w:line="195" w:lineRule="exact"/>
        <w:rPr>
          <w:sz w:val="20"/>
          <w:szCs w:val="20"/>
          <w:color w:val="auto"/>
        </w:rPr>
      </w:pPr>
    </w:p>
    <w:p>
      <w:pPr>
        <w:jc w:val="both"/>
        <w:ind w:firstLine="773"/>
        <w:spacing w:after="0" w:line="254" w:lineRule="auto"/>
        <w:tabs>
          <w:tab w:leader="none" w:pos="1548"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this DESTINATION XL GROUP, INC. 2016 INCENTIVE COMPENSATION PLAN (the “Plan”)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 August 12, 2020 and August 5, 2021.</w:t>
      </w:r>
    </w:p>
    <w:p>
      <w:pPr>
        <w:spacing w:after="0" w:line="191" w:lineRule="exact"/>
        <w:rPr>
          <w:rFonts w:ascii="Arial" w:cs="Arial" w:eastAsia="Arial" w:hAnsi="Arial"/>
          <w:sz w:val="18"/>
          <w:szCs w:val="18"/>
          <w:color w:val="auto"/>
        </w:rPr>
      </w:pPr>
    </w:p>
    <w:p>
      <w:pPr>
        <w:ind w:firstLine="773"/>
        <w:spacing w:after="0" w:line="277" w:lineRule="auto"/>
        <w:tabs>
          <w:tab w:leader="none" w:pos="1548"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376"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3" w:lineRule="exact"/>
        <w:rPr>
          <w:rFonts w:ascii="Arial" w:cs="Arial" w:eastAsia="Arial" w:hAnsi="Arial"/>
          <w:sz w:val="18"/>
          <w:szCs w:val="18"/>
          <w:color w:val="auto"/>
        </w:rPr>
      </w:pPr>
    </w:p>
    <w:p>
      <w:pPr>
        <w:ind w:right="20" w:firstLine="1537"/>
        <w:spacing w:after="0" w:line="277" w:lineRule="auto"/>
        <w:tabs>
          <w:tab w:leader="none" w:pos="2386"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jc w:val="both"/>
        <w:ind w:firstLine="1537"/>
        <w:spacing w:after="0" w:line="279" w:lineRule="auto"/>
        <w:tabs>
          <w:tab w:leader="none" w:pos="2376" w:val="left"/>
        </w:tabs>
        <w:numPr>
          <w:ilvl w:val="2"/>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71" w:lineRule="exact"/>
        <w:rPr>
          <w:rFonts w:ascii="Arial" w:cs="Arial" w:eastAsia="Arial" w:hAnsi="Arial"/>
          <w:sz w:val="17"/>
          <w:szCs w:val="17"/>
          <w:color w:val="auto"/>
        </w:rPr>
      </w:pPr>
    </w:p>
    <w:p>
      <w:pPr>
        <w:ind w:left="2400" w:hanging="863"/>
        <w:spacing w:after="0" w:line="196" w:lineRule="exact"/>
        <w:tabs>
          <w:tab w:leader="none" w:pos="2400" w:val="left"/>
        </w:tabs>
        <w:numPr>
          <w:ilvl w:val="2"/>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w:t>
      </w:r>
      <w:r>
        <w:rPr>
          <w:rFonts w:ascii="Arial" w:cs="Arial" w:eastAsia="Arial" w:hAnsi="Arial"/>
          <w:sz w:val="17"/>
          <w:szCs w:val="17"/>
          <w:color w:val="auto"/>
        </w:rPr>
        <w:t>” shall have the meaning ascribed to such term in Rule 13d</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successor to such Rule.</w:t>
      </w:r>
    </w:p>
    <w:p>
      <w:pPr>
        <w:spacing w:after="0" w:line="210" w:lineRule="exact"/>
        <w:rPr>
          <w:rFonts w:ascii="Arial" w:cs="Arial" w:eastAsia="Arial" w:hAnsi="Arial"/>
          <w:sz w:val="17"/>
          <w:szCs w:val="17"/>
          <w:color w:val="auto"/>
        </w:rPr>
      </w:pPr>
    </w:p>
    <w:p>
      <w:pPr>
        <w:ind w:left="2380" w:hanging="843"/>
        <w:spacing w:after="0"/>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60" w:hanging="823"/>
        <w:spacing w:after="0"/>
        <w:tabs>
          <w:tab w:leader="none" w:pos="2360"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firstLine="1537"/>
        <w:spacing w:after="0" w:line="277" w:lineRule="auto"/>
        <w:tabs>
          <w:tab w:leader="none" w:pos="2386"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jc w:val="both"/>
        <w:ind w:firstLine="1537"/>
        <w:spacing w:after="0" w:line="287" w:lineRule="auto"/>
        <w:tabs>
          <w:tab w:leader="none" w:pos="2386" w:val="left"/>
        </w:tabs>
        <w:numPr>
          <w:ilvl w:val="2"/>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w:t>
      </w:r>
    </w:p>
    <w:p>
      <w:pPr>
        <w:spacing w:after="0" w:line="2" w:lineRule="exact"/>
        <w:rPr>
          <w:rFonts w:ascii="Arial" w:cs="Arial" w:eastAsia="Arial" w:hAnsi="Arial"/>
          <w:sz w:val="16"/>
          <w:szCs w:val="16"/>
          <w:color w:val="auto"/>
        </w:rPr>
      </w:pPr>
    </w:p>
    <w:p>
      <w:pPr>
        <w:jc w:val="both"/>
        <w:ind w:firstLine="8"/>
        <w:spacing w:after="0" w:line="253"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92" w:lineRule="exact"/>
        <w:rPr>
          <w:rFonts w:ascii="Arial" w:cs="Arial" w:eastAsia="Arial" w:hAnsi="Arial"/>
          <w:sz w:val="18"/>
          <w:szCs w:val="18"/>
          <w:color w:val="auto"/>
        </w:rPr>
      </w:pPr>
    </w:p>
    <w:p>
      <w:pPr>
        <w:jc w:val="both"/>
        <w:ind w:right="20" w:firstLine="1537"/>
        <w:spacing w:after="0" w:line="263" w:lineRule="auto"/>
        <w:tabs>
          <w:tab w:leader="none" w:pos="2346"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3" w:lineRule="exact"/>
        <w:rPr>
          <w:rFonts w:ascii="Arial" w:cs="Arial" w:eastAsia="Arial" w:hAnsi="Arial"/>
          <w:sz w:val="18"/>
          <w:szCs w:val="18"/>
          <w:color w:val="auto"/>
        </w:rPr>
      </w:pPr>
    </w:p>
    <w:p>
      <w:pPr>
        <w:jc w:val="both"/>
        <w:ind w:firstLine="1537"/>
        <w:spacing w:after="0" w:line="257" w:lineRule="auto"/>
        <w:tabs>
          <w:tab w:leader="none" w:pos="2346"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as otherwise provided in the Award Agreement). An approved leave of absence shall include sick leave, military leave, or any other authorized personal leave.</w:t>
      </w:r>
    </w:p>
    <w:p>
      <w:pPr>
        <w:spacing w:after="0" w:line="170" w:lineRule="exact"/>
        <w:rPr>
          <w:sz w:val="20"/>
          <w:szCs w:val="20"/>
          <w:color w:val="auto"/>
        </w:rPr>
      </w:pPr>
    </w:p>
    <w:p>
      <w:pPr>
        <w:ind w:firstLine="1537"/>
        <w:spacing w:after="0" w:line="277" w:lineRule="auto"/>
        <w:tabs>
          <w:tab w:leader="none" w:pos="2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3" w:lineRule="exact"/>
        <w:rPr>
          <w:rFonts w:ascii="Arial" w:cs="Arial" w:eastAsia="Arial" w:hAnsi="Arial"/>
          <w:sz w:val="18"/>
          <w:szCs w:val="18"/>
          <w:color w:val="auto"/>
        </w:rPr>
      </w:pPr>
    </w:p>
    <w:p>
      <w:pPr>
        <w:ind w:left="2440" w:hanging="903"/>
        <w:spacing w:after="0"/>
        <w:tabs>
          <w:tab w:leader="none" w:pos="2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7(e) hereof.</w:t>
      </w:r>
    </w:p>
    <w:p>
      <w:pPr>
        <w:spacing w:after="0" w:line="210" w:lineRule="exact"/>
        <w:rPr>
          <w:rFonts w:ascii="Arial" w:cs="Arial" w:eastAsia="Arial" w:hAnsi="Arial"/>
          <w:sz w:val="16"/>
          <w:szCs w:val="16"/>
          <w:color w:val="auto"/>
        </w:rPr>
      </w:pPr>
    </w:p>
    <w:p>
      <w:pPr>
        <w:ind w:left="2400" w:hanging="863"/>
        <w:spacing w:after="0"/>
        <w:tabs>
          <w:tab w:leader="none" w:pos="2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firstLine="1537"/>
        <w:spacing w:after="0" w:line="277" w:lineRule="auto"/>
        <w:tabs>
          <w:tab w:leader="none" w:pos="2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firstLine="1537"/>
        <w:spacing w:after="0" w:line="308" w:lineRule="auto"/>
        <w:tabs>
          <w:tab w:leader="none" w:pos="2386"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00" w:hanging="863"/>
        <w:spacing w:after="0"/>
        <w:tabs>
          <w:tab w:leader="none" w:pos="2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jc w:val="both"/>
        <w:ind w:firstLine="1537"/>
        <w:spacing w:after="0" w:line="272" w:lineRule="auto"/>
        <w:tabs>
          <w:tab w:leader="none" w:pos="2356"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Person</w:t>
      </w:r>
      <w:r>
        <w:rPr>
          <w:rFonts w:ascii="Arial" w:cs="Arial" w:eastAsia="Arial" w:hAnsi="Arial"/>
          <w:sz w:val="17"/>
          <w:szCs w:val="17"/>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77" w:lineRule="exact"/>
        <w:rPr>
          <w:rFonts w:ascii="Arial" w:cs="Arial" w:eastAsia="Arial" w:hAnsi="Arial"/>
          <w:sz w:val="17"/>
          <w:szCs w:val="17"/>
          <w:color w:val="auto"/>
        </w:rPr>
      </w:pPr>
    </w:p>
    <w:p>
      <w:pPr>
        <w:jc w:val="both"/>
        <w:ind w:firstLine="1537"/>
        <w:spacing w:after="0" w:line="259" w:lineRule="auto"/>
        <w:tabs>
          <w:tab w:leader="none" w:pos="236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firstLine="1537"/>
        <w:spacing w:after="0" w:line="277" w:lineRule="auto"/>
        <w:tabs>
          <w:tab w:leader="none" w:pos="2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jc w:val="both"/>
        <w:ind w:firstLine="1537"/>
        <w:spacing w:after="0" w:line="257" w:lineRule="auto"/>
        <w:tabs>
          <w:tab w:leader="none" w:pos="2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7" w:lineRule="exact"/>
        <w:rPr>
          <w:rFonts w:ascii="Arial" w:cs="Arial" w:eastAsia="Arial" w:hAnsi="Arial"/>
          <w:sz w:val="18"/>
          <w:szCs w:val="18"/>
          <w:color w:val="auto"/>
        </w:rPr>
      </w:pPr>
    </w:p>
    <w:p>
      <w:pPr>
        <w:ind w:left="2400" w:hanging="863"/>
        <w:spacing w:after="0"/>
        <w:tabs>
          <w:tab w:leader="none" w:pos="2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 Value Award</w:t>
      </w:r>
      <w:r>
        <w:rPr>
          <w:rFonts w:ascii="Arial" w:cs="Arial" w:eastAsia="Arial" w:hAnsi="Arial"/>
          <w:sz w:val="16"/>
          <w:szCs w:val="16"/>
          <w:color w:val="auto"/>
        </w:rPr>
        <w:t>” means any Award other than an option or a Stock Appreciation Right and that is settled in Shares.</w:t>
      </w:r>
    </w:p>
    <w:p>
      <w:pPr>
        <w:spacing w:after="0" w:line="248" w:lineRule="exact"/>
        <w:rPr>
          <w:rFonts w:ascii="Arial" w:cs="Arial" w:eastAsia="Arial" w:hAnsi="Arial"/>
          <w:sz w:val="16"/>
          <w:szCs w:val="16"/>
          <w:color w:val="auto"/>
        </w:rPr>
      </w:pPr>
    </w:p>
    <w:p>
      <w:pPr>
        <w:jc w:val="both"/>
        <w:ind w:firstLine="1537"/>
        <w:spacing w:after="0" w:line="254" w:lineRule="auto"/>
        <w:tabs>
          <w:tab w:leader="none" w:pos="242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81" w:lineRule="exact"/>
        <w:rPr>
          <w:sz w:val="20"/>
          <w:szCs w:val="20"/>
          <w:color w:val="auto"/>
        </w:rPr>
      </w:pPr>
    </w:p>
    <w:p>
      <w:pPr>
        <w:ind w:firstLine="1537"/>
        <w:spacing w:after="0" w:line="277" w:lineRule="auto"/>
        <w:tabs>
          <w:tab w:leader="none" w:pos="238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38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3" w:lineRule="exact"/>
        <w:rPr>
          <w:rFonts w:ascii="Arial" w:cs="Arial" w:eastAsia="Arial" w:hAnsi="Arial"/>
          <w:sz w:val="18"/>
          <w:szCs w:val="18"/>
          <w:color w:val="auto"/>
        </w:rPr>
      </w:pPr>
    </w:p>
    <w:p>
      <w:pPr>
        <w:ind w:left="2380" w:hanging="843"/>
        <w:spacing w:after="0"/>
        <w:tabs>
          <w:tab w:leader="none" w:pos="2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jc w:val="both"/>
        <w:ind w:firstLine="1537"/>
        <w:spacing w:after="0" w:line="269" w:lineRule="auto"/>
        <w:tabs>
          <w:tab w:leader="none" w:pos="2456"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Justifiable Cause</w:t>
      </w:r>
      <w:r>
        <w:rPr>
          <w:rFonts w:ascii="Arial" w:cs="Arial" w:eastAsia="Arial" w:hAnsi="Arial"/>
          <w:sz w:val="17"/>
          <w:szCs w:val="17"/>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81" w:lineRule="exact"/>
        <w:rPr>
          <w:rFonts w:ascii="Arial" w:cs="Arial" w:eastAsia="Arial" w:hAnsi="Arial"/>
          <w:sz w:val="17"/>
          <w:szCs w:val="17"/>
          <w:color w:val="auto"/>
        </w:rPr>
      </w:pPr>
    </w:p>
    <w:p>
      <w:pPr>
        <w:ind w:firstLine="1537"/>
        <w:spacing w:after="0" w:line="342" w:lineRule="auto"/>
        <w:tabs>
          <w:tab w:leader="none" w:pos="2476"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firstLine="1537"/>
        <w:spacing w:after="0" w:line="277" w:lineRule="auto"/>
        <w:tabs>
          <w:tab w:leader="none" w:pos="245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 under this Plan.</w:t>
      </w:r>
    </w:p>
    <w:p>
      <w:pPr>
        <w:spacing w:after="0" w:line="210" w:lineRule="exact"/>
        <w:rPr>
          <w:rFonts w:ascii="Arial" w:cs="Arial" w:eastAsia="Arial" w:hAnsi="Arial"/>
          <w:sz w:val="16"/>
          <w:szCs w:val="16"/>
          <w:color w:val="auto"/>
        </w:rPr>
      </w:pPr>
    </w:p>
    <w:p>
      <w:pPr>
        <w:ind w:left="2460" w:hanging="923"/>
        <w:spacing w:after="0"/>
        <w:tabs>
          <w:tab w:leader="none" w:pos="2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firstLine="1537"/>
        <w:spacing w:after="0" w:line="277" w:lineRule="auto"/>
        <w:tabs>
          <w:tab w:leader="none" w:pos="241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any Award of Performance Shares or Performance Units granted pursuant to Section 7(h).</w:t>
      </w:r>
    </w:p>
    <w:p>
      <w:pPr>
        <w:spacing w:after="0" w:line="248" w:lineRule="exact"/>
        <w:rPr>
          <w:rFonts w:ascii="Arial" w:cs="Arial" w:eastAsia="Arial" w:hAnsi="Arial"/>
          <w:sz w:val="16"/>
          <w:szCs w:val="16"/>
          <w:color w:val="auto"/>
        </w:rPr>
      </w:pPr>
    </w:p>
    <w:p>
      <w:pPr>
        <w:ind w:right="20" w:firstLine="1537"/>
        <w:spacing w:after="0" w:line="308" w:lineRule="auto"/>
        <w:tabs>
          <w:tab w:leader="none" w:pos="2476"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ind w:firstLine="1537"/>
        <w:spacing w:after="0" w:line="277" w:lineRule="auto"/>
        <w:tabs>
          <w:tab w:leader="none" w:pos="239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cash, Shares, other property, or any combination thereof, upon achievement of such performance goals during the Performance Period as the Committee shall establish at the time of such grant or thereafter.</w:t>
      </w:r>
    </w:p>
    <w:p>
      <w:pPr>
        <w:spacing w:after="0" w:line="170" w:lineRule="exact"/>
        <w:rPr>
          <w:sz w:val="20"/>
          <w:szCs w:val="20"/>
          <w:color w:val="auto"/>
        </w:rPr>
      </w:pPr>
    </w:p>
    <w:p>
      <w:pPr>
        <w:jc w:val="both"/>
        <w:ind w:firstLine="1537"/>
        <w:spacing w:after="0" w:line="259" w:lineRule="auto"/>
        <w:tabs>
          <w:tab w:leader="none" w:pos="239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1537"/>
        <w:spacing w:after="0" w:line="277" w:lineRule="auto"/>
        <w:tabs>
          <w:tab w:leader="none" w:pos="247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00" w:hanging="863"/>
        <w:spacing w:after="0"/>
        <w:tabs>
          <w:tab w:leader="none" w:pos="2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jc w:val="both"/>
        <w:ind w:firstLine="1537"/>
        <w:spacing w:after="0" w:line="257" w:lineRule="auto"/>
        <w:tabs>
          <w:tab w:leader="none" w:pos="2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7" w:lineRule="exact"/>
        <w:rPr>
          <w:rFonts w:ascii="Arial" w:cs="Arial" w:eastAsia="Arial" w:hAnsi="Arial"/>
          <w:sz w:val="18"/>
          <w:szCs w:val="18"/>
          <w:color w:val="auto"/>
        </w:rPr>
      </w:pPr>
    </w:p>
    <w:p>
      <w:pPr>
        <w:jc w:val="both"/>
        <w:ind w:firstLine="1537"/>
        <w:spacing w:after="0" w:line="286" w:lineRule="auto"/>
        <w:tabs>
          <w:tab w:leader="none" w:pos="2476"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480" w:hanging="943"/>
        <w:spacing w:after="0"/>
        <w:tabs>
          <w:tab w:leader="none" w:pos="2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firstLine="1537"/>
        <w:spacing w:after="0" w:line="277" w:lineRule="auto"/>
        <w:tabs>
          <w:tab w:leader="none" w:pos="247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an Award of Restricted Stock Unit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20" w:firstLine="1537"/>
        <w:spacing w:after="0" w:line="277" w:lineRule="auto"/>
        <w:tabs>
          <w:tab w:leader="none" w:pos="241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jc w:val="both"/>
        <w:ind w:firstLine="1537"/>
        <w:spacing w:after="0" w:line="263" w:lineRule="auto"/>
        <w:tabs>
          <w:tab w:leader="none" w:pos="2437"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3" w:lineRule="exact"/>
        <w:rPr>
          <w:rFonts w:ascii="Arial" w:cs="Arial" w:eastAsia="Arial" w:hAnsi="Arial"/>
          <w:sz w:val="18"/>
          <w:szCs w:val="18"/>
          <w:color w:val="auto"/>
        </w:rPr>
      </w:pPr>
    </w:p>
    <w:p>
      <w:pPr>
        <w:ind w:right="20" w:firstLine="1537"/>
        <w:spacing w:after="0" w:line="277" w:lineRule="auto"/>
        <w:tabs>
          <w:tab w:leader="none" w:pos="239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firstLine="1537"/>
        <w:spacing w:after="0" w:line="259" w:lineRule="auto"/>
        <w:tabs>
          <w:tab w:leader="none" w:pos="247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jc w:val="both"/>
        <w:ind w:firstLine="1537"/>
        <w:spacing w:after="0" w:line="263" w:lineRule="auto"/>
        <w:tabs>
          <w:tab w:leader="none" w:pos="255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1560" w:hanging="787"/>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69" w:lineRule="auto"/>
        <w:tabs>
          <w:tab w:leader="none" w:pos="2376" w:val="left"/>
        </w:tabs>
        <w:numPr>
          <w:ilvl w:val="1"/>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5" w:lineRule="exact"/>
        <w:rPr>
          <w:rFonts w:ascii="Arial" w:cs="Arial" w:eastAsia="Arial" w:hAnsi="Arial"/>
          <w:sz w:val="17"/>
          <w:szCs w:val="17"/>
          <w:color w:val="auto"/>
        </w:rPr>
      </w:pPr>
    </w:p>
    <w:p>
      <w:pPr>
        <w:jc w:val="both"/>
        <w:ind w:firstLine="1537"/>
        <w:spacing w:after="0" w:line="268" w:lineRule="auto"/>
        <w:tabs>
          <w:tab w:leader="none" w:pos="2386" w:val="left"/>
        </w:tabs>
        <w:numPr>
          <w:ilvl w:val="1"/>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6" w:lineRule="exact"/>
        <w:rPr>
          <w:rFonts w:ascii="Arial" w:cs="Arial" w:eastAsia="Arial" w:hAnsi="Arial"/>
          <w:sz w:val="17"/>
          <w:szCs w:val="17"/>
          <w:color w:val="auto"/>
        </w:rPr>
      </w:pPr>
    </w:p>
    <w:p>
      <w:pPr>
        <w:jc w:val="both"/>
        <w:ind w:firstLine="1537"/>
        <w:spacing w:after="0" w:line="296" w:lineRule="auto"/>
        <w:tabs>
          <w:tab w:leader="none" w:pos="2376"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1" w:lineRule="exact"/>
        <w:rPr>
          <w:rFonts w:ascii="Arial" w:cs="Arial" w:eastAsia="Arial" w:hAnsi="Arial"/>
          <w:sz w:val="16"/>
          <w:szCs w:val="16"/>
          <w:color w:val="auto"/>
        </w:rPr>
      </w:pPr>
    </w:p>
    <w:p>
      <w:pPr>
        <w:ind w:left="1560" w:hanging="787"/>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54" w:lineRule="auto"/>
        <w:tabs>
          <w:tab w:leader="none" w:pos="2376"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11(c) hereof, the aggregate number of Shares reserved and available for delivery under the Plan shall be equal to the sum of (i) 14,595,000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94" w:lineRule="exact"/>
        <w:rPr>
          <w:rFonts w:ascii="Arial" w:cs="Arial" w:eastAsia="Arial" w:hAnsi="Arial"/>
          <w:sz w:val="18"/>
          <w:szCs w:val="18"/>
          <w:color w:val="auto"/>
        </w:rPr>
      </w:pPr>
    </w:p>
    <w:p>
      <w:pPr>
        <w:jc w:val="both"/>
        <w:ind w:firstLine="1537"/>
        <w:spacing w:after="0" w:line="257" w:lineRule="auto"/>
        <w:tabs>
          <w:tab w:leader="none" w:pos="2386"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7" w:lineRule="exact"/>
        <w:rPr>
          <w:rFonts w:ascii="Arial" w:cs="Arial" w:eastAsia="Arial" w:hAnsi="Arial"/>
          <w:sz w:val="18"/>
          <w:szCs w:val="18"/>
          <w:color w:val="auto"/>
        </w:rPr>
      </w:pPr>
    </w:p>
    <w:p>
      <w:pPr>
        <w:ind w:left="2380" w:hanging="843"/>
        <w:spacing w:after="0"/>
        <w:tabs>
          <w:tab w:leader="none" w:pos="238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02"/>
        <w:spacing w:after="0" w:line="263" w:lineRule="auto"/>
        <w:tabs>
          <w:tab w:leader="none" w:pos="3111"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71" w:lineRule="exact"/>
        <w:rPr>
          <w:sz w:val="20"/>
          <w:szCs w:val="20"/>
          <w:color w:val="auto"/>
        </w:rPr>
      </w:pPr>
    </w:p>
    <w:p>
      <w:pPr>
        <w:jc w:val="both"/>
        <w:ind w:firstLine="2302"/>
        <w:spacing w:after="0" w:line="311" w:lineRule="auto"/>
        <w:tabs>
          <w:tab w:leader="none" w:pos="3161" w:val="left"/>
        </w:tabs>
        <w:numPr>
          <w:ilvl w:val="2"/>
          <w:numId w:val="10"/>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48" w:lineRule="exact"/>
        <w:rPr>
          <w:rFonts w:ascii="Arial" w:cs="Arial" w:eastAsia="Arial" w:hAnsi="Arial"/>
          <w:sz w:val="16"/>
          <w:szCs w:val="16"/>
          <w:color w:val="auto"/>
        </w:rPr>
      </w:pPr>
    </w:p>
    <w:p>
      <w:pPr>
        <w:jc w:val="both"/>
        <w:ind w:firstLine="2302"/>
        <w:spacing w:after="0" w:line="269" w:lineRule="auto"/>
        <w:tabs>
          <w:tab w:leader="none" w:pos="3211" w:val="left"/>
        </w:tabs>
        <w:numPr>
          <w:ilvl w:val="2"/>
          <w:numId w:val="10"/>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5" w:lineRule="exact"/>
        <w:rPr>
          <w:rFonts w:ascii="Arial" w:cs="Arial" w:eastAsia="Arial" w:hAnsi="Arial"/>
          <w:sz w:val="17"/>
          <w:szCs w:val="17"/>
          <w:color w:val="auto"/>
        </w:rPr>
      </w:pPr>
    </w:p>
    <w:p>
      <w:pPr>
        <w:jc w:val="both"/>
        <w:ind w:firstLine="2302"/>
        <w:spacing w:after="0" w:line="259" w:lineRule="auto"/>
        <w:tabs>
          <w:tab w:leader="none" w:pos="3201" w:val="left"/>
        </w:tabs>
        <w:numPr>
          <w:ilvl w:val="2"/>
          <w:numId w:val="10"/>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11(c) hereof, the maximum aggregate number of Shares that may be delivered under the Plan as a result of the exercise of the Incentive Stock Options shall be 14,595,000 Shares. In no event shall any Incentive Stock Options be granted under the Plan after the tenth anniversary of the date on which the Board adopts the Plan.</w:t>
      </w:r>
    </w:p>
    <w:p>
      <w:pPr>
        <w:spacing w:after="0" w:line="186" w:lineRule="exact"/>
        <w:rPr>
          <w:rFonts w:ascii="Arial" w:cs="Arial" w:eastAsia="Arial" w:hAnsi="Arial"/>
          <w:sz w:val="18"/>
          <w:szCs w:val="18"/>
          <w:color w:val="auto"/>
        </w:rPr>
      </w:pPr>
    </w:p>
    <w:p>
      <w:pPr>
        <w:jc w:val="both"/>
        <w:ind w:firstLine="2302"/>
        <w:spacing w:after="0" w:line="259" w:lineRule="auto"/>
        <w:tabs>
          <w:tab w:leader="none" w:pos="3151" w:val="left"/>
        </w:tabs>
        <w:numPr>
          <w:ilvl w:val="2"/>
          <w:numId w:val="10"/>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400" w:hanging="863"/>
        <w:spacing w:after="0"/>
        <w:tabs>
          <w:tab w:leader="none" w:pos="2400" w:val="left"/>
        </w:tabs>
        <w:numPr>
          <w:ilvl w:val="1"/>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jc w:val="both"/>
        <w:ind w:firstLine="773"/>
        <w:spacing w:after="0" w:line="291" w:lineRule="auto"/>
        <w:tabs>
          <w:tab w:leader="none" w:pos="1548"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Per-Participant Limitations</w:t>
      </w:r>
      <w:r>
        <w:rPr>
          <w:rFonts w:ascii="Arial" w:cs="Arial" w:eastAsia="Arial" w:hAnsi="Arial"/>
          <w:sz w:val="16"/>
          <w:szCs w:val="16"/>
          <w:color w:val="auto"/>
        </w:rPr>
        <w:t>. Awards may be granted under the Plan only to Eligible Persons. Subject to adjustment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66" w:lineRule="exact"/>
        <w:rPr>
          <w:rFonts w:ascii="Arial" w:cs="Arial" w:eastAsia="Arial" w:hAnsi="Arial"/>
          <w:sz w:val="16"/>
          <w:szCs w:val="16"/>
          <w:color w:val="auto"/>
        </w:rPr>
      </w:pPr>
    </w:p>
    <w:p>
      <w:pPr>
        <w:jc w:val="both"/>
        <w:ind w:firstLine="773"/>
        <w:spacing w:after="0" w:line="255" w:lineRule="auto"/>
        <w:tabs>
          <w:tab w:leader="none" w:pos="1548"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192" w:lineRule="exact"/>
        <w:rPr>
          <w:rFonts w:ascii="Arial" w:cs="Arial" w:eastAsia="Arial" w:hAnsi="Arial"/>
          <w:sz w:val="18"/>
          <w:szCs w:val="18"/>
          <w:color w:val="auto"/>
        </w:rPr>
      </w:pPr>
    </w:p>
    <w:p>
      <w:pPr>
        <w:ind w:left="1560" w:hanging="787"/>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63" w:lineRule="auto"/>
        <w:tabs>
          <w:tab w:leader="none" w:pos="2376"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7"/>
          <w:szCs w:val="17"/>
          <w:color w:val="auto"/>
        </w:rPr>
        <w:t>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76" w:lineRule="exact"/>
        <w:rPr>
          <w:sz w:val="20"/>
          <w:szCs w:val="20"/>
          <w:color w:val="auto"/>
        </w:rPr>
      </w:pPr>
    </w:p>
    <w:p>
      <w:pPr>
        <w:ind w:left="2400" w:hanging="863"/>
        <w:spacing w:after="0"/>
        <w:tabs>
          <w:tab w:leader="none" w:pos="24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jc w:val="both"/>
        <w:ind w:firstLine="2302"/>
        <w:spacing w:after="0" w:line="268" w:lineRule="auto"/>
        <w:tabs>
          <w:tab w:leader="none" w:pos="3111" w:val="left"/>
        </w:tabs>
        <w:numPr>
          <w:ilvl w:val="1"/>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Other than in connection with Substitute Awards, the exercise price per Share purchasable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86" w:lineRule="exact"/>
        <w:rPr>
          <w:rFonts w:ascii="Arial" w:cs="Arial" w:eastAsia="Arial" w:hAnsi="Arial"/>
          <w:sz w:val="17"/>
          <w:szCs w:val="17"/>
          <w:color w:val="auto"/>
        </w:rPr>
      </w:pPr>
    </w:p>
    <w:p>
      <w:pPr>
        <w:jc w:val="both"/>
        <w:ind w:firstLine="2302"/>
        <w:spacing w:after="0" w:line="269" w:lineRule="auto"/>
        <w:tabs>
          <w:tab w:leader="none" w:pos="3161" w:val="left"/>
        </w:tabs>
        <w:numPr>
          <w:ilvl w:val="1"/>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5" w:lineRule="exact"/>
        <w:rPr>
          <w:rFonts w:ascii="Arial" w:cs="Arial" w:eastAsia="Arial" w:hAnsi="Arial"/>
          <w:sz w:val="17"/>
          <w:szCs w:val="17"/>
          <w:color w:val="auto"/>
        </w:rPr>
      </w:pPr>
    </w:p>
    <w:p>
      <w:pPr>
        <w:ind w:right="20" w:firstLine="2302"/>
        <w:spacing w:after="0" w:line="277" w:lineRule="auto"/>
        <w:tabs>
          <w:tab w:leader="none" w:pos="3211"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jc w:val="both"/>
        <w:ind w:firstLine="2302"/>
        <w:spacing w:after="0" w:line="285" w:lineRule="auto"/>
        <w:tabs>
          <w:tab w:leader="none" w:pos="3201" w:val="left"/>
        </w:tabs>
        <w:numPr>
          <w:ilvl w:val="1"/>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 Options granted as Incentive Stock Options shall be subject to the following special terms and conditions:</w:t>
      </w:r>
    </w:p>
    <w:p>
      <w:pPr>
        <w:spacing w:after="0" w:line="210" w:lineRule="exact"/>
        <w:rPr>
          <w:rFonts w:ascii="Arial" w:cs="Arial" w:eastAsia="Arial" w:hAnsi="Arial"/>
          <w:sz w:val="16"/>
          <w:szCs w:val="16"/>
          <w:color w:val="auto"/>
        </w:rPr>
      </w:pPr>
    </w:p>
    <w:p>
      <w:pPr>
        <w:jc w:val="both"/>
        <w:ind w:firstLine="3065"/>
        <w:spacing w:after="0" w:line="296" w:lineRule="auto"/>
        <w:tabs>
          <w:tab w:leader="none" w:pos="3955"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61" w:lineRule="exact"/>
        <w:rPr>
          <w:rFonts w:ascii="Arial" w:cs="Arial" w:eastAsia="Arial" w:hAnsi="Arial"/>
          <w:sz w:val="16"/>
          <w:szCs w:val="16"/>
          <w:color w:val="auto"/>
        </w:rPr>
      </w:pPr>
    </w:p>
    <w:p>
      <w:pPr>
        <w:jc w:val="both"/>
        <w:ind w:firstLine="3065"/>
        <w:spacing w:after="0" w:line="263" w:lineRule="auto"/>
        <w:tabs>
          <w:tab w:leader="none" w:pos="3945"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respectively) that become exercisable for the first time by the Participant during any calendar year shall not (to the extent required by the Code at the time of the grant) exceed $100,000; and</w:t>
      </w:r>
    </w:p>
    <w:p>
      <w:pPr>
        <w:spacing w:after="0" w:line="170" w:lineRule="exact"/>
        <w:rPr>
          <w:sz w:val="20"/>
          <w:szCs w:val="20"/>
          <w:color w:val="auto"/>
        </w:rPr>
      </w:pPr>
    </w:p>
    <w:p>
      <w:pPr>
        <w:jc w:val="both"/>
        <w:ind w:firstLine="3065"/>
        <w:spacing w:after="0" w:line="259" w:lineRule="auto"/>
        <w:tabs>
          <w:tab w:leader="none" w:pos="3945" w:val="left"/>
        </w:tabs>
        <w:numPr>
          <w:ilvl w:val="2"/>
          <w:numId w:val="14"/>
        </w:numPr>
        <w:rPr>
          <w:rFonts w:ascii="Arial" w:cs="Arial" w:eastAsia="Arial" w:hAnsi="Arial"/>
          <w:sz w:val="18"/>
          <w:szCs w:val="18"/>
          <w:color w:val="auto"/>
        </w:rPr>
      </w:pPr>
      <w:r>
        <w:rPr>
          <w:rFonts w:ascii="Arial" w:cs="Arial" w:eastAsia="Arial" w:hAnsi="Arial"/>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6" w:lineRule="exact"/>
        <w:rPr>
          <w:rFonts w:ascii="Arial" w:cs="Arial" w:eastAsia="Arial" w:hAnsi="Arial"/>
          <w:sz w:val="18"/>
          <w:szCs w:val="18"/>
          <w:color w:val="auto"/>
        </w:rPr>
      </w:pPr>
    </w:p>
    <w:p>
      <w:pPr>
        <w:jc w:val="both"/>
        <w:ind w:firstLine="1537"/>
        <w:spacing w:after="0" w:line="263" w:lineRule="auto"/>
        <w:tabs>
          <w:tab w:leader="none" w:pos="2376"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3" w:lineRule="exact"/>
        <w:rPr>
          <w:rFonts w:ascii="Arial" w:cs="Arial" w:eastAsia="Arial" w:hAnsi="Arial"/>
          <w:sz w:val="18"/>
          <w:szCs w:val="18"/>
          <w:color w:val="auto"/>
        </w:rPr>
      </w:pPr>
    </w:p>
    <w:p>
      <w:pPr>
        <w:jc w:val="both"/>
        <w:ind w:firstLine="2302"/>
        <w:spacing w:after="0" w:line="269" w:lineRule="auto"/>
        <w:tabs>
          <w:tab w:leader="none" w:pos="3111" w:val="left"/>
        </w:tabs>
        <w:numPr>
          <w:ilvl w:val="1"/>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Right to Payment</w:t>
      </w:r>
      <w:r>
        <w:rPr>
          <w:rFonts w:ascii="Arial" w:cs="Arial" w:eastAsia="Arial" w:hAnsi="Arial"/>
          <w:sz w:val="17"/>
          <w:szCs w:val="17"/>
          <w:color w:val="auto"/>
        </w:rPr>
        <w:t>. A Stock Appreciation Right shall confer on the Participant to whom it is granted a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1" w:lineRule="exact"/>
        <w:rPr>
          <w:rFonts w:ascii="Arial" w:cs="Arial" w:eastAsia="Arial" w:hAnsi="Arial"/>
          <w:sz w:val="17"/>
          <w:szCs w:val="17"/>
          <w:color w:val="auto"/>
        </w:rPr>
      </w:pPr>
    </w:p>
    <w:p>
      <w:pPr>
        <w:jc w:val="both"/>
        <w:ind w:firstLine="2302"/>
        <w:spacing w:after="0" w:line="254" w:lineRule="auto"/>
        <w:tabs>
          <w:tab w:leader="none" w:pos="3161"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94" w:lineRule="exact"/>
        <w:rPr>
          <w:rFonts w:ascii="Arial" w:cs="Arial" w:eastAsia="Arial" w:hAnsi="Arial"/>
          <w:sz w:val="18"/>
          <w:szCs w:val="18"/>
          <w:color w:val="auto"/>
        </w:rPr>
      </w:pPr>
    </w:p>
    <w:p>
      <w:pPr>
        <w:ind w:left="2400" w:hanging="863"/>
        <w:spacing w:after="0"/>
        <w:tabs>
          <w:tab w:leader="none" w:pos="24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jc w:val="both"/>
        <w:ind w:firstLine="2302"/>
        <w:spacing w:after="0" w:line="269" w:lineRule="auto"/>
        <w:tabs>
          <w:tab w:leader="none" w:pos="3111" w:val="left"/>
        </w:tabs>
        <w:numPr>
          <w:ilvl w:val="1"/>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81" w:lineRule="exact"/>
        <w:rPr>
          <w:rFonts w:ascii="Arial" w:cs="Arial" w:eastAsia="Arial" w:hAnsi="Arial"/>
          <w:sz w:val="17"/>
          <w:szCs w:val="17"/>
          <w:color w:val="auto"/>
        </w:rPr>
      </w:pPr>
    </w:p>
    <w:p>
      <w:pPr>
        <w:jc w:val="both"/>
        <w:ind w:firstLine="2302"/>
        <w:spacing w:after="0" w:line="293" w:lineRule="auto"/>
        <w:tabs>
          <w:tab w:leader="none" w:pos="3161" w:val="left"/>
        </w:tabs>
        <w:numPr>
          <w:ilvl w:val="1"/>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2302"/>
        <w:spacing w:after="0" w:line="301" w:lineRule="auto"/>
        <w:tabs>
          <w:tab w:leader="none" w:pos="3211" w:val="left"/>
        </w:tabs>
        <w:numPr>
          <w:ilvl w:val="2"/>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7" w:lineRule="exact"/>
        <w:rPr>
          <w:rFonts w:ascii="Arial" w:cs="Arial" w:eastAsia="Arial" w:hAnsi="Arial"/>
          <w:sz w:val="16"/>
          <w:szCs w:val="16"/>
          <w:color w:val="auto"/>
        </w:rPr>
      </w:pPr>
    </w:p>
    <w:p>
      <w:pPr>
        <w:jc w:val="both"/>
        <w:ind w:firstLine="2302"/>
        <w:spacing w:after="0" w:line="271" w:lineRule="auto"/>
        <w:tabs>
          <w:tab w:leader="none" w:pos="3201" w:val="left"/>
        </w:tabs>
        <w:numPr>
          <w:ilvl w:val="2"/>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8" w:lineRule="exact"/>
        <w:rPr>
          <w:rFonts w:ascii="Arial" w:cs="Arial" w:eastAsia="Arial" w:hAnsi="Arial"/>
          <w:sz w:val="17"/>
          <w:szCs w:val="17"/>
          <w:color w:val="auto"/>
        </w:rPr>
      </w:pPr>
    </w:p>
    <w:p>
      <w:pPr>
        <w:ind w:firstLine="1537"/>
        <w:spacing w:after="0" w:line="277" w:lineRule="auto"/>
        <w:tabs>
          <w:tab w:leader="none" w:pos="2376" w:val="left"/>
        </w:tabs>
        <w:numPr>
          <w:ilvl w:val="1"/>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rFonts w:ascii="Arial" w:cs="Arial" w:eastAsia="Arial" w:hAnsi="Arial"/>
          <w:sz w:val="18"/>
          <w:szCs w:val="18"/>
          <w:color w:val="auto"/>
        </w:rPr>
      </w:pPr>
    </w:p>
    <w:p>
      <w:pPr>
        <w:jc w:val="both"/>
        <w:ind w:firstLine="2302"/>
        <w:spacing w:after="0" w:line="288" w:lineRule="auto"/>
        <w:tabs>
          <w:tab w:leader="none" w:pos="3111" w:val="left"/>
        </w:tabs>
        <w:numPr>
          <w:ilvl w:val="2"/>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Award shall occur upon expiration of the deferral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68" w:lineRule="exact"/>
        <w:rPr>
          <w:rFonts w:ascii="Arial" w:cs="Arial" w:eastAsia="Arial" w:hAnsi="Arial"/>
          <w:sz w:val="16"/>
          <w:szCs w:val="16"/>
          <w:color w:val="auto"/>
        </w:rPr>
      </w:pPr>
    </w:p>
    <w:p>
      <w:pPr>
        <w:jc w:val="both"/>
        <w:ind w:firstLine="2302"/>
        <w:spacing w:after="0" w:line="272" w:lineRule="auto"/>
        <w:tabs>
          <w:tab w:leader="none" w:pos="3161" w:val="left"/>
        </w:tabs>
        <w:numPr>
          <w:ilvl w:val="2"/>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jc w:val="both"/>
        <w:ind w:firstLine="2302"/>
        <w:spacing w:after="0" w:line="291" w:lineRule="auto"/>
        <w:tabs>
          <w:tab w:leader="none" w:pos="3211" w:val="left"/>
        </w:tabs>
        <w:numPr>
          <w:ilvl w:val="2"/>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jc w:val="both"/>
        <w:ind w:firstLine="8"/>
        <w:spacing w:after="0" w:line="269" w:lineRule="auto"/>
        <w:tabs>
          <w:tab w:leader="none" w:pos="3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rFonts w:ascii="Arial" w:cs="Arial" w:eastAsia="Arial" w:hAnsi="Arial"/>
          <w:sz w:val="17"/>
          <w:szCs w:val="17"/>
          <w:color w:val="auto"/>
        </w:rPr>
      </w:pPr>
    </w:p>
    <w:p>
      <w:pPr>
        <w:jc w:val="both"/>
        <w:ind w:firstLine="1537"/>
        <w:spacing w:after="0" w:line="296" w:lineRule="auto"/>
        <w:tabs>
          <w:tab w:leader="none" w:pos="2356" w:val="left"/>
        </w:tabs>
        <w:numPr>
          <w:ilvl w:val="1"/>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firstLine="1537"/>
        <w:spacing w:after="0" w:line="270" w:lineRule="auto"/>
        <w:tabs>
          <w:tab w:leader="none" w:pos="2386" w:val="left"/>
        </w:tabs>
        <w:numPr>
          <w:ilvl w:val="1"/>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80" w:lineRule="exact"/>
        <w:rPr>
          <w:rFonts w:ascii="Arial" w:cs="Arial" w:eastAsia="Arial" w:hAnsi="Arial"/>
          <w:sz w:val="17"/>
          <w:szCs w:val="17"/>
          <w:color w:val="auto"/>
        </w:rPr>
      </w:pPr>
    </w:p>
    <w:p>
      <w:pPr>
        <w:jc w:val="both"/>
        <w:ind w:firstLine="1537"/>
        <w:spacing w:after="0" w:line="269" w:lineRule="auto"/>
        <w:tabs>
          <w:tab w:leader="none" w:pos="2386" w:val="left"/>
        </w:tabs>
        <w:numPr>
          <w:ilvl w:val="1"/>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1" w:lineRule="exact"/>
        <w:rPr>
          <w:rFonts w:ascii="Arial" w:cs="Arial" w:eastAsia="Arial" w:hAnsi="Arial"/>
          <w:sz w:val="17"/>
          <w:szCs w:val="17"/>
          <w:color w:val="auto"/>
        </w:rPr>
      </w:pPr>
    </w:p>
    <w:p>
      <w:pPr>
        <w:jc w:val="both"/>
        <w:ind w:firstLine="1537"/>
        <w:spacing w:after="0" w:line="289" w:lineRule="auto"/>
        <w:tabs>
          <w:tab w:leader="none" w:pos="2346" w:val="left"/>
        </w:tabs>
        <w:numPr>
          <w:ilvl w:val="1"/>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66" w:lineRule="exact"/>
        <w:rPr>
          <w:rFonts w:ascii="Arial" w:cs="Arial" w:eastAsia="Arial" w:hAnsi="Arial"/>
          <w:sz w:val="16"/>
          <w:szCs w:val="16"/>
          <w:color w:val="auto"/>
        </w:rPr>
      </w:pPr>
    </w:p>
    <w:p>
      <w:pPr>
        <w:ind w:left="1560" w:hanging="787"/>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69" w:lineRule="auto"/>
        <w:tabs>
          <w:tab w:leader="none" w:pos="2376" w:val="left"/>
        </w:tabs>
        <w:numPr>
          <w:ilvl w:val="1"/>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1"/>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 event shall the term of any Option or Stock Appreciation Right exceed a period of ten years (or in the case of an Incentive Stock Option such shorter term as may be required under Section 422 of the Code).</w:t>
      </w:r>
    </w:p>
    <w:p>
      <w:pPr>
        <w:spacing w:after="0" w:line="183" w:lineRule="exact"/>
        <w:rPr>
          <w:rFonts w:ascii="Arial" w:cs="Arial" w:eastAsia="Arial" w:hAnsi="Arial"/>
          <w:sz w:val="18"/>
          <w:szCs w:val="18"/>
          <w:color w:val="auto"/>
        </w:rPr>
      </w:pPr>
    </w:p>
    <w:p>
      <w:pPr>
        <w:jc w:val="both"/>
        <w:ind w:firstLine="1537"/>
        <w:spacing w:after="0" w:line="263" w:lineRule="auto"/>
        <w:tabs>
          <w:tab w:leader="none" w:pos="2376" w:val="left"/>
        </w:tabs>
        <w:numPr>
          <w:ilvl w:val="1"/>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Form and Timing of Payment Under Awards; Deferrals</w:t>
      </w:r>
      <w:r>
        <w:rPr>
          <w:rFonts w:ascii="Arial" w:cs="Arial" w:eastAsia="Arial" w:hAnsi="Arial"/>
          <w:sz w:val="18"/>
          <w:szCs w:val="18"/>
          <w:color w:val="auto"/>
        </w:rPr>
        <w:t>. Subject to the terms of the Plan and any applicable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payments to be made by the Company or a Related Entity upon the exercise of an Option or other Award or settlement of an Award may be made in such forms as the Committee shall determine, including, without limitation, cash, Shares, other Awards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7"/>
          <w:szCs w:val="17"/>
          <w:color w:val="auto"/>
        </w:rPr>
        <w:t>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9" w:lineRule="exact"/>
        <w:rPr>
          <w:sz w:val="20"/>
          <w:szCs w:val="20"/>
          <w:color w:val="auto"/>
        </w:rPr>
      </w:pPr>
    </w:p>
    <w:p>
      <w:pPr>
        <w:jc w:val="both"/>
        <w:ind w:firstLine="1537"/>
        <w:spacing w:after="0" w:line="296" w:lineRule="auto"/>
        <w:tabs>
          <w:tab w:leader="none" w:pos="2386"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61" w:lineRule="exact"/>
        <w:rPr>
          <w:rFonts w:ascii="Arial" w:cs="Arial" w:eastAsia="Arial" w:hAnsi="Arial"/>
          <w:sz w:val="16"/>
          <w:szCs w:val="16"/>
          <w:color w:val="auto"/>
        </w:rPr>
      </w:pPr>
    </w:p>
    <w:p>
      <w:pPr>
        <w:ind w:firstLine="1537"/>
        <w:spacing w:after="0" w:line="277" w:lineRule="auto"/>
        <w:tabs>
          <w:tab w:leader="none" w:pos="2376"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jc w:val="both"/>
        <w:ind w:firstLine="2302"/>
        <w:spacing w:after="0" w:line="296" w:lineRule="auto"/>
        <w:tabs>
          <w:tab w:leader="none" w:pos="3111"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61" w:lineRule="exact"/>
        <w:rPr>
          <w:rFonts w:ascii="Arial" w:cs="Arial" w:eastAsia="Arial" w:hAnsi="Arial"/>
          <w:sz w:val="16"/>
          <w:szCs w:val="16"/>
          <w:color w:val="auto"/>
        </w:rPr>
      </w:pPr>
    </w:p>
    <w:p>
      <w:pPr>
        <w:ind w:right="20" w:firstLine="2302"/>
        <w:spacing w:after="0" w:line="277" w:lineRule="auto"/>
        <w:tabs>
          <w:tab w:leader="none" w:pos="31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jc w:val="both"/>
        <w:ind w:firstLine="3065"/>
        <w:spacing w:after="0" w:line="279" w:lineRule="auto"/>
        <w:tabs>
          <w:tab w:leader="none" w:pos="3955" w:val="left"/>
        </w:tabs>
        <w:numPr>
          <w:ilvl w:val="2"/>
          <w:numId w:val="21"/>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1" w:lineRule="exact"/>
        <w:rPr>
          <w:rFonts w:ascii="Arial" w:cs="Arial" w:eastAsia="Arial" w:hAnsi="Arial"/>
          <w:sz w:val="17"/>
          <w:szCs w:val="17"/>
          <w:color w:val="auto"/>
        </w:rPr>
      </w:pPr>
    </w:p>
    <w:p>
      <w:pPr>
        <w:ind w:left="3960" w:hanging="895"/>
        <w:spacing w:after="0"/>
        <w:tabs>
          <w:tab w:leader="none" w:pos="39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065"/>
        <w:spacing w:after="0" w:line="263" w:lineRule="auto"/>
        <w:tabs>
          <w:tab w:leader="none" w:pos="3955" w:val="left"/>
        </w:tabs>
        <w:numPr>
          <w:ilvl w:val="2"/>
          <w:numId w:val="21"/>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4" w:lineRule="exact"/>
        <w:rPr>
          <w:sz w:val="20"/>
          <w:szCs w:val="20"/>
          <w:color w:val="auto"/>
        </w:rPr>
      </w:pPr>
    </w:p>
    <w:p>
      <w:pPr>
        <w:jc w:val="both"/>
        <w:ind w:firstLine="2302"/>
        <w:spacing w:after="0" w:line="259" w:lineRule="auto"/>
        <w:tabs>
          <w:tab w:leader="none" w:pos="32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incur in the event that any provision of this Plan, or any Award Agreement, or any amendment or modification thereof, or any other action taken with respect thereto, is deemed to violate any of the requirements of Section 409A of the Code.</w:t>
      </w:r>
    </w:p>
    <w:p>
      <w:pPr>
        <w:spacing w:after="0" w:line="170" w:lineRule="exact"/>
        <w:rPr>
          <w:sz w:val="20"/>
          <w:szCs w:val="20"/>
          <w:color w:val="auto"/>
        </w:rPr>
      </w:pPr>
    </w:p>
    <w:p>
      <w:pPr>
        <w:ind w:left="2360" w:hanging="823"/>
        <w:spacing w:after="0"/>
        <w:tabs>
          <w:tab w:leader="none" w:pos="2360" w:val="left"/>
        </w:tabs>
        <w:numPr>
          <w:ilvl w:val="2"/>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02"/>
        <w:spacing w:after="0" w:line="269" w:lineRule="auto"/>
        <w:tabs>
          <w:tab w:leader="none" w:pos="3170" w:val="left"/>
        </w:tabs>
        <w:numPr>
          <w:ilvl w:val="3"/>
          <w:numId w:val="23"/>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5" w:lineRule="exact"/>
        <w:rPr>
          <w:rFonts w:ascii="Arial" w:cs="Arial" w:eastAsia="Arial" w:hAnsi="Arial"/>
          <w:sz w:val="17"/>
          <w:szCs w:val="17"/>
          <w:color w:val="auto"/>
        </w:rPr>
      </w:pPr>
    </w:p>
    <w:p>
      <w:pPr>
        <w:jc w:val="both"/>
        <w:ind w:firstLine="2302"/>
        <w:spacing w:after="0" w:line="290" w:lineRule="auto"/>
        <w:tabs>
          <w:tab w:leader="none" w:pos="3161" w:val="left"/>
        </w:tabs>
        <w:numPr>
          <w:ilvl w:val="3"/>
          <w:numId w:val="23"/>
        </w:numPr>
        <w:rPr>
          <w:rFonts w:ascii="Arial" w:cs="Arial" w:eastAsia="Arial" w:hAnsi="Arial"/>
          <w:sz w:val="16"/>
          <w:szCs w:val="16"/>
          <w:color w:val="auto"/>
        </w:rPr>
      </w:pPr>
      <w:r>
        <w:rPr>
          <w:rFonts w:ascii="Arial" w:cs="Arial" w:eastAsia="Arial" w:hAnsi="Arial"/>
          <w:sz w:val="16"/>
          <w:szCs w:val="16"/>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65" w:lineRule="exact"/>
        <w:rPr>
          <w:rFonts w:ascii="Arial" w:cs="Arial" w:eastAsia="Arial" w:hAnsi="Arial"/>
          <w:sz w:val="16"/>
          <w:szCs w:val="16"/>
          <w:color w:val="auto"/>
        </w:rPr>
      </w:pPr>
    </w:p>
    <w:p>
      <w:pPr>
        <w:ind w:left="1560" w:hanging="787"/>
        <w:spacing w:after="0"/>
        <w:tabs>
          <w:tab w:leader="none" w:pos="156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63" w:lineRule="auto"/>
        <w:tabs>
          <w:tab w:leader="none" w:pos="2376" w:val="left"/>
        </w:tabs>
        <w:numPr>
          <w:ilvl w:val="2"/>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who is, or is likely to be, as of the end of the tax year in which the Company would claim a tax deduction in connection with such Award, a Covered Employee, that the provisions of this Section 9 shall be applicable to such Award.</w:t>
      </w:r>
    </w:p>
    <w:p>
      <w:pPr>
        <w:spacing w:after="0" w:line="183" w:lineRule="exact"/>
        <w:rPr>
          <w:rFonts w:ascii="Arial" w:cs="Arial" w:eastAsia="Arial" w:hAnsi="Arial"/>
          <w:sz w:val="18"/>
          <w:szCs w:val="18"/>
          <w:color w:val="auto"/>
        </w:rPr>
      </w:pPr>
    </w:p>
    <w:p>
      <w:pPr>
        <w:jc w:val="both"/>
        <w:ind w:firstLine="1537"/>
        <w:spacing w:after="0" w:line="283" w:lineRule="auto"/>
        <w:tabs>
          <w:tab w:leader="none" w:pos="2386" w:val="left"/>
        </w:tabs>
        <w:numPr>
          <w:ilvl w:val="2"/>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w:t>
      </w:r>
    </w:p>
    <w:p>
      <w:pPr>
        <w:spacing w:after="0" w:line="3" w:lineRule="exact"/>
        <w:rPr>
          <w:rFonts w:ascii="Arial" w:cs="Arial" w:eastAsia="Arial" w:hAnsi="Arial"/>
          <w:sz w:val="16"/>
          <w:szCs w:val="16"/>
          <w:color w:val="auto"/>
        </w:rPr>
      </w:pPr>
    </w:p>
    <w:p>
      <w:pPr>
        <w:jc w:val="both"/>
        <w:ind w:firstLine="8"/>
        <w:spacing w:after="0" w:line="287" w:lineRule="auto"/>
        <w:tabs>
          <w:tab w:leader="none" w:pos="2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69" w:lineRule="exact"/>
        <w:rPr>
          <w:rFonts w:ascii="Arial" w:cs="Arial" w:eastAsia="Arial" w:hAnsi="Arial"/>
          <w:sz w:val="16"/>
          <w:szCs w:val="16"/>
          <w:color w:val="auto"/>
        </w:rPr>
      </w:pPr>
    </w:p>
    <w:p>
      <w:pPr>
        <w:ind w:firstLine="1537"/>
        <w:spacing w:after="0" w:line="277" w:lineRule="auto"/>
        <w:tabs>
          <w:tab w:leader="none" w:pos="2376" w:val="left"/>
        </w:tabs>
        <w:numPr>
          <w:ilvl w:val="2"/>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Performance Awards subject to this Section 9 shall be measured over a Performance Period no shorter than 12 months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84" w:lineRule="exact"/>
        <w:rPr>
          <w:sz w:val="20"/>
          <w:szCs w:val="20"/>
          <w:color w:val="auto"/>
        </w:rPr>
      </w:pPr>
    </w:p>
    <w:p>
      <w:pPr>
        <w:jc w:val="both"/>
        <w:ind w:firstLine="1537"/>
        <w:spacing w:after="0" w:line="279" w:lineRule="auto"/>
        <w:tabs>
          <w:tab w:leader="none" w:pos="2386" w:val="left"/>
        </w:tabs>
        <w:numPr>
          <w:ilvl w:val="1"/>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jc w:val="both"/>
        <w:ind w:firstLine="1537"/>
        <w:spacing w:after="0" w:line="259" w:lineRule="auto"/>
        <w:tabs>
          <w:tab w:leader="none" w:pos="2376"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40" w:hanging="867"/>
        <w:spacing w:after="0"/>
        <w:tabs>
          <w:tab w:leader="none" w:pos="164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84" w:lineRule="auto"/>
        <w:tabs>
          <w:tab w:leader="none" w:pos="2376" w:val="left"/>
        </w:tabs>
        <w:numPr>
          <w:ilvl w:val="1"/>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74" w:lineRule="exact"/>
        <w:rPr>
          <w:rFonts w:ascii="Arial" w:cs="Arial" w:eastAsia="Arial" w:hAnsi="Arial"/>
          <w:sz w:val="16"/>
          <w:szCs w:val="16"/>
          <w:color w:val="auto"/>
        </w:rPr>
      </w:pPr>
    </w:p>
    <w:p>
      <w:pPr>
        <w:jc w:val="both"/>
        <w:ind w:firstLine="1537"/>
        <w:spacing w:after="0" w:line="263" w:lineRule="auto"/>
        <w:tabs>
          <w:tab w:leader="none" w:pos="2386"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or other agreement for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Participant and the Company or any Subsidiary, or in an Award Agreement, a “Change in Control” shall mean the occurrence of any of the following:</w:t>
      </w:r>
    </w:p>
    <w:p>
      <w:pPr>
        <w:spacing w:after="0" w:line="183" w:lineRule="exact"/>
        <w:rPr>
          <w:rFonts w:ascii="Arial" w:cs="Arial" w:eastAsia="Arial" w:hAnsi="Arial"/>
          <w:sz w:val="18"/>
          <w:szCs w:val="18"/>
          <w:color w:val="auto"/>
        </w:rPr>
      </w:pPr>
    </w:p>
    <w:p>
      <w:pPr>
        <w:jc w:val="both"/>
        <w:ind w:firstLine="2302"/>
        <w:spacing w:after="0" w:line="254" w:lineRule="auto"/>
        <w:tabs>
          <w:tab w:leader="none" w:pos="3111"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70" w:lineRule="exact"/>
        <w:rPr>
          <w:sz w:val="20"/>
          <w:szCs w:val="20"/>
          <w:color w:val="auto"/>
        </w:rPr>
      </w:pPr>
    </w:p>
    <w:p>
      <w:pPr>
        <w:jc w:val="both"/>
        <w:ind w:firstLine="2302"/>
        <w:spacing w:after="0" w:line="254" w:lineRule="auto"/>
        <w:tabs>
          <w:tab w:leader="none" w:pos="3161" w:val="left"/>
        </w:tabs>
        <w:numPr>
          <w:ilvl w:val="2"/>
          <w:numId w:val="28"/>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rFonts w:ascii="Arial" w:cs="Arial" w:eastAsia="Arial" w:hAnsi="Arial"/>
          <w:sz w:val="18"/>
          <w:szCs w:val="18"/>
          <w:color w:val="auto"/>
        </w:rPr>
      </w:pPr>
    </w:p>
    <w:p>
      <w:pPr>
        <w:jc w:val="both"/>
        <w:ind w:firstLine="2302"/>
        <w:spacing w:after="0" w:line="267" w:lineRule="auto"/>
        <w:tabs>
          <w:tab w:leader="none" w:pos="3211" w:val="left"/>
        </w:tabs>
        <w:numPr>
          <w:ilvl w:val="2"/>
          <w:numId w:val="28"/>
        </w:numPr>
        <w:rPr>
          <w:rFonts w:ascii="Arial" w:cs="Arial" w:eastAsia="Arial" w:hAnsi="Arial"/>
          <w:sz w:val="17"/>
          <w:szCs w:val="17"/>
          <w:color w:val="auto"/>
        </w:rPr>
      </w:pPr>
      <w:r>
        <w:rPr>
          <w:rFonts w:ascii="Arial" w:cs="Arial" w:eastAsia="Arial" w:hAnsi="Arial"/>
          <w:sz w:val="17"/>
          <w:szCs w:val="17"/>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1" w:lineRule="exact"/>
        <w:rPr>
          <w:rFonts w:ascii="Arial" w:cs="Arial" w:eastAsia="Arial" w:hAnsi="Arial"/>
          <w:sz w:val="17"/>
          <w:szCs w:val="17"/>
          <w:color w:val="auto"/>
        </w:rPr>
      </w:pPr>
    </w:p>
    <w:p>
      <w:pPr>
        <w:ind w:left="3200" w:hanging="898"/>
        <w:spacing w:after="0"/>
        <w:tabs>
          <w:tab w:leader="none" w:pos="3200" w:val="left"/>
        </w:tabs>
        <w:numPr>
          <w:ilvl w:val="2"/>
          <w:numId w:val="28"/>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6" w:lineRule="exact"/>
        <w:rPr>
          <w:rFonts w:ascii="Arial" w:cs="Arial" w:eastAsia="Arial" w:hAnsi="Arial"/>
          <w:sz w:val="17"/>
          <w:szCs w:val="17"/>
          <w:color w:val="auto"/>
        </w:rPr>
      </w:pPr>
    </w:p>
    <w:p>
      <w:pPr>
        <w:ind w:left="1640" w:hanging="867"/>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37"/>
        <w:spacing w:after="0" w:line="254" w:lineRule="auto"/>
        <w:tabs>
          <w:tab w:leader="none" w:pos="2376" w:val="left"/>
        </w:tabs>
        <w:numPr>
          <w:ilvl w:val="1"/>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94" w:lineRule="exact"/>
        <w:rPr>
          <w:rFonts w:ascii="Arial" w:cs="Arial" w:eastAsia="Arial" w:hAnsi="Arial"/>
          <w:sz w:val="18"/>
          <w:szCs w:val="18"/>
          <w:color w:val="auto"/>
        </w:rPr>
      </w:pPr>
    </w:p>
    <w:p>
      <w:pPr>
        <w:jc w:val="both"/>
        <w:ind w:firstLine="1537"/>
        <w:spacing w:after="0" w:line="268" w:lineRule="auto"/>
        <w:tabs>
          <w:tab w:leader="none" w:pos="2386" w:val="left"/>
        </w:tabs>
        <w:numPr>
          <w:ilvl w:val="1"/>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Limits on Transferability; Beneficiaries</w:t>
      </w:r>
      <w:r>
        <w:rPr>
          <w:rFonts w:ascii="Arial" w:cs="Arial" w:eastAsia="Arial" w:hAnsi="Arial"/>
          <w:sz w:val="17"/>
          <w:szCs w:val="17"/>
          <w:color w:val="auto"/>
        </w:rPr>
        <w:t>. No Award or other right or interest granted under the Plan shall be pledged,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87" w:lineRule="exact"/>
        <w:rPr>
          <w:sz w:val="20"/>
          <w:szCs w:val="20"/>
          <w:color w:val="auto"/>
        </w:rPr>
      </w:pPr>
    </w:p>
    <w:p>
      <w:pPr>
        <w:ind w:left="2380" w:hanging="843"/>
        <w:spacing w:after="0"/>
        <w:tabs>
          <w:tab w:leader="none" w:pos="23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02"/>
        <w:spacing w:after="0" w:line="268" w:lineRule="auto"/>
        <w:tabs>
          <w:tab w:leader="none" w:pos="3111" w:val="left"/>
        </w:tabs>
        <w:numPr>
          <w:ilvl w:val="1"/>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79" w:lineRule="exact"/>
        <w:rPr>
          <w:rFonts w:ascii="Arial" w:cs="Arial" w:eastAsia="Arial" w:hAnsi="Arial"/>
          <w:sz w:val="17"/>
          <w:szCs w:val="17"/>
          <w:color w:val="auto"/>
        </w:rPr>
      </w:pPr>
    </w:p>
    <w:p>
      <w:pPr>
        <w:ind w:left="3160" w:hanging="858"/>
        <w:spacing w:after="0"/>
        <w:tabs>
          <w:tab w:leader="none" w:pos="3160" w:val="left"/>
        </w:tabs>
        <w:numPr>
          <w:ilvl w:val="1"/>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3065"/>
        <w:spacing w:after="0" w:line="268" w:lineRule="auto"/>
        <w:tabs>
          <w:tab w:leader="none" w:pos="3955" w:val="left"/>
        </w:tabs>
        <w:numPr>
          <w:ilvl w:val="2"/>
          <w:numId w:val="30"/>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 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4" w:lineRule="exact"/>
        <w:rPr>
          <w:rFonts w:ascii="Arial" w:cs="Arial" w:eastAsia="Arial" w:hAnsi="Arial"/>
          <w:sz w:val="17"/>
          <w:szCs w:val="17"/>
          <w:color w:val="auto"/>
        </w:rPr>
      </w:pPr>
    </w:p>
    <w:p>
      <w:pPr>
        <w:jc w:val="both"/>
        <w:ind w:firstLine="3065"/>
        <w:spacing w:after="0" w:line="269" w:lineRule="auto"/>
        <w:tabs>
          <w:tab w:leader="none" w:pos="3945" w:val="left"/>
        </w:tabs>
        <w:numPr>
          <w:ilvl w:val="2"/>
          <w:numId w:val="30"/>
        </w:numPr>
        <w:rPr>
          <w:rFonts w:ascii="Arial" w:cs="Arial" w:eastAsia="Arial" w:hAnsi="Arial"/>
          <w:sz w:val="17"/>
          <w:szCs w:val="17"/>
          <w:color w:val="auto"/>
        </w:rPr>
      </w:pPr>
      <w:r>
        <w:rPr>
          <w:rFonts w:ascii="Arial" w:cs="Arial" w:eastAsia="Arial" w:hAnsi="Arial"/>
          <w:sz w:val="17"/>
          <w:szCs w:val="17"/>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The determination of such substantial equality of value of consideration shall be made by the Committee in its sole discretion and its determination shall be conclusive and binding.</w:t>
      </w:r>
    </w:p>
    <w:p>
      <w:pPr>
        <w:spacing w:after="0" w:line="170" w:lineRule="exact"/>
        <w:rPr>
          <w:sz w:val="20"/>
          <w:szCs w:val="20"/>
          <w:color w:val="auto"/>
        </w:rPr>
      </w:pPr>
    </w:p>
    <w:p>
      <w:pPr>
        <w:jc w:val="both"/>
        <w:ind w:firstLine="2302"/>
        <w:spacing w:after="0" w:line="287" w:lineRule="auto"/>
        <w:tabs>
          <w:tab w:leader="none" w:pos="3211" w:val="left"/>
        </w:tabs>
        <w:numPr>
          <w:ilvl w:val="1"/>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1" w:lineRule="exact"/>
        <w:rPr>
          <w:rFonts w:ascii="Arial" w:cs="Arial" w:eastAsia="Arial" w:hAnsi="Arial"/>
          <w:sz w:val="16"/>
          <w:szCs w:val="16"/>
          <w:color w:val="auto"/>
        </w:rPr>
      </w:pPr>
    </w:p>
    <w:p>
      <w:pPr>
        <w:jc w:val="both"/>
        <w:ind w:firstLine="1537"/>
        <w:spacing w:after="0" w:line="272" w:lineRule="auto"/>
        <w:tabs>
          <w:tab w:leader="none" w:pos="2386"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Each Award Agreement shall either be (i) in writing in a form approved by the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77" w:lineRule="exact"/>
        <w:rPr>
          <w:rFonts w:ascii="Arial" w:cs="Arial" w:eastAsia="Arial" w:hAnsi="Arial"/>
          <w:sz w:val="17"/>
          <w:szCs w:val="17"/>
          <w:color w:val="auto"/>
        </w:rPr>
      </w:pPr>
    </w:p>
    <w:p>
      <w:pPr>
        <w:jc w:val="both"/>
        <w:ind w:firstLine="1537"/>
        <w:spacing w:after="0" w:line="290" w:lineRule="auto"/>
        <w:tabs>
          <w:tab w:leader="none" w:pos="2376"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5" w:lineRule="exact"/>
        <w:rPr>
          <w:rFonts w:ascii="Arial" w:cs="Arial" w:eastAsia="Arial" w:hAnsi="Arial"/>
          <w:sz w:val="16"/>
          <w:szCs w:val="16"/>
          <w:color w:val="auto"/>
        </w:rPr>
      </w:pPr>
    </w:p>
    <w:p>
      <w:pPr>
        <w:jc w:val="both"/>
        <w:ind w:firstLine="1537"/>
        <w:spacing w:after="0" w:line="289" w:lineRule="auto"/>
        <w:tabs>
          <w:tab w:leader="none" w:pos="2356"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jc w:val="both"/>
        <w:ind w:firstLine="1537"/>
        <w:spacing w:after="0" w:line="289" w:lineRule="auto"/>
        <w:tabs>
          <w:tab w:leader="none" w:pos="2386"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ind w:right="20"/>
        <w:spacing w:after="0" w:line="259" w:lineRule="auto"/>
        <w:rPr>
          <w:sz w:val="20"/>
          <w:szCs w:val="20"/>
          <w:color w:val="auto"/>
        </w:rPr>
      </w:pPr>
      <w:r>
        <w:rPr>
          <w:rFonts w:ascii="Arial" w:cs="Arial" w:eastAsia="Arial" w:hAnsi="Arial"/>
          <w:sz w:val="18"/>
          <w:szCs w:val="18"/>
          <w:color w:val="auto"/>
        </w:rPr>
        <w:t>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87" w:lineRule="exact"/>
        <w:rPr>
          <w:sz w:val="20"/>
          <w:szCs w:val="20"/>
          <w:color w:val="auto"/>
        </w:rPr>
      </w:pPr>
    </w:p>
    <w:p>
      <w:pPr>
        <w:jc w:val="both"/>
        <w:ind w:firstLine="1537"/>
        <w:spacing w:after="0" w:line="291" w:lineRule="auto"/>
        <w:tabs>
          <w:tab w:leader="none" w:pos="2386"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6" w:lineRule="exact"/>
        <w:rPr>
          <w:rFonts w:ascii="Arial" w:cs="Arial" w:eastAsia="Arial" w:hAnsi="Arial"/>
          <w:sz w:val="16"/>
          <w:szCs w:val="16"/>
          <w:color w:val="auto"/>
        </w:rPr>
      </w:pPr>
    </w:p>
    <w:p>
      <w:pPr>
        <w:jc w:val="both"/>
        <w:ind w:firstLine="1537"/>
        <w:spacing w:after="0" w:line="311" w:lineRule="auto"/>
        <w:tabs>
          <w:tab w:leader="none" w:pos="2346"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48" w:lineRule="exact"/>
        <w:rPr>
          <w:rFonts w:ascii="Arial" w:cs="Arial" w:eastAsia="Arial" w:hAnsi="Arial"/>
          <w:sz w:val="16"/>
          <w:szCs w:val="16"/>
          <w:color w:val="auto"/>
        </w:rPr>
      </w:pPr>
    </w:p>
    <w:p>
      <w:pPr>
        <w:jc w:val="both"/>
        <w:ind w:firstLine="1537"/>
        <w:spacing w:after="0" w:line="257" w:lineRule="auto"/>
        <w:tabs>
          <w:tab w:leader="none" w:pos="2346"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7" w:lineRule="exact"/>
        <w:rPr>
          <w:rFonts w:ascii="Arial" w:cs="Arial" w:eastAsia="Arial" w:hAnsi="Arial"/>
          <w:sz w:val="18"/>
          <w:szCs w:val="18"/>
          <w:color w:val="auto"/>
        </w:rPr>
      </w:pPr>
    </w:p>
    <w:p>
      <w:pPr>
        <w:jc w:val="both"/>
        <w:ind w:firstLine="1537"/>
        <w:spacing w:after="0" w:line="263" w:lineRule="auto"/>
        <w:tabs>
          <w:tab w:leader="none" w:pos="2386"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3" w:lineRule="exact"/>
        <w:rPr>
          <w:rFonts w:ascii="Arial" w:cs="Arial" w:eastAsia="Arial" w:hAnsi="Arial"/>
          <w:sz w:val="18"/>
          <w:szCs w:val="18"/>
          <w:color w:val="auto"/>
        </w:rPr>
      </w:pPr>
    </w:p>
    <w:p>
      <w:pPr>
        <w:jc w:val="both"/>
        <w:ind w:firstLine="1537"/>
        <w:spacing w:after="0" w:line="286" w:lineRule="auto"/>
        <w:tabs>
          <w:tab w:leader="none" w:pos="2346"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jc w:val="both"/>
        <w:ind w:firstLine="1537"/>
        <w:spacing w:after="0" w:line="271" w:lineRule="auto"/>
        <w:tabs>
          <w:tab w:leader="none" w:pos="2436"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3" w:lineRule="exact"/>
        <w:rPr>
          <w:rFonts w:ascii="Arial" w:cs="Arial" w:eastAsia="Arial" w:hAnsi="Arial"/>
          <w:sz w:val="18"/>
          <w:szCs w:val="18"/>
          <w:color w:val="auto"/>
        </w:rPr>
      </w:pPr>
    </w:p>
    <w:p>
      <w:pPr>
        <w:jc w:val="both"/>
        <w:ind w:firstLine="1537"/>
        <w:spacing w:after="0" w:line="263" w:lineRule="auto"/>
        <w:tabs>
          <w:tab w:leader="none" w:pos="2386"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court of law in any jurisdiction, the remaining provisions hereof and thereof shall be severable and enforceable in accordance with their terms, and all provisions shall remain enforceable in any other jurisdiction.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
    <w:nsid w:val="3F2DBA3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9"/>
    </w:lvl>
  </w:abstractNum>
  <w:abstractNum w:abstractNumId="4">
    <w:nsid w:val="7C83E458"/>
    <w:multiLevelType w:val="hybridMultilevel"/>
    <w:lvl w:ilvl="0">
      <w:lvlJc w:val="left"/>
      <w:lvlText w:val="(%1)"/>
      <w:numFmt w:val="lowerLetter"/>
      <w:start w:val="11"/>
    </w:lvl>
  </w:abstractNum>
  <w:abstractNum w:abstractNumId="5">
    <w:nsid w:val="257130A3"/>
    <w:multiLevelType w:val="hybridMultilevel"/>
    <w:lvl w:ilvl="0">
      <w:lvlJc w:val="left"/>
      <w:lvlText w:val="(%1)"/>
      <w:numFmt w:val="lowerLetter"/>
      <w:start w:val="24"/>
    </w:lvl>
  </w:abstractNum>
  <w:abstractNum w:abstractNumId="6">
    <w:nsid w:val="62BBD95A"/>
    <w:multiLevelType w:val="hybridMultilevel"/>
    <w:lvl w:ilvl="0">
      <w:lvlJc w:val="left"/>
      <w:lvlText w:val="(%1)"/>
      <w:numFmt w:val="lowerLetter"/>
      <w:start w:val="27"/>
    </w:lvl>
  </w:abstractNum>
  <w:abstractNum w:abstractNumId="7">
    <w:nsid w:val="436C6125"/>
    <w:multiLevelType w:val="hybridMultilevel"/>
    <w:lvl w:ilvl="0">
      <w:lvlJc w:val="left"/>
      <w:lvlText w:val="(%1)"/>
      <w:numFmt w:val="lowerLetter"/>
      <w:start w:val="36"/>
    </w:lvl>
  </w:abstractNum>
  <w:abstractNum w:abstractNumId="8">
    <w:nsid w:val="628C895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9">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
    <w:nsid w:val="721DA31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
    <w:nsid w:val="2443A85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
    <w:nsid w:val="2D1D5AE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4">
    <w:nsid w:val="75A2A8D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
    <w:nsid w:val="8EDBD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6">
    <w:nsid w:val="79838CB2"/>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7">
    <w:nsid w:val="4353D0CD"/>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8">
    <w:nsid w:val="B03E0C6"/>
    <w:multiLevelType w:val="hybridMultilevel"/>
    <w:lvl w:ilvl="0">
      <w:lvlJc w:val="left"/>
      <w:lvlText w:val="%1"/>
      <w:numFmt w:val="decimal"/>
      <w:start w:val="1"/>
    </w:lvl>
    <w:lvl w:ilvl="1">
      <w:lvlJc w:val="left"/>
      <w:lvlText w:val="(%2)"/>
      <w:numFmt w:val="lowerLetter"/>
      <w:start w:val="7"/>
    </w:lvl>
  </w:abstractNum>
  <w:abstractNum w:abstractNumId="19">
    <w:nsid w:val="189A769B"/>
    <w:multiLevelType w:val="hybridMultilevel"/>
    <w:lvl w:ilvl="0">
      <w:lvlJc w:val="left"/>
      <w:lvlText w:val="%1."/>
      <w:numFmt w:val="decimal"/>
      <w:start w:val="8"/>
    </w:lvl>
    <w:lvl w:ilvl="1">
      <w:lvlJc w:val="left"/>
      <w:lvlText w:val="(%2)"/>
      <w:numFmt w:val="lowerLetter"/>
      <w:start w:val="1"/>
    </w:lvl>
  </w:abstractNum>
  <w:abstractNum w:abstractNumId="20">
    <w:nsid w:val="54E49EB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1">
    <w:nsid w:val="71F32454"/>
    <w:multiLevelType w:val="hybridMultilevel"/>
    <w:lvl w:ilvl="0">
      <w:lvlJc w:val="left"/>
      <w:lvlText w:val="(%1)"/>
      <w:numFmt w:val="lowerRoman"/>
      <w:start w:val="3"/>
    </w:lvl>
  </w:abstractNum>
  <w:abstractNum w:abstractNumId="22">
    <w:nsid w:val="2CA886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23">
    <w:nsid w:val="836C40E"/>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24">
    <w:nsid w:val="2901D82"/>
    <w:multiLevelType w:val="hybridMultilevel"/>
    <w:lvl w:ilvl="0">
      <w:lvlJc w:val="left"/>
      <w:lvlText w:val="(%1)"/>
      <w:numFmt w:val="decimal"/>
      <w:start w:val="9"/>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5">
    <w:nsid w:val="3A95F87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6">
    <w:nsid w:val="8138641"/>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27">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
    <w:nsid w:val="7C3DBD3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9">
    <w:nsid w:val="737B8DD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
    <w:nsid w:val="6CEAF087"/>
    <w:multiLevelType w:val="hybridMultilevel"/>
    <w:lvl w:ilvl="0">
      <w:lvlJc w:val="left"/>
      <w:lvlText w:val="%1"/>
      <w:numFmt w:val="lowerLetter"/>
      <w:start w:val="1"/>
    </w:lvl>
    <w:lvl w:ilvl="1">
      <w:lvlJc w:val="left"/>
      <w:lvlText w:val="(%2)"/>
      <w:numFmt w:val="lowerLetter"/>
      <w:start w:val="61"/>
    </w:lvl>
  </w:abstractNum>
  <w:abstractNum w:abstractNumId="31">
    <w:nsid w:val="22221A70"/>
    <w:multiLevelType w:val="hybridMultilevel"/>
    <w:lvl w:ilvl="0">
      <w:lvlJc w:val="left"/>
      <w:lvlText w:val="(%1)"/>
      <w:numFmt w:val="lowerLetter"/>
      <w:start w:val="4"/>
    </w:lvl>
    <w:lvl w:ilvl="1">
      <w:lvlJc w:val="left"/>
      <w:lvlText w:val="%2"/>
      <w:numFmt w:val="lowerLetter"/>
      <w:start w:val="1"/>
    </w:lvl>
  </w:abstractNum>
  <w:abstractNum w:abstractNumId="32">
    <w:nsid w:val="4516DDE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2021-08-06T07:07:14Z</dcterms:created>
  <dcterms:modified xsi:type="dcterms:W3CDTF">2021-08-06T07:07:14Z</dcterms:modified>
</cp:coreProperties>
</file>