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52)</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25057L102</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Seymour Holtzman</w:t>
      </w:r>
    </w:p>
    <w:p>
      <w:pPr>
        <w:jc w:val="center"/>
        <w:ind w:right="175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659"/>
        <w:spacing w:after="0"/>
        <w:rPr>
          <w:sz w:val="20"/>
          <w:szCs w:val="20"/>
          <w:color w:val="auto"/>
        </w:rPr>
      </w:pPr>
      <w:r>
        <w:rPr>
          <w:rFonts w:ascii="Courier New" w:cs="Courier New" w:eastAsia="Courier New" w:hAnsi="Courier New"/>
          <w:sz w:val="18"/>
          <w:szCs w:val="18"/>
          <w:color w:val="auto"/>
        </w:rPr>
        <w:t>100 N. Wilkes Barre Blvd.</w:t>
      </w:r>
    </w:p>
    <w:p>
      <w:pPr>
        <w:jc w:val="center"/>
        <w:ind w:right="175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822-6277</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(Name, Address and Telephone Number of</w:t>
      </w:r>
    </w:p>
    <w:p>
      <w:pPr>
        <w:ind w:left="2320"/>
        <w:spacing w:after="0" w:line="237" w:lineRule="auto"/>
        <w:rPr>
          <w:sz w:val="20"/>
          <w:szCs w:val="20"/>
          <w:color w:val="auto"/>
        </w:rPr>
      </w:pPr>
      <w:r>
        <w:rPr>
          <w:rFonts w:ascii="Courier New" w:cs="Courier New" w:eastAsia="Courier New" w:hAnsi="Courier New"/>
          <w:sz w:val="18"/>
          <w:szCs w:val="18"/>
          <w:color w:val="auto"/>
        </w:rPr>
        <w:t>Person Authorized to Receive Notices</w:t>
      </w:r>
    </w:p>
    <w:p>
      <w:pPr>
        <w:ind w:left="3280"/>
        <w:spacing w:after="0" w:line="238" w:lineRule="auto"/>
        <w:rPr>
          <w:sz w:val="20"/>
          <w:szCs w:val="20"/>
          <w:color w:val="auto"/>
        </w:rPr>
      </w:pPr>
      <w:r>
        <w:rPr>
          <w:rFonts w:ascii="Courier New" w:cs="Courier New" w:eastAsia="Courier New" w:hAnsi="Courier New"/>
          <w:sz w:val="18"/>
          <w:szCs w:val="18"/>
          <w:color w:val="auto"/>
        </w:rPr>
        <w:t>and Communications)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November 18, 2005</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jc w:val="center"/>
        <w:ind w:right="1759"/>
        <w:spacing w:after="0"/>
        <w:rPr>
          <w:sz w:val="20"/>
          <w:szCs w:val="20"/>
          <w:color w:val="auto"/>
        </w:rPr>
      </w:pPr>
      <w:r>
        <w:rPr>
          <w:rFonts w:ascii="Courier New" w:cs="Courier New" w:eastAsia="Courier New" w:hAnsi="Courier New"/>
          <w:sz w:val="18"/>
          <w:szCs w:val="18"/>
          <w:color w:val="auto"/>
        </w:rPr>
        <w:t>(Date of Event which Requires Filing</w:t>
      </w:r>
    </w:p>
    <w:p>
      <w:pPr>
        <w:jc w:val="center"/>
        <w:ind w:right="1759"/>
        <w:spacing w:after="0" w:line="237" w:lineRule="auto"/>
        <w:rPr>
          <w:sz w:val="20"/>
          <w:szCs w:val="20"/>
          <w:color w:val="auto"/>
        </w:rPr>
      </w:pPr>
      <w:r>
        <w:rPr>
          <w:rFonts w:ascii="Courier New" w:cs="Courier New" w:eastAsia="Courier New" w:hAnsi="Courier New"/>
          <w:sz w:val="18"/>
          <w:szCs w:val="18"/>
          <w:color w:val="auto"/>
        </w:rPr>
        <w:t>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ss.ss. 240.13d-1(e), 240.13d-1(f), or 240.13d-1(g), check the following box: |_|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25057L102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tbl>
      <w:tblPr>
        <w:tblLayout w:type="fixed"/>
        <w:tblInd w:w="1280" w:type="dxa"/>
        <w:tblCellMar>
          <w:top w:w="0" w:type="dxa"/>
          <w:left w:w="0" w:type="dxa"/>
          <w:bottom w:w="0" w:type="dxa"/>
          <w:right w:w="0" w:type="dxa"/>
        </w:tblCellMar>
      </w:tblPr>
      <w:tr>
        <w:trPr>
          <w:trHeight w:val="203"/>
        </w:trPr>
        <w:tc>
          <w:tcPr>
            <w:tcW w:w="4260" w:type="dxa"/>
            <w:vAlign w:val="bottom"/>
          </w:tcPr>
          <w:p>
            <w:pPr>
              <w:spacing w:after="0"/>
              <w:rPr>
                <w:sz w:val="20"/>
                <w:szCs w:val="20"/>
                <w:color w:val="auto"/>
              </w:rPr>
            </w:pPr>
            <w:r>
              <w:rPr>
                <w:rFonts w:ascii="Courier New" w:cs="Courier New" w:eastAsia="Courier New" w:hAnsi="Courier New"/>
                <w:sz w:val="18"/>
                <w:szCs w:val="18"/>
                <w:color w:val="auto"/>
              </w:rPr>
              <w:t>Jewelcor Management, Inc.</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23-2331228</w:t>
            </w:r>
          </w:p>
        </w:tc>
      </w:tr>
    </w:tbl>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4"/>
          <w:szCs w:val="24"/>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NA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7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4"/>
          <w:szCs w:val="24"/>
          <w:color w:val="auto"/>
        </w:rPr>
      </w:pPr>
    </w:p>
    <w:p>
      <w:pPr>
        <w:ind w:left="1900" w:right="5779" w:hanging="1892"/>
        <w:spacing w:after="0" w:line="235" w:lineRule="auto"/>
        <w:tabs>
          <w:tab w:leader="none" w:pos="6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Nevada</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526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380" w:type="dxa"/>
            <w:vAlign w:val="bottom"/>
          </w:tcPr>
          <w:p>
            <w:pPr>
              <w:spacing w:after="0"/>
              <w:rPr>
                <w:sz w:val="17"/>
                <w:szCs w:val="17"/>
                <w:color w:val="auto"/>
              </w:rPr>
            </w:pPr>
          </w:p>
        </w:tc>
        <w:tc>
          <w:tcPr>
            <w:tcW w:w="526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rPr>
              <w:t>227,059(1)</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5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378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0</w:t>
      </w:r>
    </w:p>
    <w:p>
      <w:pPr>
        <w:spacing w:after="0" w:line="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____________________________________________________________</w:t>
      </w:r>
    </w:p>
    <w:p>
      <w:pPr>
        <w:spacing w:after="0" w:line="16" w:lineRule="exact"/>
        <w:rPr>
          <w:sz w:val="20"/>
          <w:szCs w:val="20"/>
          <w:color w:val="auto"/>
        </w:rPr>
      </w:pPr>
    </w:p>
    <w:p>
      <w:pPr>
        <w:spacing w:after="0"/>
        <w:tabs>
          <w:tab w:leader="none" w:pos="2520" w:val="left"/>
          <w:tab w:leader="none" w:pos="314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SOLE DISPOSITIVE POWER</w:t>
      </w:r>
    </w:p>
    <w:p>
      <w:pPr>
        <w:spacing w:after="0" w:line="238" w:lineRule="auto"/>
        <w:tabs>
          <w:tab w:leader="none" w:pos="37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227,059(1)</w:t>
      </w:r>
    </w:p>
    <w:p>
      <w:pPr>
        <w:spacing w:after="0" w:line="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6"/>
          <w:szCs w:val="16"/>
          <w:color w:val="auto"/>
        </w:rPr>
        <w:t>WITH</w:t>
      </w:r>
      <w:r>
        <w:rPr>
          <w:sz w:val="20"/>
          <w:szCs w:val="20"/>
          <w:color w:val="auto"/>
        </w:rPr>
        <w:tab/>
      </w:r>
      <w:r>
        <w:rPr>
          <w:rFonts w:ascii="Courier New" w:cs="Courier New" w:eastAsia="Courier New" w:hAnsi="Courier New"/>
          <w:sz w:val="16"/>
          <w:szCs w:val="16"/>
          <w:color w:val="auto"/>
        </w:rPr>
        <w:t>____________________________________________________________</w:t>
      </w:r>
    </w:p>
    <w:p>
      <w:pPr>
        <w:spacing w:after="0" w:line="16" w:lineRule="exact"/>
        <w:rPr>
          <w:sz w:val="20"/>
          <w:szCs w:val="20"/>
          <w:color w:val="auto"/>
        </w:rPr>
      </w:pPr>
    </w:p>
    <w:p>
      <w:pPr>
        <w:ind w:left="2540"/>
        <w:spacing w:after="0"/>
        <w:tabs>
          <w:tab w:leader="none" w:pos="3140" w:val="left"/>
        </w:tabs>
        <w:rPr>
          <w:sz w:val="20"/>
          <w:szCs w:val="20"/>
          <w:color w:val="auto"/>
        </w:rPr>
      </w:pPr>
      <w:r>
        <w:rPr>
          <w:rFonts w:ascii="Courier New" w:cs="Courier New" w:eastAsia="Courier New" w:hAnsi="Courier New"/>
          <w:sz w:val="18"/>
          <w:szCs w:val="18"/>
          <w:color w:val="auto"/>
        </w:rPr>
        <w:t>10)</w:t>
        <w:tab/>
        <w:t>SHARED DISPOSITIVE POWER</w:t>
      </w:r>
    </w:p>
    <w:p>
      <w:pPr>
        <w:ind w:left="380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0"/>
          <w:szCs w:val="20"/>
          <w:color w:val="auto"/>
        </w:rPr>
      </w:pPr>
    </w:p>
    <w:p>
      <w:pPr>
        <w:ind w:left="3800" w:right="3259" w:hanging="379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227,059(1)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2099"/>
        <w:spacing w:after="0"/>
        <w:rPr>
          <w:sz w:val="20"/>
          <w:szCs w:val="20"/>
          <w:color w:val="auto"/>
        </w:rPr>
      </w:pPr>
      <w:r>
        <w:rPr>
          <w:rFonts w:ascii="Courier New" w:cs="Courier New" w:eastAsia="Courier New" w:hAnsi="Courier New"/>
          <w:sz w:val="18"/>
          <w:szCs w:val="18"/>
          <w:color w:val="auto"/>
        </w:rPr>
        <w:t>0.66%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ind w:right="219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warrants to purchase an aggregate of 227,059 shares of Common Stock, all of which are immediately exercisable.</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25057L102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1280" w:right="4419" w:hanging="640"/>
        <w:spacing w:after="0" w:line="235" w:lineRule="auto"/>
        <w:tabs>
          <w:tab w:leader="none" w:pos="11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Seymour Holtzman</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PF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5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900"/>
        <w:spacing w:after="0" w:line="238" w:lineRule="auto"/>
        <w:rPr>
          <w:sz w:val="20"/>
          <w:szCs w:val="20"/>
          <w:color w:val="auto"/>
        </w:rPr>
      </w:pPr>
      <w:r>
        <w:rPr>
          <w:rFonts w:ascii="Courier New" w:cs="Courier New" w:eastAsia="Courier New" w:hAnsi="Courier New"/>
          <w:sz w:val="18"/>
          <w:szCs w:val="18"/>
          <w:color w:val="auto"/>
        </w:rPr>
        <w:t>United States of America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440" w:type="dxa"/>
            <w:vAlign w:val="bottom"/>
          </w:tcPr>
          <w:p>
            <w:pPr>
              <w:ind w:left="960"/>
              <w:spacing w:after="0"/>
              <w:rPr>
                <w:sz w:val="20"/>
                <w:szCs w:val="20"/>
                <w:color w:val="auto"/>
              </w:rPr>
            </w:pPr>
            <w:r>
              <w:rPr>
                <w:rFonts w:ascii="Courier New" w:cs="Courier New" w:eastAsia="Courier New" w:hAnsi="Courier New"/>
                <w:sz w:val="18"/>
                <w:szCs w:val="18"/>
                <w:color w:val="auto"/>
              </w:rPr>
              <w:t>7)</w:t>
            </w:r>
          </w:p>
        </w:tc>
        <w:tc>
          <w:tcPr>
            <w:tcW w:w="5200" w:type="dxa"/>
            <w:vAlign w:val="bottom"/>
          </w:tcPr>
          <w:p>
            <w:pPr>
              <w:ind w:left="1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5,713,038(1)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8)</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9)</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5,713,038(1)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w:t>
            </w:r>
          </w:p>
        </w:tc>
      </w:tr>
      <w:tr>
        <w:trPr>
          <w:trHeight w:val="203"/>
        </w:trPr>
        <w:tc>
          <w:tcPr>
            <w:tcW w:w="1580" w:type="dxa"/>
            <w:vAlign w:val="bottom"/>
          </w:tcPr>
          <w:p>
            <w:pPr>
              <w:spacing w:after="0"/>
              <w:rPr>
                <w:sz w:val="17"/>
                <w:szCs w:val="17"/>
                <w:color w:val="auto"/>
              </w:rPr>
            </w:pP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0"/>
          <w:szCs w:val="20"/>
          <w:color w:val="auto"/>
        </w:rPr>
      </w:pPr>
    </w:p>
    <w:p>
      <w:pPr>
        <w:ind w:left="3800" w:right="3259" w:hanging="3792"/>
        <w:spacing w:after="0" w:line="268" w:lineRule="auto"/>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5,713,038(1) -- See Item 5</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1999"/>
        <w:spacing w:after="0"/>
        <w:rPr>
          <w:sz w:val="20"/>
          <w:szCs w:val="20"/>
          <w:color w:val="auto"/>
        </w:rPr>
      </w:pPr>
      <w:r>
        <w:rPr>
          <w:rFonts w:ascii="Courier New" w:cs="Courier New" w:eastAsia="Courier New" w:hAnsi="Courier New"/>
          <w:sz w:val="18"/>
          <w:szCs w:val="18"/>
          <w:color w:val="auto"/>
        </w:rPr>
        <w:t>15.83%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ind w:right="199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and warrants to purchase an aggregate of 1,757,059 shares of Common Stock, all of which are immediately exercisable.</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25057L102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441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Evelyn Holtzman</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5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0"/>
          <w:szCs w:val="20"/>
          <w:color w:val="auto"/>
        </w:rPr>
      </w:pPr>
    </w:p>
    <w:p>
      <w:pPr>
        <w:jc w:val="right"/>
        <w:ind w:left="1900" w:right="5779" w:hanging="1892"/>
        <w:spacing w:after="0" w:line="268" w:lineRule="auto"/>
        <w:tabs>
          <w:tab w:leader="none" w:pos="63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440" w:type="dxa"/>
            <w:vAlign w:val="bottom"/>
          </w:tcPr>
          <w:p>
            <w:pPr>
              <w:ind w:left="960"/>
              <w:spacing w:after="0"/>
              <w:rPr>
                <w:sz w:val="20"/>
                <w:szCs w:val="20"/>
                <w:color w:val="auto"/>
              </w:rPr>
            </w:pPr>
            <w:r>
              <w:rPr>
                <w:rFonts w:ascii="Courier New" w:cs="Courier New" w:eastAsia="Courier New" w:hAnsi="Courier New"/>
                <w:sz w:val="18"/>
                <w:szCs w:val="18"/>
                <w:color w:val="auto"/>
              </w:rPr>
              <w:t>7)</w:t>
            </w:r>
          </w:p>
        </w:tc>
        <w:tc>
          <w:tcPr>
            <w:tcW w:w="5200" w:type="dxa"/>
            <w:vAlign w:val="bottom"/>
          </w:tcPr>
          <w:p>
            <w:pPr>
              <w:ind w:left="1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8)</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9)</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rPr>
                <w:sz w:val="17"/>
                <w:szCs w:val="17"/>
                <w:color w:val="auto"/>
              </w:rPr>
            </w:pP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800"/>
        <w:spacing w:after="0" w:line="238" w:lineRule="auto"/>
        <w:rPr>
          <w:sz w:val="20"/>
          <w:szCs w:val="20"/>
          <w:color w:val="auto"/>
        </w:rPr>
      </w:pPr>
      <w:r>
        <w:rPr>
          <w:rFonts w:ascii="Courier New" w:cs="Courier New" w:eastAsia="Courier New" w:hAnsi="Courier New"/>
          <w:sz w:val="18"/>
          <w:szCs w:val="18"/>
          <w:color w:val="auto"/>
        </w:rPr>
        <w:t>0 -- See Item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2399"/>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219"/>
          </w:cols>
          <w:pgMar w:left="240" w:top="9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6020" w:type="dxa"/>
            <w:vAlign w:val="bottom"/>
          </w:tcPr>
          <w:p>
            <w:pPr>
              <w:ind w:left="3160"/>
              <w:spacing w:after="0"/>
              <w:rPr>
                <w:sz w:val="20"/>
                <w:szCs w:val="20"/>
                <w:color w:val="auto"/>
              </w:rPr>
            </w:pPr>
            <w:r>
              <w:rPr>
                <w:rFonts w:ascii="Courier New" w:cs="Courier New" w:eastAsia="Courier New" w:hAnsi="Courier New"/>
                <w:sz w:val="18"/>
                <w:szCs w:val="18"/>
                <w:color w:val="auto"/>
              </w:rPr>
              <w:t>SCHEDULE 13D</w:t>
            </w:r>
          </w:p>
        </w:tc>
        <w:tc>
          <w:tcPr>
            <w:tcW w:w="1680" w:type="dxa"/>
            <w:vAlign w:val="bottom"/>
          </w:tcPr>
          <w:p>
            <w:pPr>
              <w:spacing w:after="0"/>
              <w:rPr>
                <w:sz w:val="17"/>
                <w:szCs w:val="17"/>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25057L102</w:t>
            </w:r>
          </w:p>
        </w:tc>
        <w:tc>
          <w:tcPr>
            <w:tcW w:w="1680" w:type="dxa"/>
            <w:vAlign w:val="bottom"/>
          </w:tcPr>
          <w:p>
            <w:pPr>
              <w:spacing w:after="0"/>
              <w:rPr>
                <w:sz w:val="17"/>
                <w:szCs w:val="17"/>
                <w:color w:val="auto"/>
              </w:rPr>
            </w:pPr>
          </w:p>
        </w:tc>
      </w:tr>
      <w:tr>
        <w:trPr>
          <w:trHeight w:val="203"/>
        </w:trPr>
        <w:tc>
          <w:tcPr>
            <w:tcW w:w="6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6020" w:type="dxa"/>
            <w:vAlign w:val="bottom"/>
          </w:tcPr>
          <w:p>
            <w:pPr>
              <w:ind w:left="220"/>
              <w:spacing w:after="0"/>
              <w:rPr>
                <w:sz w:val="20"/>
                <w:szCs w:val="20"/>
                <w:color w:val="auto"/>
              </w:rPr>
            </w:pPr>
            <w:r>
              <w:rPr>
                <w:rFonts w:ascii="Courier New" w:cs="Courier New" w:eastAsia="Courier New" w:hAnsi="Courier New"/>
                <w:sz w:val="18"/>
                <w:szCs w:val="18"/>
                <w:color w:val="auto"/>
              </w:rPr>
              <w:t>NAME OF REPORTING PERSON</w:t>
            </w:r>
          </w:p>
        </w:tc>
        <w:tc>
          <w:tcPr>
            <w:tcW w:w="168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6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S.H. Holdings, Inc.</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23-2512788</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5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900"/>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440" w:type="dxa"/>
            <w:vAlign w:val="bottom"/>
          </w:tcPr>
          <w:p>
            <w:pPr>
              <w:ind w:left="960"/>
              <w:spacing w:after="0"/>
              <w:rPr>
                <w:sz w:val="20"/>
                <w:szCs w:val="20"/>
                <w:color w:val="auto"/>
              </w:rPr>
            </w:pPr>
            <w:r>
              <w:rPr>
                <w:rFonts w:ascii="Courier New" w:cs="Courier New" w:eastAsia="Courier New" w:hAnsi="Courier New"/>
                <w:sz w:val="18"/>
                <w:szCs w:val="18"/>
                <w:color w:val="auto"/>
              </w:rPr>
              <w:t>7)</w:t>
            </w:r>
          </w:p>
        </w:tc>
        <w:tc>
          <w:tcPr>
            <w:tcW w:w="5200" w:type="dxa"/>
            <w:vAlign w:val="bottom"/>
          </w:tcPr>
          <w:p>
            <w:pPr>
              <w:ind w:left="1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8)</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9)</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rPr>
                <w:sz w:val="17"/>
                <w:szCs w:val="17"/>
                <w:color w:val="auto"/>
              </w:rPr>
            </w:pP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0"/>
          <w:szCs w:val="20"/>
          <w:color w:val="auto"/>
        </w:rPr>
      </w:pPr>
    </w:p>
    <w:p>
      <w:pPr>
        <w:ind w:left="3800" w:right="3259" w:hanging="3792"/>
        <w:spacing w:after="0" w:line="235"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 See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2399"/>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219"/>
          </w:cols>
          <w:pgMar w:left="240" w:top="919"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CUSIP No. 25057L102</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tbl>
      <w:tblPr>
        <w:tblLayout w:type="fixed"/>
        <w:tblInd w:w="1280" w:type="dxa"/>
        <w:tblCellMar>
          <w:top w:w="0" w:type="dxa"/>
          <w:left w:w="0" w:type="dxa"/>
          <w:bottom w:w="0" w:type="dxa"/>
          <w:right w:w="0" w:type="dxa"/>
        </w:tblCellMar>
      </w:tblPr>
      <w:tr>
        <w:trPr>
          <w:trHeight w:val="203"/>
        </w:trPr>
        <w:tc>
          <w:tcPr>
            <w:tcW w:w="3880" w:type="dxa"/>
            <w:vAlign w:val="bottom"/>
          </w:tcPr>
          <w:p>
            <w:pPr>
              <w:spacing w:after="0"/>
              <w:rPr>
                <w:sz w:val="20"/>
                <w:szCs w:val="20"/>
                <w:color w:val="auto"/>
              </w:rPr>
            </w:pPr>
            <w:r>
              <w:rPr>
                <w:rFonts w:ascii="Courier New" w:cs="Courier New" w:eastAsia="Courier New" w:hAnsi="Courier New"/>
                <w:sz w:val="18"/>
                <w:szCs w:val="18"/>
                <w:color w:val="auto"/>
              </w:rPr>
              <w:t>Jewelcor Incorporated</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24-0858676</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|_|</w:t>
            </w:r>
          </w:p>
        </w:tc>
      </w:tr>
      <w:tr>
        <w:trPr>
          <w:trHeight w:val="405"/>
        </w:trPr>
        <w:tc>
          <w:tcPr>
            <w:tcW w:w="4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8"/>
                <w:szCs w:val="18"/>
                <w:color w:val="auto"/>
              </w:rPr>
              <w:t>(b)</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spacing w:after="0"/>
        <w:tabs>
          <w:tab w:leader="none" w:pos="652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440" w:type="dxa"/>
            <w:vAlign w:val="bottom"/>
          </w:tcPr>
          <w:p>
            <w:pPr>
              <w:ind w:left="960"/>
              <w:spacing w:after="0"/>
              <w:rPr>
                <w:sz w:val="20"/>
                <w:szCs w:val="20"/>
                <w:color w:val="auto"/>
              </w:rPr>
            </w:pPr>
            <w:r>
              <w:rPr>
                <w:rFonts w:ascii="Courier New" w:cs="Courier New" w:eastAsia="Courier New" w:hAnsi="Courier New"/>
                <w:sz w:val="18"/>
                <w:szCs w:val="18"/>
                <w:color w:val="auto"/>
              </w:rPr>
              <w:t>7)</w:t>
            </w:r>
          </w:p>
        </w:tc>
        <w:tc>
          <w:tcPr>
            <w:tcW w:w="5200" w:type="dxa"/>
            <w:vAlign w:val="bottom"/>
          </w:tcPr>
          <w:p>
            <w:pPr>
              <w:ind w:left="1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8)</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9)</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____________________________________________________________</w:t>
            </w:r>
          </w:p>
        </w:tc>
      </w:tr>
      <w:tr>
        <w:trPr>
          <w:trHeight w:val="203"/>
        </w:trPr>
        <w:tc>
          <w:tcPr>
            <w:tcW w:w="1580" w:type="dxa"/>
            <w:vAlign w:val="bottom"/>
          </w:tcPr>
          <w:p>
            <w:pPr>
              <w:spacing w:after="0"/>
              <w:rPr>
                <w:sz w:val="17"/>
                <w:szCs w:val="17"/>
                <w:color w:val="auto"/>
              </w:rPr>
            </w:pPr>
          </w:p>
        </w:tc>
        <w:tc>
          <w:tcPr>
            <w:tcW w:w="1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w:t>
            </w:r>
          </w:p>
        </w:tc>
        <w:tc>
          <w:tcPr>
            <w:tcW w:w="5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800"/>
        <w:spacing w:after="0" w:line="238" w:lineRule="auto"/>
        <w:rPr>
          <w:sz w:val="20"/>
          <w:szCs w:val="20"/>
          <w:color w:val="auto"/>
        </w:rPr>
      </w:pPr>
      <w:r>
        <w:rPr>
          <w:rFonts w:ascii="Courier New" w:cs="Courier New" w:eastAsia="Courier New" w:hAnsi="Courier New"/>
          <w:sz w:val="18"/>
          <w:szCs w:val="18"/>
          <w:color w:val="auto"/>
        </w:rPr>
        <w:t>0 -- See Item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jc w:val="center"/>
        <w:ind w:right="2399"/>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219"/>
          </w:cols>
          <w:pgMar w:left="240" w:top="919" w:right="1440" w:bottom="1440" w:gutter="0" w:footer="0" w:header="0"/>
        </w:sectPr>
      </w:pPr>
    </w:p>
    <w:bookmarkStart w:id="6" w:name="page7"/>
    <w:bookmarkEnd w:id="6"/>
    <w:p>
      <w:pPr>
        <w:ind w:right="1779" w:firstLine="1264"/>
        <w:spacing w:after="0" w:line="237" w:lineRule="auto"/>
        <w:rPr>
          <w:sz w:val="20"/>
          <w:szCs w:val="20"/>
          <w:color w:val="auto"/>
        </w:rPr>
      </w:pPr>
      <w:r>
        <w:rPr>
          <w:rFonts w:ascii="Courier New" w:cs="Courier New" w:eastAsia="Courier New" w:hAnsi="Courier New"/>
          <w:sz w:val="18"/>
          <w:szCs w:val="18"/>
          <w:color w:val="auto"/>
        </w:rPr>
        <w:t>This Amendment No. 52 amends and supplements the Schedule 13D, dated November 27, 1998, as amended to date (the "Schedule 13D"), originally filed with the Securities and Exchange Commission by Jewelcor Management, Inc. ("JMI") and others with respect to the common stock, $.01 par value (the "Common Stock"), of Casual Male Retail Group, Inc., a Delaware corporation (the "Company"). The address of the principal business and principal offices of the Company is 555 Turnpike Street, Canton, Massachusetts 02021.</w:t>
      </w:r>
    </w:p>
    <w:p>
      <w:pPr>
        <w:spacing w:after="0" w:line="200" w:lineRule="exact"/>
        <w:rPr>
          <w:sz w:val="20"/>
          <w:szCs w:val="20"/>
          <w:color w:val="auto"/>
        </w:rPr>
      </w:pPr>
    </w:p>
    <w:p>
      <w:pPr>
        <w:spacing w:after="0" w:line="214" w:lineRule="exact"/>
        <w:rPr>
          <w:sz w:val="20"/>
          <w:szCs w:val="20"/>
          <w:color w:val="auto"/>
        </w:rPr>
      </w:pPr>
    </w:p>
    <w:p>
      <w:pPr>
        <w:ind w:right="2839" w:firstLine="632"/>
        <w:spacing w:after="0" w:line="290" w:lineRule="auto"/>
        <w:rPr>
          <w:sz w:val="20"/>
          <w:szCs w:val="20"/>
          <w:color w:val="auto"/>
        </w:rPr>
      </w:pPr>
      <w:r>
        <w:rPr>
          <w:rFonts w:ascii="Courier New" w:cs="Courier New" w:eastAsia="Courier New" w:hAnsi="Courier New"/>
          <w:sz w:val="16"/>
          <w:szCs w:val="16"/>
          <w:color w:val="auto"/>
        </w:rPr>
        <w:t>Item 3 of the Schedule 13D, "Source and Amount of Funds or Other Consideration," is amended and supplemented by adding the following:</w:t>
      </w:r>
    </w:p>
    <w:p>
      <w:pPr>
        <w:spacing w:after="0" w:line="17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On November 18, 2005, Mr. Holtzman acquired direct beneficial ownership of 3,943,214 shares of Common Stock previously reported as indirectly beneficially owned by Mr. Holtzman by JMI, an entity of which he is controlling shareholder; such shares were previously reported as directly owned by JMI. Mr. Holtzman delivered a promissory note to JMI for $23,540,987.58 (or $5.97 per share), representing personal funds.</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Item 5(a)-(b) of the Schedule 13D, "Interest in Securities of the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amended and supplemented as follows:</w:t>
      </w:r>
    </w:p>
    <w:p>
      <w:pPr>
        <w:spacing w:after="0" w:line="207"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As of November 28, 2005, the Reporting Entities included in this filing beneficially own an aggregate of 5,713,038 shares of Common Stock, representing approximately 15.83% of the outstanding shares of Common Stock based upon the 34,342,939 shares of Common Stock outstanding as of September 1, 2005 as reported by the Company in its Form 10-Q filed on September 8, 2005.</w:t>
      </w:r>
    </w:p>
    <w:p>
      <w:pPr>
        <w:spacing w:after="0" w:line="185"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As of November 28, 2005, Seymour Holtzman may be deemed to have a direct beneficial ownership of 5,713,038 shares of Common Stock, including options to purchase 1,530,000 shares of Common Stock, all of which are currently exercisable, and, by virtue of the relationship described in Item 2 of the Schedule 13D, indirect beneficial ownership of 227,059 shares of Common Stock acquirable upon exercise of warrants held by JMI, an entity of which Mr. Holtzman is controlling shareholder, representing an aggregate of approximately 15.83% of the outstanding shares of Common Stock.</w:t>
      </w:r>
    </w:p>
    <w:p>
      <w:pPr>
        <w:spacing w:after="0" w:line="212"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As of November 28, 2005, JMI beneficially owned an aggregate of 227,059 shares of Common Stock, representing approximately 0.66% of the outstanding shares of Common Stock. JMI has sole voting and dispositive power over the shares of Common Stock beneficially owned by it.</w:t>
      </w:r>
    </w:p>
    <w:p>
      <w:pPr>
        <w:sectPr>
          <w:pgSz w:w="11900" w:h="16838" w:orient="portrait"/>
          <w:cols w:equalWidth="0" w:num="1">
            <w:col w:w="10219"/>
          </w:cols>
          <w:pgMar w:left="240" w:top="925"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28, 2005</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Seymour Holtzman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Name: Seymour Holtzman</w:t>
      </w:r>
    </w:p>
    <w:p>
      <w:pPr>
        <w:ind w:left="454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JEWELCOR INCORPORATED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Seymour Holtzman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Name: Seymour Holtzman</w:t>
      </w:r>
    </w:p>
    <w:p>
      <w:pPr>
        <w:ind w:left="454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Seymour Holtzman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Seymour Holtzman</w:t>
      </w:r>
    </w:p>
    <w:p>
      <w:pPr>
        <w:ind w:left="464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 Seymour Holtzman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rPr>
          <w:sz w:val="20"/>
          <w:szCs w:val="20"/>
          <w:color w:val="auto"/>
        </w:rPr>
      </w:pPr>
      <w:r>
        <w:rPr>
          <w:rFonts w:ascii="Courier New" w:cs="Courier New" w:eastAsia="Courier New" w:hAnsi="Courier New"/>
          <w:sz w:val="18"/>
          <w:szCs w:val="18"/>
          <w:color w:val="auto"/>
        </w:rPr>
        <w:t>Seymour Holtzman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 Evelyn Holtzman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399"/>
        <w:spacing w:after="0"/>
        <w:rPr>
          <w:sz w:val="20"/>
          <w:szCs w:val="20"/>
          <w:color w:val="auto"/>
        </w:rPr>
      </w:pPr>
      <w:r>
        <w:rPr>
          <w:rFonts w:ascii="Courier New" w:cs="Courier New" w:eastAsia="Courier New" w:hAnsi="Courier New"/>
          <w:sz w:val="18"/>
          <w:szCs w:val="18"/>
          <w:color w:val="auto"/>
        </w:rPr>
        <w:t>Evelyn Holtzman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570"/>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1)"/>
      <w:numFmt w:val="decimal"/>
      <w:start w:val="5"/>
    </w:lvl>
  </w:abstractNum>
  <w:abstractNum w:abstractNumId="4">
    <w:nsid w:val="7C83E458"/>
    <w:multiLevelType w:val="hybridMultilevel"/>
    <w:lvl w:ilvl="0">
      <w:lvlJc w:val="left"/>
      <w:lvlText w:val="%1)"/>
      <w:numFmt w:val="decimal"/>
      <w:start w:val="6"/>
    </w:lvl>
  </w:abstractNum>
  <w:abstractNum w:abstractNumId="5">
    <w:nsid w:val="257130A3"/>
    <w:multiLevelType w:val="hybridMultilevel"/>
    <w:lvl w:ilvl="0">
      <w:lvlJc w:val="left"/>
      <w:lvlText w:val="%1)"/>
      <w:numFmt w:val="decimal"/>
      <w:start w:val="11"/>
    </w:lvl>
  </w:abstractNum>
  <w:abstractNum w:abstractNumId="6">
    <w:nsid w:val="62BBD95A"/>
    <w:multiLevelType w:val="hybridMultilevel"/>
    <w:lvl w:ilvl="0">
      <w:lvlJc w:val="left"/>
      <w:lvlText w:val="%1)"/>
      <w:numFmt w:val="decimal"/>
      <w:start w:val="12"/>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S.%1."/>
      <w:numFmt w:val="upperLetter"/>
      <w:start w:val="19"/>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1)"/>
      <w:numFmt w:val="decimal"/>
      <w:start w:val="5"/>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decimal"/>
      <w:start w:val="12"/>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lvl w:ilvl="1">
      <w:lvlJc w:val="left"/>
      <w:lvlText w:val="%2"/>
      <w:numFmt w:val="upperLetter"/>
      <w:start w:val="1"/>
    </w:lvl>
  </w:abstractNum>
  <w:abstractNum w:abstractNumId="17">
    <w:nsid w:val="4353D0CD"/>
    <w:multiLevelType w:val="hybridMultilevel"/>
    <w:lvl w:ilvl="0">
      <w:lvlJc w:val="left"/>
      <w:lvlText w:val="%1)"/>
      <w:numFmt w:val="decimal"/>
      <w:start w:val="3"/>
    </w:lvl>
  </w:abstractNum>
  <w:abstractNum w:abstractNumId="18">
    <w:nsid w:val="B03E0C6"/>
    <w:multiLevelType w:val="hybridMultilevel"/>
    <w:lvl w:ilvl="0">
      <w:lvlJc w:val="left"/>
      <w:lvlText w:val="%1)"/>
      <w:numFmt w:val="decimal"/>
      <w:start w:val="5"/>
    </w:lvl>
  </w:abstractNum>
  <w:abstractNum w:abstractNumId="19">
    <w:nsid w:val="189A769B"/>
    <w:multiLevelType w:val="hybridMultilevel"/>
    <w:lvl w:ilvl="0">
      <w:lvlJc w:val="left"/>
      <w:lvlText w:val="%1)"/>
      <w:numFmt w:val="decimal"/>
      <w:start w:val="6"/>
    </w:lvl>
  </w:abstractNum>
  <w:abstractNum w:abstractNumId="20">
    <w:nsid w:val="54E49EB4"/>
    <w:multiLevelType w:val="hybridMultilevel"/>
    <w:lvl w:ilvl="0">
      <w:lvlJc w:val="left"/>
      <w:lvlText w:val="%1)"/>
      <w:numFmt w:val="decimal"/>
      <w:start w:val="11"/>
    </w:lvl>
  </w:abstractNum>
  <w:abstractNum w:abstractNumId="21">
    <w:nsid w:val="71F32454"/>
    <w:multiLevelType w:val="hybridMultilevel"/>
    <w:lvl w:ilvl="0">
      <w:lvlJc w:val="left"/>
      <w:lvlText w:val="%1)"/>
      <w:numFmt w:val="decimal"/>
      <w:start w:val="12"/>
    </w:lvl>
  </w:abstractNum>
  <w:abstractNum w:abstractNumId="22">
    <w:nsid w:val="2CA88611"/>
    <w:multiLevelType w:val="hybridMultilevel"/>
    <w:lvl w:ilvl="0">
      <w:lvlJc w:val="left"/>
      <w:lvlText w:val="%1)"/>
      <w:numFmt w:val="decimal"/>
      <w:start w:val="3"/>
    </w:lvl>
  </w:abstractNum>
  <w:abstractNum w:abstractNumId="23">
    <w:nsid w:val="836C40E"/>
    <w:multiLevelType w:val="hybridMultilevel"/>
    <w:lvl w:ilvl="0">
      <w:lvlJc w:val="left"/>
      <w:lvlText w:val="%1)"/>
      <w:numFmt w:val="decimal"/>
      <w:start w:val="5"/>
    </w:lvl>
  </w:abstractNum>
  <w:abstractNum w:abstractNumId="24">
    <w:nsid w:val="2901D82"/>
    <w:multiLevelType w:val="hybridMultilevel"/>
    <w:lvl w:ilvl="0">
      <w:lvlJc w:val="left"/>
      <w:lvlText w:val="%1)"/>
      <w:numFmt w:val="decimal"/>
      <w:start w:val="6"/>
    </w:lvl>
  </w:abstractNum>
  <w:abstractNum w:abstractNumId="25">
    <w:nsid w:val="3A95F874"/>
    <w:multiLevelType w:val="hybridMultilevel"/>
    <w:lvl w:ilvl="0">
      <w:lvlJc w:val="left"/>
      <w:lvlText w:val="%1)"/>
      <w:numFmt w:val="decimal"/>
      <w:start w:val="11"/>
    </w:lvl>
  </w:abstractNum>
  <w:abstractNum w:abstractNumId="26">
    <w:nsid w:val="8138641"/>
    <w:multiLevelType w:val="hybridMultilevel"/>
    <w:lvl w:ilvl="0">
      <w:lvlJc w:val="left"/>
      <w:lvlText w:val="%1)"/>
      <w:numFmt w:val="decimal"/>
      <w:start w:val="12"/>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3"/>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decimal"/>
      <w:start w:val="6"/>
    </w:lvl>
  </w:abstractNum>
  <w:abstractNum w:abstractNumId="31">
    <w:nsid w:val="22221A70"/>
    <w:multiLevelType w:val="hybridMultilevel"/>
    <w:lvl w:ilvl="0">
      <w:lvlJc w:val="left"/>
      <w:lvlText w:val="%1)"/>
      <w:numFmt w:val="decimal"/>
      <w:start w:val="11"/>
    </w:lvl>
  </w:abstractNum>
  <w:abstractNum w:abstractNumId="32">
    <w:nsid w:val="4516DDE9"/>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2019-12-20T01:07:55Z</dcterms:created>
  <dcterms:modified xsi:type="dcterms:W3CDTF">2019-12-20T01:07:55Z</dcterms:modified>
</cp:coreProperties>
</file>