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AWM Investment Company,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2600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40" w:type="dxa"/>
            <w:vAlign w:val="bottom"/>
            <w:gridSpan w:val="3"/>
          </w:tcPr>
          <w:p>
            <w:pPr>
              <w:spacing w:after="0" w:line="221"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880" w:type="dxa"/>
            <w:vAlign w:val="bottom"/>
            <w:tcBorders>
              <w:top w:val="single" w:sz="8" w:color="0000EE"/>
            </w:tcBorders>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08/10/2022</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36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1480" w:type="dxa"/>
            <w:vAlign w:val="bottom"/>
            <w:gridSpan w:val="4"/>
          </w:tcPr>
          <w:p>
            <w:pPr>
              <w:ind w:left="2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30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5)</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Ownership</w:t>
            </w:r>
          </w:p>
        </w:tc>
        <w:tc>
          <w:tcPr>
            <w:tcW w:w="1480" w:type="dxa"/>
            <w:vAlign w:val="bottom"/>
            <w:gridSpan w:val="4"/>
          </w:tcPr>
          <w:p>
            <w:pPr>
              <w:ind w:left="26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80" w:type="dxa"/>
            <w:vAlign w:val="bottom"/>
          </w:tcPr>
          <w:p>
            <w:pPr>
              <w:spacing w:after="0"/>
              <w:rPr>
                <w:sz w:val="11"/>
                <w:szCs w:val="11"/>
                <w:color w:val="auto"/>
              </w:rPr>
            </w:pPr>
          </w:p>
        </w:tc>
        <w:tc>
          <w:tcPr>
            <w:tcW w:w="21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Form: Direct   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2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Code</w:t>
            </w:r>
          </w:p>
        </w:tc>
        <w:tc>
          <w:tcPr>
            <w:tcW w:w="3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(Instr. 3 and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08/10/2022</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227,255</w:t>
            </w:r>
            <w:r>
              <w:rPr>
                <w:rFonts w:ascii="Arial" w:cs="Arial" w:eastAsia="Arial" w:hAnsi="Arial"/>
                <w:sz w:val="22"/>
                <w:szCs w:val="22"/>
                <w:color w:val="008000"/>
                <w:w w:val="88"/>
                <w:vertAlign w:val="superscript"/>
              </w:rPr>
              <w:t>(3)</w:t>
            </w:r>
          </w:p>
        </w:tc>
        <w:tc>
          <w:tcPr>
            <w:tcW w:w="3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4.4541</w:t>
            </w:r>
            <w:r>
              <w:rPr>
                <w:rFonts w:ascii="Arial" w:cs="Arial" w:eastAsia="Arial" w:hAnsi="Arial"/>
                <w:sz w:val="22"/>
                <w:szCs w:val="22"/>
                <w:color w:val="008000"/>
                <w:w w:val="88"/>
                <w:vertAlign w:val="superscript"/>
              </w:rPr>
              <w:t>(1)</w:t>
            </w:r>
          </w:p>
        </w:tc>
        <w:tc>
          <w:tcPr>
            <w:tcW w:w="60" w:type="dxa"/>
            <w:vAlign w:val="bottom"/>
          </w:tcPr>
          <w:p>
            <w:pPr>
              <w:spacing w:after="0"/>
              <w:rPr>
                <w:sz w:val="22"/>
                <w:szCs w:val="2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10,743,179</w:t>
            </w:r>
            <w:r>
              <w:rPr>
                <w:rFonts w:ascii="Arial" w:cs="Arial" w:eastAsia="Arial" w:hAnsi="Arial"/>
                <w:sz w:val="22"/>
                <w:szCs w:val="22"/>
                <w:color w:val="008000"/>
                <w:w w:val="87"/>
                <w:vertAlign w:val="superscript"/>
              </w:rPr>
              <w:t>(3)</w:t>
            </w:r>
          </w:p>
        </w:tc>
        <w:tc>
          <w:tcPr>
            <w:tcW w:w="700" w:type="dxa"/>
            <w:vAlign w:val="bottom"/>
            <w:vMerge w:val="restart"/>
          </w:tcPr>
          <w:p>
            <w:pPr>
              <w:jc w:val="center"/>
              <w:ind w:left="142"/>
              <w:spacing w:after="0"/>
              <w:rPr>
                <w:sz w:val="20"/>
                <w:szCs w:val="20"/>
                <w:color w:val="auto"/>
              </w:rPr>
            </w:pPr>
            <w:r>
              <w:rPr>
                <w:rFonts w:ascii="Arial" w:cs="Arial" w:eastAsia="Arial" w:hAnsi="Arial"/>
                <w:sz w:val="34"/>
                <w:szCs w:val="34"/>
                <w:color w:val="0000FF"/>
                <w:w w:val="90"/>
                <w:vertAlign w:val="subscript"/>
              </w:rPr>
              <w:t>I</w:t>
            </w:r>
            <w:r>
              <w:rPr>
                <w:rFonts w:ascii="Arial" w:cs="Arial" w:eastAsia="Arial" w:hAnsi="Arial"/>
                <w:sz w:val="11"/>
                <w:szCs w:val="11"/>
                <w:color w:val="008000"/>
                <w:w w:val="90"/>
              </w:rPr>
              <w:t>(3)</w:t>
            </w:r>
          </w:p>
        </w:tc>
        <w:tc>
          <w:tcPr>
            <w:tcW w:w="1480" w:type="dxa"/>
            <w:vAlign w:val="bottom"/>
            <w:gridSpan w:val="4"/>
          </w:tcPr>
          <w:p>
            <w:pPr>
              <w:ind w:left="26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partnership</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08/11/2022</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250,000</w:t>
            </w:r>
            <w:r>
              <w:rPr>
                <w:rFonts w:ascii="Arial" w:cs="Arial" w:eastAsia="Arial" w:hAnsi="Arial"/>
                <w:sz w:val="22"/>
                <w:szCs w:val="22"/>
                <w:color w:val="008000"/>
                <w:w w:val="88"/>
                <w:vertAlign w:val="superscript"/>
              </w:rPr>
              <w:t>(3)</w:t>
            </w:r>
          </w:p>
        </w:tc>
        <w:tc>
          <w:tcPr>
            <w:tcW w:w="3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4.272</w:t>
            </w:r>
            <w:r>
              <w:rPr>
                <w:rFonts w:ascii="Arial" w:cs="Arial" w:eastAsia="Arial" w:hAnsi="Arial"/>
                <w:sz w:val="22"/>
                <w:szCs w:val="22"/>
                <w:color w:val="008000"/>
                <w:w w:val="88"/>
                <w:vertAlign w:val="superscript"/>
              </w:rPr>
              <w:t>(1)</w:t>
            </w:r>
          </w:p>
        </w:tc>
        <w:tc>
          <w:tcPr>
            <w:tcW w:w="60" w:type="dxa"/>
            <w:vAlign w:val="bottom"/>
          </w:tcPr>
          <w:p>
            <w:pPr>
              <w:spacing w:after="0"/>
              <w:rPr>
                <w:sz w:val="22"/>
                <w:szCs w:val="2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10,493,179</w:t>
            </w:r>
            <w:r>
              <w:rPr>
                <w:rFonts w:ascii="Arial" w:cs="Arial" w:eastAsia="Arial" w:hAnsi="Arial"/>
                <w:sz w:val="22"/>
                <w:szCs w:val="22"/>
                <w:color w:val="008000"/>
                <w:w w:val="87"/>
                <w:vertAlign w:val="superscript"/>
              </w:rPr>
              <w:t>(3)</w:t>
            </w:r>
          </w:p>
        </w:tc>
        <w:tc>
          <w:tcPr>
            <w:tcW w:w="700" w:type="dxa"/>
            <w:vAlign w:val="bottom"/>
            <w:vMerge w:val="restart"/>
          </w:tcPr>
          <w:p>
            <w:pPr>
              <w:jc w:val="center"/>
              <w:ind w:left="142"/>
              <w:spacing w:after="0"/>
              <w:rPr>
                <w:sz w:val="20"/>
                <w:szCs w:val="20"/>
                <w:color w:val="auto"/>
              </w:rPr>
            </w:pPr>
            <w:r>
              <w:rPr>
                <w:rFonts w:ascii="Arial" w:cs="Arial" w:eastAsia="Arial" w:hAnsi="Arial"/>
                <w:sz w:val="34"/>
                <w:szCs w:val="34"/>
                <w:color w:val="0000FF"/>
                <w:w w:val="90"/>
                <w:vertAlign w:val="subscript"/>
              </w:rPr>
              <w:t>I</w:t>
            </w:r>
            <w:r>
              <w:rPr>
                <w:rFonts w:ascii="Arial" w:cs="Arial" w:eastAsia="Arial" w:hAnsi="Arial"/>
                <w:sz w:val="11"/>
                <w:szCs w:val="11"/>
                <w:color w:val="008000"/>
                <w:w w:val="90"/>
              </w:rPr>
              <w:t>(3)</w:t>
            </w:r>
          </w:p>
        </w:tc>
        <w:tc>
          <w:tcPr>
            <w:tcW w:w="1480" w:type="dxa"/>
            <w:vAlign w:val="bottom"/>
            <w:gridSpan w:val="4"/>
          </w:tcPr>
          <w:p>
            <w:pPr>
              <w:ind w:left="26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partnership</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08/12/2022</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150,000</w:t>
            </w:r>
            <w:r>
              <w:rPr>
                <w:rFonts w:ascii="Arial" w:cs="Arial" w:eastAsia="Arial" w:hAnsi="Arial"/>
                <w:sz w:val="22"/>
                <w:szCs w:val="22"/>
                <w:color w:val="008000"/>
                <w:w w:val="84"/>
                <w:vertAlign w:val="superscript"/>
              </w:rPr>
              <w:t>(2)(3)</w:t>
            </w:r>
          </w:p>
        </w:tc>
        <w:tc>
          <w:tcPr>
            <w:tcW w:w="3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4.1502</w:t>
            </w:r>
            <w:r>
              <w:rPr>
                <w:rFonts w:ascii="Arial" w:cs="Arial" w:eastAsia="Arial" w:hAnsi="Arial"/>
                <w:sz w:val="22"/>
                <w:szCs w:val="22"/>
                <w:color w:val="008000"/>
                <w:w w:val="88"/>
                <w:vertAlign w:val="superscript"/>
              </w:rPr>
              <w:t>(1)</w:t>
            </w:r>
          </w:p>
        </w:tc>
        <w:tc>
          <w:tcPr>
            <w:tcW w:w="60" w:type="dxa"/>
            <w:vAlign w:val="bottom"/>
          </w:tcPr>
          <w:p>
            <w:pPr>
              <w:spacing w:after="0"/>
              <w:rPr>
                <w:sz w:val="22"/>
                <w:szCs w:val="2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10,343,179</w:t>
            </w:r>
            <w:r>
              <w:rPr>
                <w:rFonts w:ascii="Arial" w:cs="Arial" w:eastAsia="Arial" w:hAnsi="Arial"/>
                <w:sz w:val="22"/>
                <w:szCs w:val="22"/>
                <w:color w:val="008000"/>
                <w:w w:val="85"/>
                <w:vertAlign w:val="superscript"/>
              </w:rPr>
              <w:t>(2)(3)</w:t>
            </w:r>
          </w:p>
        </w:tc>
        <w:tc>
          <w:tcPr>
            <w:tcW w:w="700" w:type="dxa"/>
            <w:vAlign w:val="bottom"/>
            <w:vMerge w:val="restart"/>
          </w:tcPr>
          <w:p>
            <w:pPr>
              <w:jc w:val="center"/>
              <w:ind w:left="122"/>
              <w:spacing w:after="0"/>
              <w:rPr>
                <w:sz w:val="20"/>
                <w:szCs w:val="20"/>
                <w:color w:val="auto"/>
              </w:rPr>
            </w:pPr>
            <w:r>
              <w:rPr>
                <w:rFonts w:ascii="Arial" w:cs="Arial" w:eastAsia="Arial" w:hAnsi="Arial"/>
                <w:sz w:val="34"/>
                <w:szCs w:val="34"/>
                <w:color w:val="0000FF"/>
                <w:w w:val="96"/>
                <w:vertAlign w:val="subscript"/>
              </w:rPr>
              <w:t>I</w:t>
            </w:r>
            <w:r>
              <w:rPr>
                <w:rFonts w:ascii="Arial" w:cs="Arial" w:eastAsia="Arial" w:hAnsi="Arial"/>
                <w:sz w:val="11"/>
                <w:szCs w:val="11"/>
                <w:color w:val="008000"/>
                <w:w w:val="96"/>
              </w:rPr>
              <w:t>(2)(3)</w:t>
            </w:r>
          </w:p>
        </w:tc>
        <w:tc>
          <w:tcPr>
            <w:tcW w:w="1480" w:type="dxa"/>
            <w:vAlign w:val="bottom"/>
            <w:gridSpan w:val="4"/>
          </w:tcPr>
          <w:p>
            <w:pPr>
              <w:ind w:left="26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80" w:type="dxa"/>
            <w:vAlign w:val="bottom"/>
            <w:gridSpan w:val="4"/>
            <w:vMerge w:val="restart"/>
          </w:tcPr>
          <w:p>
            <w:pPr>
              <w:ind w:left="260"/>
              <w:spacing w:after="0"/>
              <w:rPr>
                <w:sz w:val="20"/>
                <w:szCs w:val="20"/>
                <w:color w:val="auto"/>
              </w:rPr>
            </w:pPr>
            <w:r>
              <w:rPr>
                <w:rFonts w:ascii="Arial" w:cs="Arial" w:eastAsia="Arial" w:hAnsi="Arial"/>
                <w:sz w:val="17"/>
                <w:szCs w:val="17"/>
                <w:color w:val="0000FF"/>
                <w:w w:val="97"/>
              </w:rPr>
              <w:t>partnership</w:t>
            </w:r>
            <w:r>
              <w:rPr>
                <w:rFonts w:ascii="Arial" w:cs="Arial" w:eastAsia="Arial" w:hAnsi="Arial"/>
                <w:sz w:val="22"/>
                <w:szCs w:val="22"/>
                <w:color w:val="008000"/>
                <w:w w:val="97"/>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4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8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2"/>
              </w:rPr>
              <w:t>Date</w:t>
            </w:r>
          </w:p>
        </w:tc>
        <w:tc>
          <w:tcPr>
            <w:tcW w:w="38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Average price transaction</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6,201,993 shares of Common Stock of the Issuer (the Shares) held by SSFQP, 2,104,048 Shares held by Cay and 2,037,138 Shares held by SSPE.</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Adam Stettner</w:t>
            </w:r>
          </w:p>
        </w:tc>
        <w:tc>
          <w:tcPr>
            <w:tcW w:w="10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08/12/2022</w:t>
            </w:r>
          </w:p>
        </w:tc>
      </w:tr>
      <w:tr>
        <w:trPr>
          <w:trHeight w:val="247"/>
        </w:trPr>
        <w:tc>
          <w:tcPr>
            <w:tcW w:w="2080" w:type="dxa"/>
            <w:vAlign w:val="bottom"/>
            <w:gridSpan w:val="3"/>
          </w:tcPr>
          <w:p>
            <w:pPr>
              <w:spacing w:after="0"/>
              <w:rPr>
                <w:sz w:val="20"/>
                <w:szCs w:val="20"/>
                <w:color w:val="auto"/>
              </w:rPr>
            </w:pPr>
            <w:r>
              <w:rPr>
                <w:rFonts w:ascii="Arial" w:cs="Arial" w:eastAsia="Arial" w:hAnsi="Arial"/>
                <w:sz w:val="17"/>
                <w:szCs w:val="17"/>
                <w:color w:val="0000FF"/>
              </w:rPr>
              <w:t>David Greenhouse</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08/12/2022</w:t>
            </w:r>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2022-08-13T15:53:44Z</dcterms:created>
  <dcterms:modified xsi:type="dcterms:W3CDTF">2022-08-13T15:53:44Z</dcterms:modified>
</cp:coreProperties>
</file>