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01dprer14a.htm"/>
        <w:bookmarkStart w:id="1" w:name="ksd76201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SEPTEMBER 2, 2026—SUBJECT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4955" cy="868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4955" cy="868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555 Turnpike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Canton, Massachusetts 02021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Dear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invited to attend the special meeting of stockholders of Destination XL Group, Inc., a Delaware corporation (“DXL”), which will be held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“special meeting”). The special meeting will be held at the corporate offices of DXL located at 555 Turnpike Street, Canton, Massachusetts 02021.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DXL, Divine Merger Sub I, Inc., a Delaware corporation and wholly owned direct subsidiary of DXL (the “merger subsidiary”), and FBB Holdings I, Inc., a Delaware corporation (“FBB”), entered into an Agreement and Plan of Merger (the “merger agreement”), pursuant to which the merger subsidiary would merge with and into FBB, with FBB continuing as the surviving corporation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If the merger is consummated, DXL would continue to operate under the same name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DXL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Notwithstanding this determination, the DXL Board is contractually obligated under the merger agreement to submit the issuance proposal to DXL stockholders for approval.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special meeting, DXL will ask its stockholders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Second Amended and Restated 2016 Incentive Compensation Plan (the “2016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approval of each of proposals 1, 2 and 4, subject to the terms therein.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As of the record date, such stockholders collectively beneficially owned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DXL’s outstanding common stock, including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which were beneficially owned by PLP.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DXL Board unanimously approved the merger agreement and determined that it was fair to, and in the best interests of, DXL and its stockholders as of the date of its approval. </w:t>
      </w:r>
      <w:r>
        <w:rPr>
          <w:rFonts w:ascii="Times New Roman" w:hAnsi="Times New Roman"/>
          <w:b/>
          <w:sz w:val="20"/>
        </w:rPr>
        <w:t>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Accordingly, the DXL Board unanimously recommends that DXL stockholders vote (i) “AGAINST” the issuance proposal, (ii) “FOR” the reverse stock split proposal,</w:t>
      </w:r>
      <w:r>
        <w:rPr>
          <w:rFonts w:ascii="Times New Roman" w:hAnsi="Times New Roman"/>
          <w:sz w:val="20"/>
        </w:rPr>
        <w:t xml:space="preserve"> </w:t>
      </w:r>
      <w:r>
        <w:rPr>
          <w:rFonts w:ascii="Times New Roman" w:hAnsi="Times New Roman"/>
          <w:b/>
          <w:sz w:val="20"/>
        </w:rPr>
        <w:t xml:space="preserve">(iii)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that have been provided by FBB or its representatives and reflect FBB’s views.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potential negative equity value, and (v)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As a result, certain statements identified in this proxy statement as coming from FBB regarding the anticipated benefits of the merger, the outlook for the combined company or the strategic rationale for the transaction may differ from, or be inconsistent with, the current views of the DXL Board. 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 Related to the Merger</w:t>
      </w:r>
      <w:r>
        <w:rPr>
          <w:rFonts w:ascii="Times New Roman" w:hAnsi="Times New Roman"/>
          <w:sz w:val="20"/>
        </w:rPr>
        <w:t xml:space="preserve">,” in determining how to vote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Shares of DXL common stock are currently listed on The Nasdaq Capital Market under the symbol “DXLG”. If the merger is consummated, it is expected that DXL common stock would trade on The Nasdaq Capital Market under the symbol “DXLG”. More information about DXL, FBB and the proposed transactions is contained in the accompanying proxy statement. </w:t>
      </w:r>
    </w:p>
    <w:p>
      <w:pPr>
        <w:pStyle w:val="TextBody"/>
        <w:bidi w:val="0"/>
        <w:spacing w:before="240" w:after="0"/>
        <w:jc w:val="left"/>
        <w:rPr/>
      </w:pPr>
      <w:r>
        <w:rPr>
          <w:rFonts w:ascii="Times New Roman" w:hAnsi="Times New Roman"/>
          <w:sz w:val="20"/>
        </w:rPr>
        <w:t>DXL URGES YOU TO READ THE PROXY STATEMENT CAREFULLY AND IN ITS ENTIRETY. IN PARTICULAR, YOU SHOULD CAREFULLY CONSIDER THE MATTERS DISCUSSED UNDER “</w:t>
      </w:r>
      <w:hyperlink w:anchor="tx76201_5">
        <w:r>
          <w:rPr>
            <w:rStyle w:val="InternetLink"/>
            <w:rFonts w:ascii="Times New Roman" w:hAnsi="Times New Roman"/>
            <w:sz w:val="20"/>
          </w:rPr>
          <w:t>RISK FACTORS</w:t>
        </w:r>
      </w:hyperlink>
      <w:r>
        <w:rPr>
          <w:rFonts w:ascii="Times New Roman" w:hAnsi="Times New Roman"/>
          <w:sz w:val="20"/>
        </w:rPr>
        <w:t xml:space="preserve">” BEGINNING ON PAGE 30. </w:t>
      </w:r>
    </w:p>
    <w:p>
      <w:pPr>
        <w:pStyle w:val="TextBody"/>
        <w:bidi w:val="0"/>
        <w:spacing w:before="240" w:after="0"/>
        <w:jc w:val="left"/>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expect to attend the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appreciates your careful consideration of these important matters and encourages you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Lionel F. Conacher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Chairman of the DXL Board and Interim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the merger described in this proxy statement or the DXL common stock to be issued in connection with the merger or determined if this proxy statement is accurate or adequate.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SEPTEMBER 2, 2026—SUBJECT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sz w:val="20"/>
        </w:rPr>
      </w:pPr>
      <w:r>
        <w:rPr>
          <w:rFonts w:ascii="Times New Roman" w:hAnsi="Times New Roman"/>
          <w:b/>
          <w:sz w:val="20"/>
        </w:rPr>
        <w:t>NOTICE OF SPECIAL MEETING OF STOCKHOLDERS 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Destination XL Group, Inc. (“DXL”)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 the affirmative vote of a majority of the votes cast by DXL stockholders at the special meeting. 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Board of Directors of DXL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proposals are more fully described in the proxy statement following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withdrawn its prior recommendation in favor of the merger and the issuance proposal and now recommends that you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fixed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the stockholders entitled to notice of, and to vote at, the special meeting. Accordingly, only stockholders of record at the close of business on that date will be entitled to vote at the special meeting. A list of the stockholders of record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will be available for inspection by any of our stockholders for any purpose germane to the special meeting during normal business hours at our principal executive offices, 555 Turnpike Street, Canton, Massachusetts 02021, beginning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and at the special meeting. Stockholders are invited to attend the special meeting in person. Regardless of whether you plan to attend the special meeting, please mark, date, sign and return the enclosed proxy to ensure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Robert S. Molloy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9"/>
        <w:gridCol w:w="124"/>
        <w:gridCol w:w="70"/>
        <w:gridCol w:w="450"/>
        <w:gridCol w:w="62"/>
      </w:tblGrid>
      <w:tr>
        <w:trPr/>
        <w:tc>
          <w:tcPr>
            <w:tcW w:w="94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0"/>
              <w:jc w:val="left"/>
              <w:rPr/>
            </w:pPr>
            <w:hyperlink w:anchor="tx76201_1">
              <w:r>
                <w:rPr>
                  <w:rStyle w:val="InternetLink"/>
                  <w:rFonts w:ascii="Times New Roman" w:hAnsi="Times New Roman"/>
                  <w:sz w:val="20"/>
                </w:rPr>
                <w:t>QUESTIONS AND ANSWERS ABOUT THE SPECIAL MEETING AND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
              <w:r>
                <w:rPr>
                  <w:rStyle w:val="InternetLink"/>
                  <w:rFonts w:ascii="Times New Roman" w:hAnsi="Times New Roman"/>
                  <w:sz w:val="20"/>
                </w:rPr>
                <w:t xml:space="preserve">SUMMARY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
              <w:r>
                <w:rPr>
                  <w:rStyle w:val="InternetLink"/>
                  <w:rFonts w:ascii="Times New Roman" w:hAnsi="Times New Roman"/>
                  <w:sz w:val="20"/>
                </w:rPr>
                <w:t xml:space="preserve">MARKET PRICE AND DIVIDEND INFORMATION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4">
              <w:r>
                <w:rPr>
                  <w:rStyle w:val="InternetLink"/>
                  <w:rFonts w:ascii="Times New Roman" w:hAnsi="Times New Roman"/>
                  <w:sz w:val="20"/>
                </w:rPr>
                <w:t xml:space="preserve">CAUTIONARY STATEMENT REGARDING FORWARD-LOOKING STATEMENTS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5">
              <w:r>
                <w:rPr>
                  <w:rStyle w:val="InternetLink"/>
                  <w:rFonts w:ascii="Times New Roman" w:hAnsi="Times New Roman"/>
                  <w:sz w:val="20"/>
                </w:rPr>
                <w:t xml:space="preserve">RISK FACTORS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6">
              <w:r>
                <w:rPr>
                  <w:rStyle w:val="InternetLink"/>
                  <w:rFonts w:ascii="Times New Roman" w:hAnsi="Times New Roman"/>
                  <w:sz w:val="20"/>
                </w:rPr>
                <w:t>Risks Related to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7">
              <w:r>
                <w:rPr>
                  <w:rStyle w:val="InternetLink"/>
                  <w:rFonts w:ascii="Times New Roman" w:hAnsi="Times New Roman"/>
                  <w:sz w:val="20"/>
                </w:rPr>
                <w:t>Risks Related to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8">
              <w:r>
                <w:rPr>
                  <w:rStyle w:val="InternetLink"/>
                  <w:rFonts w:ascii="Times New Roman" w:hAnsi="Times New Roman"/>
                  <w:sz w:val="20"/>
                </w:rPr>
                <w:t>Risks Related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9">
              <w:r>
                <w:rPr>
                  <w:rStyle w:val="InternetLink"/>
                  <w:rFonts w:ascii="Times New Roman" w:hAnsi="Times New Roman"/>
                  <w:sz w:val="20"/>
                </w:rPr>
                <w:t>Risks Related to FBB</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0">
              <w:r>
                <w:rPr>
                  <w:rStyle w:val="InternetLink"/>
                  <w:rFonts w:ascii="Times New Roman" w:hAnsi="Times New Roman"/>
                  <w:sz w:val="20"/>
                </w:rPr>
                <w:t>Risks Related to the Combined Company</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11">
              <w:r>
                <w:rPr>
                  <w:rStyle w:val="InternetLink"/>
                  <w:rFonts w:ascii="Times New Roman" w:hAnsi="Times New Roman"/>
                  <w:sz w:val="20"/>
                </w:rPr>
                <w:t xml:space="preserve">THE MERGER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2">
              <w:r>
                <w:rPr>
                  <w:rStyle w:val="InternetLink"/>
                  <w:rFonts w:ascii="Times New Roman" w:hAnsi="Times New Roman"/>
                  <w:sz w:val="20"/>
                </w:rPr>
                <w:t>Terms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3">
              <w:r>
                <w:rPr>
                  <w:rStyle w:val="InternetLink"/>
                  <w:rFonts w:ascii="Times New Roman" w:hAnsi="Times New Roman"/>
                  <w:sz w:val="20"/>
                </w:rPr>
                <w:t>Prior Approval and Continued Evaluation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4">
              <w:r>
                <w:rPr>
                  <w:rStyle w:val="InternetLink"/>
                  <w:rFonts w:ascii="Times New Roman" w:hAnsi="Times New Roman"/>
                  <w:sz w:val="20"/>
                </w:rPr>
                <w:t>Effect on DXL if the Merger is Not Completed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5">
              <w:r>
                <w:rPr>
                  <w:rStyle w:val="InternetLink"/>
                  <w:rFonts w:ascii="Times New Roman" w:hAnsi="Times New Roman"/>
                  <w:sz w:val="20"/>
                </w:rPr>
                <w:t>Background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6">
              <w:r>
                <w:rPr>
                  <w:rStyle w:val="InternetLink"/>
                  <w:rFonts w:ascii="Times New Roman" w:hAnsi="Times New Roman"/>
                  <w:sz w:val="20"/>
                </w:rPr>
                <w:t>DXL’s Reasons for Recommending Against the Issuance Proposal; Updated Recommendation of the DXL Board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
              <w:r>
                <w:rPr>
                  <w:rStyle w:val="InternetLink"/>
                  <w:rFonts w:ascii="Times New Roman" w:hAnsi="Times New Roman"/>
                  <w:sz w:val="20"/>
                </w:rPr>
                <w:t>December 2025 Opinion of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a">
              <w:r>
                <w:rPr>
                  <w:rStyle w:val="InternetLink"/>
                  <w:rFonts w:ascii="Times New Roman" w:hAnsi="Times New Roman"/>
                  <w:sz w:val="20"/>
                </w:rPr>
                <w:t>May 2026 Supplemental Financial Analyses Prepared by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8">
              <w:r>
                <w:rPr>
                  <w:rStyle w:val="InternetLink"/>
                  <w:rFonts w:ascii="Times New Roman" w:hAnsi="Times New Roman"/>
                  <w:sz w:val="20"/>
                </w:rPr>
                <w:t>Certain Financial Projections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9">
              <w:r>
                <w:rPr>
                  <w:rStyle w:val="InternetLink"/>
                  <w:rFonts w:ascii="Times New Roman" w:hAnsi="Times New Roman"/>
                  <w:sz w:val="20"/>
                </w:rPr>
                <w:t>Interests of DXL’s Directors and Executive Officers in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0">
              <w:r>
                <w:rPr>
                  <w:rStyle w:val="InternetLink"/>
                  <w:rFonts w:ascii="Times New Roman" w:hAnsi="Times New Roman"/>
                  <w:sz w:val="20"/>
                </w:rPr>
                <w:t>Accounting Treatment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1">
              <w:r>
                <w:rPr>
                  <w:rStyle w:val="InternetLink"/>
                  <w:rFonts w:ascii="Times New Roman" w:hAnsi="Times New Roman"/>
                  <w:sz w:val="20"/>
                </w:rPr>
                <w:t>Federal Securities Law Consequences; Resale Restrictions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2">
              <w:r>
                <w:rPr>
                  <w:rStyle w:val="InternetLink"/>
                  <w:rFonts w:ascii="Times New Roman" w:hAnsi="Times New Roman"/>
                  <w:sz w:val="20"/>
                </w:rPr>
                <w:t>Material U.S. Federal Income Tax Consequences of the Merger and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3">
              <w:r>
                <w:rPr>
                  <w:rStyle w:val="InternetLink"/>
                  <w:rFonts w:ascii="Times New Roman" w:hAnsi="Times New Roman"/>
                  <w:sz w:val="20"/>
                </w:rPr>
                <w:t xml:space="preserve">THE SPECIAL MEETING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4">
              <w:r>
                <w:rPr>
                  <w:rStyle w:val="InternetLink"/>
                  <w:rFonts w:ascii="Times New Roman" w:hAnsi="Times New Roman"/>
                  <w:sz w:val="20"/>
                </w:rPr>
                <w:t>Date, Time and Place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5">
              <w:r>
                <w:rPr>
                  <w:rStyle w:val="InternetLink"/>
                  <w:rFonts w:ascii="Times New Roman" w:hAnsi="Times New Roman"/>
                  <w:sz w:val="20"/>
                </w:rPr>
                <w:t>Purpose of the Special Meeting</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6">
              <w:r>
                <w:rPr>
                  <w:rStyle w:val="InternetLink"/>
                  <w:rFonts w:ascii="Times New Roman" w:hAnsi="Times New Roman"/>
                  <w:sz w:val="20"/>
                </w:rPr>
                <w:t>Record Date; Shares Outstanding and Entitled to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7">
              <w:r>
                <w:rPr>
                  <w:rStyle w:val="InternetLink"/>
                  <w:rFonts w:ascii="Times New Roman" w:hAnsi="Times New Roman"/>
                  <w:sz w:val="20"/>
                </w:rPr>
                <w:t>Quorum</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8">
              <w:r>
                <w:rPr>
                  <w:rStyle w:val="InternetLink"/>
                  <w:rFonts w:ascii="Times New Roman" w:hAnsi="Times New Roman"/>
                  <w:sz w:val="20"/>
                </w:rPr>
                <w:t>How to Vote Your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9">
              <w:r>
                <w:rPr>
                  <w:rStyle w:val="InternetLink"/>
                  <w:rFonts w:ascii="Times New Roman" w:hAnsi="Times New Roman"/>
                  <w:sz w:val="20"/>
                </w:rPr>
                <w:t>How to Change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0">
              <w:r>
                <w:rPr>
                  <w:rStyle w:val="InternetLink"/>
                  <w:rFonts w:ascii="Times New Roman" w:hAnsi="Times New Roman"/>
                  <w:sz w:val="20"/>
                </w:rPr>
                <w:t>Proxies; Counting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1">
              <w:r>
                <w:rPr>
                  <w:rStyle w:val="InternetLink"/>
                  <w:rFonts w:ascii="Times New Roman" w:hAnsi="Times New Roman"/>
                  <w:sz w:val="20"/>
                </w:rPr>
                <w:t>Appraisal Rights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2">
              <w:r>
                <w:rPr>
                  <w:rStyle w:val="InternetLink"/>
                  <w:rFonts w:ascii="Times New Roman" w:hAnsi="Times New Roman"/>
                  <w:sz w:val="20"/>
                </w:rPr>
                <w:t>Voting by DXL’s Directors and Certain Stockholders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3">
              <w:r>
                <w:rPr>
                  <w:rStyle w:val="InternetLink"/>
                  <w:rFonts w:ascii="Times New Roman" w:hAnsi="Times New Roman"/>
                  <w:sz w:val="20"/>
                </w:rPr>
                <w:t>Solicitation of Proxies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4">
              <w:r>
                <w:rPr>
                  <w:rStyle w:val="InternetLink"/>
                  <w:rFonts w:ascii="Times New Roman" w:hAnsi="Times New Roman"/>
                  <w:sz w:val="20"/>
                </w:rPr>
                <w:t xml:space="preserve">THE MERGER AGREEMENT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5">
              <w:r>
                <w:rPr>
                  <w:rStyle w:val="InternetLink"/>
                  <w:rFonts w:ascii="Times New Roman" w:hAnsi="Times New Roman"/>
                  <w:sz w:val="20"/>
                </w:rPr>
                <w:t>Structure of the Business Combination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6">
              <w:r>
                <w:rPr>
                  <w:rStyle w:val="InternetLink"/>
                  <w:rFonts w:ascii="Times New Roman" w:hAnsi="Times New Roman"/>
                  <w:sz w:val="20"/>
                </w:rPr>
                <w:t>Effects of the Merger; Certificate of Incorporation; By-Laws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7">
              <w:r>
                <w:rPr>
                  <w:rStyle w:val="InternetLink"/>
                  <w:rFonts w:ascii="Times New Roman" w:hAnsi="Times New Roman"/>
                  <w:sz w:val="20"/>
                </w:rPr>
                <w:t>Directors and Executive Officers of the Combined Company Following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8">
              <w:r>
                <w:rPr>
                  <w:rStyle w:val="InternetLink"/>
                  <w:rFonts w:ascii="Times New Roman" w:hAnsi="Times New Roman"/>
                  <w:sz w:val="20"/>
                </w:rPr>
                <w:t>Closing of the Merger; Effective Time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9">
              <w:r>
                <w:rPr>
                  <w:rStyle w:val="InternetLink"/>
                  <w:rFonts w:ascii="Times New Roman" w:hAnsi="Times New Roman"/>
                  <w:sz w:val="20"/>
                </w:rPr>
                <w:t>Merger Consideration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0">
              <w:r>
                <w:rPr>
                  <w:rStyle w:val="InternetLink"/>
                  <w:rFonts w:ascii="Times New Roman" w:hAnsi="Times New Roman"/>
                  <w:sz w:val="20"/>
                </w:rPr>
                <w:t>Exchange Ratio</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1">
              <w:r>
                <w:rPr>
                  <w:rStyle w:val="InternetLink"/>
                  <w:rFonts w:ascii="Times New Roman" w:hAnsi="Times New Roman"/>
                  <w:sz w:val="20"/>
                </w:rPr>
                <w:t>Treatment of Unaccredited Investor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2">
              <w:r>
                <w:rPr>
                  <w:rStyle w:val="InternetLink"/>
                  <w:rFonts w:ascii="Times New Roman" w:hAnsi="Times New Roman"/>
                  <w:sz w:val="20"/>
                </w:rPr>
                <w:t>Treatment of FBB Equity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3">
              <w:r>
                <w:rPr>
                  <w:rStyle w:val="InternetLink"/>
                  <w:rFonts w:ascii="Times New Roman" w:hAnsi="Times New Roman"/>
                  <w:sz w:val="20"/>
                </w:rPr>
                <w:t>Treatment of DXL Equity and Performance-Based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4">
              <w:r>
                <w:rPr>
                  <w:rStyle w:val="InternetLink"/>
                  <w:rFonts w:ascii="Times New Roman" w:hAnsi="Times New Roman"/>
                  <w:sz w:val="20"/>
                </w:rPr>
                <w:t>Exchange and Payment Procedures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5">
              <w:r>
                <w:rPr>
                  <w:rStyle w:val="InternetLink"/>
                  <w:rFonts w:ascii="Times New Roman" w:hAnsi="Times New Roman"/>
                  <w:sz w:val="20"/>
                </w:rPr>
                <w:t>Termination of Exchange Fund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6">
              <w:r>
                <w:rPr>
                  <w:rStyle w:val="InternetLink"/>
                  <w:rFonts w:ascii="Times New Roman" w:hAnsi="Times New Roman"/>
                  <w:sz w:val="20"/>
                </w:rPr>
                <w:t>Lost, Stolen or Destroyed Certificates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02"/>
        <w:gridCol w:w="125"/>
        <w:gridCol w:w="67"/>
        <w:gridCol w:w="449"/>
        <w:gridCol w:w="62"/>
      </w:tblGrid>
      <w:tr>
        <w:trPr/>
        <w:tc>
          <w:tcPr>
            <w:tcW w:w="95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7">
              <w:r>
                <w:rPr>
                  <w:rStyle w:val="InternetLink"/>
                  <w:rFonts w:ascii="Times New Roman" w:hAnsi="Times New Roman"/>
                  <w:sz w:val="20"/>
                </w:rPr>
                <w:t>Representations and Warranties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8">
              <w:r>
                <w:rPr>
                  <w:rStyle w:val="InternetLink"/>
                  <w:rFonts w:ascii="Times New Roman" w:hAnsi="Times New Roman"/>
                  <w:sz w:val="20"/>
                </w:rPr>
                <w:t>Conduct of Business Pending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9">
              <w:r>
                <w:rPr>
                  <w:rStyle w:val="InternetLink"/>
                  <w:rFonts w:ascii="Times New Roman" w:hAnsi="Times New Roman"/>
                  <w:sz w:val="20"/>
                </w:rPr>
                <w:t>Required Stockholder Vote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0">
              <w:r>
                <w:rPr>
                  <w:rStyle w:val="InternetLink"/>
                  <w:rFonts w:ascii="Times New Roman" w:hAnsi="Times New Roman"/>
                  <w:sz w:val="20"/>
                </w:rPr>
                <w:t>Board Recommendation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1">
              <w:r>
                <w:rPr>
                  <w:rStyle w:val="InternetLink"/>
                  <w:rFonts w:ascii="Times New Roman" w:hAnsi="Times New Roman"/>
                  <w:sz w:val="20"/>
                </w:rPr>
                <w:t>Non-Solicitation of Acquisition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2">
              <w:r>
                <w:rPr>
                  <w:rStyle w:val="InternetLink"/>
                  <w:rFonts w:ascii="Times New Roman" w:hAnsi="Times New Roman"/>
                  <w:sz w:val="20"/>
                </w:rPr>
                <w:t>Employee Benefits Matters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3">
              <w:r>
                <w:rPr>
                  <w:rStyle w:val="InternetLink"/>
                  <w:rFonts w:ascii="Times New Roman" w:hAnsi="Times New Roman"/>
                  <w:sz w:val="20"/>
                </w:rPr>
                <w:t>Directors’ and Officers’ Indemnification and Insurance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4">
              <w:r>
                <w:rPr>
                  <w:rStyle w:val="InternetLink"/>
                  <w:rFonts w:ascii="Times New Roman" w:hAnsi="Times New Roman"/>
                  <w:sz w:val="20"/>
                </w:rPr>
                <w:t>Financing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5">
              <w:r>
                <w:rPr>
                  <w:rStyle w:val="InternetLink"/>
                  <w:rFonts w:ascii="Times New Roman" w:hAnsi="Times New Roman"/>
                  <w:sz w:val="20"/>
                </w:rPr>
                <w:t>Nasdaq Listing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6">
              <w:r>
                <w:rPr>
                  <w:rStyle w:val="InternetLink"/>
                  <w:rFonts w:ascii="Times New Roman" w:hAnsi="Times New Roman"/>
                  <w:sz w:val="20"/>
                </w:rPr>
                <w:t>Conditions to the Closing of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7">
              <w:r>
                <w:rPr>
                  <w:rStyle w:val="InternetLink"/>
                  <w:rFonts w:ascii="Times New Roman" w:hAnsi="Times New Roman"/>
                  <w:sz w:val="20"/>
                </w:rPr>
                <w:t>Termination of the Merger Agreement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8">
              <w:r>
                <w:rPr>
                  <w:rStyle w:val="InternetLink"/>
                  <w:rFonts w:ascii="Times New Roman" w:hAnsi="Times New Roman"/>
                  <w:sz w:val="20"/>
                </w:rPr>
                <w:t>Termination Fee; Expense Reimbursement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9">
              <w:r>
                <w:rPr>
                  <w:rStyle w:val="InternetLink"/>
                  <w:rFonts w:ascii="Times New Roman" w:hAnsi="Times New Roman"/>
                  <w:sz w:val="20"/>
                </w:rPr>
                <w:t>Amendments; Extensions; Waivers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0">
              <w:r>
                <w:rPr>
                  <w:rStyle w:val="InternetLink"/>
                  <w:rFonts w:ascii="Times New Roman" w:hAnsi="Times New Roman"/>
                  <w:sz w:val="20"/>
                </w:rPr>
                <w:t>Assignment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1">
              <w:r>
                <w:rPr>
                  <w:rStyle w:val="InternetLink"/>
                  <w:rFonts w:ascii="Times New Roman" w:hAnsi="Times New Roman"/>
                  <w:sz w:val="20"/>
                </w:rPr>
                <w:t>Entire Agreement; No Third-Party Beneficiaries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2">
              <w:r>
                <w:rPr>
                  <w:rStyle w:val="InternetLink"/>
                  <w:rFonts w:ascii="Times New Roman" w:hAnsi="Times New Roman"/>
                  <w:sz w:val="20"/>
                </w:rPr>
                <w:t>Expenses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3">
              <w:r>
                <w:rPr>
                  <w:rStyle w:val="InternetLink"/>
                  <w:rFonts w:ascii="Times New Roman" w:hAnsi="Times New Roman"/>
                  <w:sz w:val="20"/>
                </w:rPr>
                <w:t>Specific Performance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4">
              <w:r>
                <w:rPr>
                  <w:rStyle w:val="InternetLink"/>
                  <w:rFonts w:ascii="Times New Roman" w:hAnsi="Times New Roman"/>
                  <w:sz w:val="20"/>
                </w:rPr>
                <w:t>Governing Law and Jurisdiction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5">
              <w:r>
                <w:rPr>
                  <w:rStyle w:val="InternetLink"/>
                  <w:rFonts w:ascii="Times New Roman" w:hAnsi="Times New Roman"/>
                  <w:sz w:val="20"/>
                </w:rPr>
                <w:t xml:space="preserve">AGREEMENTS RELATED TO THE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6">
              <w:r>
                <w:rPr>
                  <w:rStyle w:val="InternetLink"/>
                  <w:rFonts w:ascii="Times New Roman" w:hAnsi="Times New Roman"/>
                  <w:sz w:val="20"/>
                </w:rPr>
                <w:t>Voting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7">
              <w:r>
                <w:rPr>
                  <w:rStyle w:val="InternetLink"/>
                  <w:rFonts w:ascii="Times New Roman" w:hAnsi="Times New Roman"/>
                  <w:sz w:val="20"/>
                </w:rPr>
                <w:t>Lock-Up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8">
              <w:r>
                <w:rPr>
                  <w:rStyle w:val="InternetLink"/>
                  <w:rFonts w:ascii="Times New Roman" w:hAnsi="Times New Roman"/>
                  <w:sz w:val="20"/>
                </w:rPr>
                <w:t>Private Placement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9">
              <w:r>
                <w:rPr>
                  <w:rStyle w:val="InternetLink"/>
                  <w:rFonts w:ascii="Times New Roman" w:hAnsi="Times New Roman"/>
                  <w:sz w:val="20"/>
                </w:rPr>
                <w:t>PROPOSAL 1: ISSUANCE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0">
              <w:r>
                <w:rPr>
                  <w:rStyle w:val="InternetLink"/>
                  <w:rFonts w:ascii="Times New Roman" w:hAnsi="Times New Roman"/>
                  <w:sz w:val="20"/>
                </w:rPr>
                <w:t>PROPOSAL 2: REVERSE STOCK SPLIT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1">
              <w:r>
                <w:rPr>
                  <w:rStyle w:val="InternetLink"/>
                  <w:rFonts w:ascii="Times New Roman" w:hAnsi="Times New Roman"/>
                  <w:sz w:val="20"/>
                </w:rPr>
                <w:t>PROPOSAL 3: 2016 PLAN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2">
              <w:r>
                <w:rPr>
                  <w:rStyle w:val="InternetLink"/>
                  <w:rFonts w:ascii="Times New Roman" w:hAnsi="Times New Roman"/>
                  <w:sz w:val="20"/>
                </w:rPr>
                <w:t xml:space="preserve">PROPOSAL 4: ADJOURNMENT PROPOSAL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3">
              <w:r>
                <w:rPr>
                  <w:rStyle w:val="InternetLink"/>
                  <w:rFonts w:ascii="Times New Roman" w:hAnsi="Times New Roman"/>
                  <w:sz w:val="20"/>
                </w:rPr>
                <w:t>DXL’S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4">
              <w:r>
                <w:rPr>
                  <w:rStyle w:val="InternetLink"/>
                  <w:rFonts w:ascii="Times New Roman" w:hAnsi="Times New Roman"/>
                  <w:sz w:val="20"/>
                </w:rPr>
                <w:t>DXL’S EXECUTIVE COMPENSATION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5">
              <w:r>
                <w:rPr>
                  <w:rStyle w:val="InternetLink"/>
                  <w:rFonts w:ascii="Times New Roman" w:hAnsi="Times New Roman"/>
                  <w:sz w:val="20"/>
                </w:rPr>
                <w:t>FBB’S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6">
              <w:r>
                <w:rPr>
                  <w:rStyle w:val="InternetLink"/>
                  <w:rFonts w:ascii="Times New Roman" w:hAnsi="Times New Roman"/>
                  <w:sz w:val="20"/>
                </w:rPr>
                <w:t>DXL’S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7">
              <w:r>
                <w:rPr>
                  <w:rStyle w:val="InternetLink"/>
                  <w:rFonts w:ascii="Times New Roman" w:hAnsi="Times New Roman"/>
                  <w:sz w:val="20"/>
                </w:rPr>
                <w:t>QUANTITATIVE AND QUALITATIVE DISCLOSURES ABOUT DXL’S MARKET RISK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8">
              <w:r>
                <w:rPr>
                  <w:rStyle w:val="InternetLink"/>
                  <w:rFonts w:ascii="Times New Roman" w:hAnsi="Times New Roman"/>
                  <w:sz w:val="20"/>
                </w:rPr>
                <w:t>FBB’S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9">
              <w:r>
                <w:rPr>
                  <w:rStyle w:val="InternetLink"/>
                  <w:rFonts w:ascii="Times New Roman" w:hAnsi="Times New Roman"/>
                  <w:sz w:val="20"/>
                </w:rPr>
                <w:t>UNAUDITED PRO FORMA CONDENSED COMBINED FINANCIAL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0">
              <w:r>
                <w:rPr>
                  <w:rStyle w:val="InternetLink"/>
                  <w:rFonts w:ascii="Times New Roman" w:hAnsi="Times New Roman"/>
                  <w:sz w:val="20"/>
                </w:rPr>
                <w:t>DESCRIPTION OF DXL’S CAPITAL STOCK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1">
              <w:r>
                <w:rPr>
                  <w:rStyle w:val="InternetLink"/>
                  <w:rFonts w:ascii="Times New Roman" w:hAnsi="Times New Roman"/>
                  <w:sz w:val="20"/>
                </w:rPr>
                <w:t>EXECUTIVE OFFICERS AND DIRECTORS FOLLOWING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2">
              <w:r>
                <w:rPr>
                  <w:rStyle w:val="InternetLink"/>
                  <w:rFonts w:ascii="Times New Roman" w:hAnsi="Times New Roman"/>
                  <w:sz w:val="20"/>
                </w:rPr>
                <w:t>PRINCIPAL STOCKHOLDERS OF DXL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3">
              <w:r>
                <w:rPr>
                  <w:rStyle w:val="InternetLink"/>
                  <w:rFonts w:ascii="Times New Roman" w:hAnsi="Times New Roman"/>
                  <w:sz w:val="20"/>
                </w:rPr>
                <w:t>WHERE YOU CAN FIND ADDITIONAL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4">
              <w:r>
                <w:rPr>
                  <w:rStyle w:val="InternetLink"/>
                  <w:rFonts w:ascii="Times New Roman" w:hAnsi="Times New Roman"/>
                  <w:sz w:val="20"/>
                </w:rPr>
                <w:t>HOUSEHOLDING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5">
              <w:r>
                <w:rPr>
                  <w:rStyle w:val="InternetLink"/>
                  <w:rFonts w:ascii="Times New Roman" w:hAnsi="Times New Roman"/>
                  <w:sz w:val="20"/>
                </w:rPr>
                <w:t>FUTURE STOCKHOLDER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6">
              <w:r>
                <w:rPr>
                  <w:rStyle w:val="InternetLink"/>
                  <w:rFonts w:ascii="Times New Roman" w:hAnsi="Times New Roman"/>
                  <w:sz w:val="20"/>
                </w:rPr>
                <w:t>INFORMATION INCORPORATED BY REFERENCE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7">
              <w:r>
                <w:rPr>
                  <w:rStyle w:val="InternetLink"/>
                  <w:rFonts w:ascii="Times New Roman" w:hAnsi="Times New Roman"/>
                  <w:sz w:val="20"/>
                </w:rPr>
                <w:t>MISCELLANEOUS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8">
              <w:r>
                <w:rPr>
                  <w:rStyle w:val="InternetLink"/>
                  <w:rFonts w:ascii="Times New Roman" w:hAnsi="Times New Roman"/>
                  <w:sz w:val="20"/>
                </w:rPr>
                <w:t>FBB HOLDINGS I, INC. INDEX TO CONSOLIDATED FINANCIAL STATEMENTS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9">
              <w:r>
                <w:rPr>
                  <w:rStyle w:val="InternetLink"/>
                  <w:rFonts w:ascii="Times New Roman" w:hAnsi="Times New Roman"/>
                  <w:sz w:val="20"/>
                </w:rPr>
                <w:t xml:space="preserve">ANNEX A: AGREEMENT AND PLAN OF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0">
              <w:r>
                <w:rPr>
                  <w:rStyle w:val="InternetLink"/>
                  <w:rFonts w:ascii="Times New Roman" w:hAnsi="Times New Roman"/>
                  <w:sz w:val="20"/>
                </w:rPr>
                <w:t>ANNEX B: GUGGENHEIM SECURITIES, LLC OPINION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1">
              <w:r>
                <w:rPr>
                  <w:rStyle w:val="InternetLink"/>
                  <w:rFonts w:ascii="Times New Roman" w:hAnsi="Times New Roman"/>
                  <w:sz w:val="20"/>
                </w:rPr>
                <w:t xml:space="preserve">ANNEX C: PROPOSED CERTIFICATE OF AMENDMENT OF RESTATED CERTIFICATE OF INCORPORATION OF DESTINATION XL GROUP, INC.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2">
              <w:r>
                <w:rPr>
                  <w:rStyle w:val="InternetLink"/>
                  <w:rFonts w:ascii="Times New Roman" w:hAnsi="Times New Roman"/>
                  <w:sz w:val="20"/>
                </w:rPr>
                <w:t xml:space="preserve">ANNEX D: PROPOSED AMENDMENT TO DESTINATION XL GROUP, INC. SECOND AMENDED AND RESTATED 2016 INCENTIVE COMPENSATION PLAN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6201_1"/>
      <w:bookmarkEnd w:id="3"/>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its annexes and the documents referred to or incorporated by reference in this proxy statement. You may obtain the information incorporated by reference into this proxy statement without charge by following the instructions under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indicated, the following information and all other information contained in this proxy statement does not give effect to the reverse stock split described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Destination XL Group, Inc., a Delaware corporation (“DXL”), Divine Merger Sub I, Inc., a Delaware corporation and wholly owned direct subsidiary of DXL (the “merger subsidiary”), and FBB Holdings I, Inc., a Delaware corporation (“FBB”), have entered into an Agreement and Plan of Merger, dated as of December 11, 2025 (the “merger agreement”), that contains the terms and conditions of the proposed business combination of DXL and FBB. Under the merger agreement, at the effective time of the merger, the merger subsidiary would merge with and into FBB, with FBB continuing as the surviving corporation as a wholly owned subsidiary of DXL (the “merger”). If the merger is consummated, DXL would continue to operate under the same name (the “combined company”). The combined company would be expected to trade on The Nasdaq Capital Market under the ticker symbol “DXLG”.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DXL performance-based award that is outstanding under the DXL long-term incentive plan (the “LTIP”) at the effective time of the merger, if the merger is consummated,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these proxy materials because you have been identified as a stockholder of DXL as of the record date, and thus you are entitled to vote at DXL’s special meeting of stockholders (the “special meeting”). This document contains important information about the merger and the special meeting and serves as a proxy statement of DXL used to solicit proxies for the special meeting. You should read it carefully and in its entirety. The enclosed materials allow you to have your shares of DXL common stock voted by proxy without attending the special meeting. Your vote is important, and DXL encourages you to submit your proxy as soon as possible, whether or not you intend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DXL submitting the issuance proposal for stockholder vote if the DXL Board recommends voting “AGAINST”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DXL is submitting the issuance proposal for stockholder vote because DXL is contractually obligated to do so under the terms of the merger agreement. The merger agreement does not permit DXL to terminate the agreement solely as a result of a change in recommendation by the Board of Directors of DXL (the “DXL Board”), and, accordingly, DXL remains obligated to submit the issuance proposal to its stockholders for a vote and the merger agreement remains in effect unless and until terminated in accordance with its terms. By contrast, following a change in recommendation by the DXL Board, FBB has the right to terminate the merger agreement under specified circumstances, in which case DXL would be required to pay FBB a termination fee of $2.5 million and/or an out-of-pocket fees and expense reimbursement of up to $950,000. For more information, please see the section entitled “</w:t>
            </w:r>
            <w:r>
              <w:rPr>
                <w:rFonts w:ascii="Times New Roman" w:hAnsi="Times New Roman"/>
                <w:i/>
                <w:sz w:val="20"/>
              </w:rPr>
              <w:t>The Merger Agreement—Termination Fee; Expense Reimbursement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discussion in this proxy statement summarizes the considerations evaluated at the time the merger agreement was approved.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For a more complete discussion of the DXL Board’s current recommendation and the reasons for that determination, please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proxy statement include different perspectives regarding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This proxy statement includes information regarding FBB, its business, financial condition and prospects, as well as statements regarding the potential strategic and financial benefits of the merger and the expected performance of the combined company. Certain information has been provided by FBB or its representatives and reflects the views, including assumptions, projections and judgments of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As a result, certain statements identified in this proxy statement as having been made or provided by FBB or its representatives regarding the anticipated benefits of the merger, the outlook for the combined company or the strategic rationale for the transaction may differ from, or be inconsistent with, the current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120" w:after="0"/>
        <w:jc w:val="left"/>
        <w:rPr>
          <w:rFonts w:ascii="Times New Roman" w:hAnsi="Times New Roman"/>
          <w:sz w:val="20"/>
        </w:rPr>
      </w:pPr>
      <w:r>
        <w:rPr>
          <w:rFonts w:ascii="Times New Roman" w:hAnsi="Times New Roman"/>
          <w:sz w:val="20"/>
        </w:rPr>
        <w:t>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w:t>
      </w:r>
      <w:r>
        <w:rPr>
          <w:rFonts w:ascii="Times New Roman" w:hAnsi="Times New Roman"/>
          <w:sz w:val="20"/>
        </w:rPr>
        <w:t xml:space="preserve"> </w:t>
      </w:r>
      <w:r>
        <w:rPr>
          <w:rFonts w:ascii="Times New Roman" w:hAnsi="Times New Roman"/>
          <w:i/>
          <w:sz w:val="20"/>
        </w:rPr>
        <w:t>Related to the Merger</w:t>
      </w:r>
      <w:r>
        <w:rPr>
          <w:rFonts w:ascii="Times New Roman" w:hAnsi="Times New Roman"/>
          <w:sz w:val="20"/>
        </w:rPr>
        <w:t xml:space="preserve">,” in determining how to vote on the proposals. DXL stockholders should also not place undue reliance on forward-looking statements or projections regarding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required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of the issuance proposal.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a standalone condition precedent,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stockholder approval required for the issuance of shares of DXL common stock to existing stockholders of FBB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common stock is listed on The Nasdaq Capital Market, and, as such, DXL is subject to Nasdaq Listing Rule 5635. Under Nasdaq Listing Rule 5635(a), stockholder approval is required prior to the issuance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the number of shares of DXL common stock to be issued would be based on, among other factors, the reverse stock split ratio and the total number of outstanding shares of DXL common stock , on a fully diluted basis using the treasury stock method. Based on the assumptions set forth in this proxy statement,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Accordingly, because the issuance of DXL common stock in connection with the merger would exceed these thresholds and would be expected to result in a change of control under the Nasdaq rules, stockholder approval is required to authorize the issuance of shares of DXL common stock in connection with the merger and the resulting “change of control” of DXL under the Nasdaq rules.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proposal is approved, prior to the effective time of the merger (in the event the issuance proposal is approved and the merger is to be consummated) or at such time as the DXL Board determines (in the event the issuance proposal is not approved and the merger is not consummated), by virtue of the filing of an amendment to the restated certificate of incorporation in the form of Section 1 of the certificate of amendment attached as Annex C to this proxy statement and incorporated herein by reference, the outstanding shares of DXL common stock will be combined into a lesser number of shares at a ratio in the range of one new share for every 2 to 30 shares outstanding (or any whole number in between) to be determined by the DXL Board and agreed to by FBB prior to the effective time and publicly announced by DXL and identified in the certificate of amendment so filed. The DXL Board believes that a reverse stock split is necessary for a number of reasons.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approval of the reverse stock split proposal would be expected, if the merger is consummated, to enable DXL to meet the minimum bid price requirement for Nasdaq listing and to satisfy the related Nasdaq 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DXL Board recommend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 consideration, the DXL Board unanimously recommends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proposal 1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2 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3 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4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DXL Board believes that approval of the reverse stock split proposal and the 2016 plan proposal is important for DXL’s ongoing operations and capital markets positioning, regardless of whether the merger is consummated.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DXL stockholders consider in deciding whether to vote in favor of the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DXL stockholders should carefully read the section of this proxy statement entitled “</w:t>
            </w:r>
            <w:r>
              <w:rPr>
                <w:rFonts w:ascii="Times New Roman" w:hAnsi="Times New Roman"/>
                <w:i/>
                <w:sz w:val="20"/>
              </w:rPr>
              <w:t>Risk Factors</w:t>
            </w:r>
            <w:r>
              <w:rPr>
                <w:rFonts w:ascii="Times New Roman" w:hAnsi="Times New Roman"/>
                <w:sz w:val="20"/>
              </w:rPr>
              <w:t xml:space="preserve">” beginning on page 28, which sets forth certain risks and uncertainties related to the merger and reverse stock split, risks and uncertainties to which the combined company’s business, if the merger is consummated, would be subject, risks and uncertainties to which DXL, as an independent company, is subject, and risks and uncertainties to which FBB, as an independent company,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particular, stockholders should carefully consider the DXL Board’s recent determination that the merger and the transactions contemplated by the merger agreement, including the issuance proposal, are not in the best interests of DXL stockholders under the current terms of the merger agreement. Stockholders should also consider the potential effects of the voting agreements entered into by certain stockholders in connection with the execution of the merger agreement, which may increase the likelihood that the issuance proposal is approved notwithstanding the DXL Board’s recommendation against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notwithstanding the DXL Board’s recommendation against the issuance proposal, the DXL stockholders approve the issuance proposal, the consummation of the merger is expected to occur as promptly as practicable. The merger would be consummated, if at all, after the special meeting and following satisfaction or waiver of all closing conditions of the merger.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federal or state regulatory requirements that must be complied with or federal or state regulatory approvals or clearances that must be obtained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DXL nor FBB is required to make any filings or to obtain any approvals or clearances from any antitrust regulatory authorities in the United States or other countries to consummate the merger. In the United States, DXL must comply with applicable federal and state securities laws and the Nasdaq rules in connection with the issuance of shares of DXL common stock in the merger, including the filing with the SEC of this proxy statement and the required stockholder approval for the resulting “change of control” of DXL under the Nasdaq rules. Prior to consummation of the merger, DXL intends to file an initial listing application with Nasdaq pursuant to Nasdaq’s “reverse merger” rules and to effect the initial listing of DXL common stock issuable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certain lenders under its existing term loan facility and Jim Fogarty (the “private placement investors”), pursuant to which the private placement investors agreed to purchase, and FBB agreed to sell, shares of FBB common stock for an aggregate purchase price of approximately $92 million immediately prior to the consummation of the merger (the “private placement”).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private placement investors subscribed to purchase these shares of FBB common stock through either (i) the payment of cash consideration and/or (ii) the exchange for cancellation of the principal amount of FBB’s outstanding term loan debt owed to such investor (the “debt-for-equity exchange”), with the total proceeds being used to pay down a portion of the outstanding indebtedness under FBB’s term loan facility. In addition, in connection with the private placement, the private placement investors were granted certain registration rights in the merger agreement with respect to the shares of DXL common stock they would receive if the merger is consummated in exchange for shares of FBB common stock.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would occur immediately prior to the closing of the merger and is a condition to closing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and the reverse stock split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would not sell, exchange or dispose of any shares of DXL common stock as a result of the merger if the merger is consummated. Thus, there would be no material U.S. federal income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consequences to DXL stockholders as a result of the merger. DXL stockholders would not be expected to recognize gain or loss upon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material U.S. federal income tax consequences of the merger and the reverse stock split, please see the section entitled “</w:t>
      </w:r>
      <w:r>
        <w:rPr>
          <w:rFonts w:ascii="Times New Roman" w:hAnsi="Times New Roman"/>
          <w:i/>
          <w:sz w:val="20"/>
        </w:rPr>
        <w:t>The Merger—Material U.S. Federal Income Tax Consequences of the Merger and the Reverse Stock Split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shall constitute a quorum for the transaction of business. Abstentions and broker non-votes will be included in determining the number of shares present and entitled to vote at the meeting for the purpose of determining the presence of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vote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i/>
                <w:sz w:val="20"/>
              </w:rPr>
              <w:t>Issuance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issuance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Reverse stock split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reverse stock split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2016 plan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2016 plan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adjournment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serve on the board of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DXL’s board of directors would consist of nine directors. The board would include four directors designated by DXL, consisting of Lionel F. Conacher, Carmen R. Bauza, Jack Boyle and Willem Mesdag. The board would also include four directors designated by FBB, consisting of Jim Fogarty, Yasir Anwar, Steven Tesoriere, and Josh Beer. One independent director would be mutually agreed to by DXL and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lead the combined company as senior management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Jim Fogarty would serve as chief executive officer of DXL. Mr. Fogarty currently serves as chief executive officer of FBB. Peter Stratton would continue to serve as chief financial officer of DXL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DXL stockholders already committed to voting in favor of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As of the record date, such stockholders collectively beneficially owned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DXL’s outstanding common stock, including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which were beneficially owned by PLP.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current DXL directors, DXL’s chief financial officer, the former chief executive officer and former director of DXL, and PLP, which are parties to voting agreements, DXL is not aware of any other member of management or other stockholder who owned more than 5% of DXL’s outstanding common stock as of the record date that has indicated whether he, she, or it intends to vote in favor of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12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my proxy and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submit a proxy or attend the special meeting in person, it will be more difficult for DXL to obtain the necessary quorum to hold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take place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at DXL’s corporate offices located at 555 Turnpike Street, Canton, Massachusetts 02021.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shares of DXL common stock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record date for the special meeting (the “record date”) are entitled to receive notice of, attend the special meeting and any adjournment or postponement thereof, and vote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and vote at the special meeting only if you were a DXL stockholder as of the record date or hold a valid proxy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this proxy statement and have decided how you wish to vote your shares of DXL common stock, please vote your shares promptly so that your shares are represented and voted at the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vote my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DXL common stock may vote by proxy or in person at the special meeting. If you hold your shares of DXL common stock in your name as a holder of record, to submit a proxy, you, as a holder of DXL common stock, may use one of the following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the toll-free number indicated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visiting the website indicated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and returning the accompanying proxy card in the enclosed postage-paid envelope. The envelope requires no additional postage if mailed in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proxy card must be received prior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holder’s shares are held in “street name” by a bank, broker, or other nominee, the holder should check the voting form used by that firm to determine whether the holder may vote by telephone or the Internet.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DXL recommends that you vote your shares in advance as described below so that your vote will be counted if you later decide not to or become unable to attend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or broker, will my bank or broker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bank or broker cannot vote your shares on proposals 1, 2 and 3, but may vote your shares on proposal 4, without instructions from you. If your shares are held in “street name” through a bank, broker or other nominee, you must provide the record holder of your shares of DXL common stock with instructions on how to vote the shares. Please follow the voting instructions provided by the bank or broker. You may not vote shares held in street name by returning a proxy card directly to DXL, or by voting at the special meeting, unless you provide a “legal proxy”, which you must obtain from your broker, bank, or other nominee. Further, brokers, banks, or other nominees who hold shares of DXL common stock on behalf of their customers may not give a proxy to DXL to vote those shares with respect to any of the proposals without specific instructions from their customers, as brokers, banks, and other nominees do not have discretionary voting power on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delivered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the record holder of your shares, you may revoke your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a broker, bank, or other nominee, you should contact your broker, bank, or other nominee to change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receive more than one set of voting materials, including multiple copies of this proxy statement and multiple proxy cards or voting instruction cards. For example, if you hold shares of DXL common stock in more than one brokerage account, you will receive a separate voting instruction card for each brokerage account in which you hold such shares. If you are a holder of record of DXL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 to ensure that you vote every share of DXL common stock that you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DXL stockholders are not entitled to appraisal rights in connection with the merger or any of the proposals to be voted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Have FBB stockholders agreed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 December 11, 2025, FBB stockholders adopted the merger agreement and approved the merger and related transactions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will equally share the cost of the printing, mailing and filing of this proxy statement and the fees paid to a financial printer or the SEC. DXL will pay any other fees and expenses incurred by it. DXL and FBB may use the services of their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76201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r>
        <w:rPr>
          <w:rFonts w:ascii="Times New Roman" w:hAnsi="Times New Roman"/>
          <w:b/>
          <w:sz w:val="20"/>
          <w:bdr w:val="single" w:sz="8" w:space="1" w:color="000000"/>
        </w:rPr>
        <w:t>As described elsewhere in this proxy statement, the DXL Board has continued to evaluate the merger, including developments since the execution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and has withdrawn its prior recommendation in favor of the merger and the issuance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and now recommends that stockholders vote “AGAINST” the issuance proposal.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Destination XL Group,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555 Turnpike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Massachusetts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(781) 828-9300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Destination XL Group, Inc., a Delaware corporation (“DXL”), is the leading specialty retailer of big + tall men’s apparel with retail locations throughout the United States. DXL operates under the trade names of Destination XL®, DXL®, DXL® Big + Tall, DXL Men’s Apparel, DXL outlets, Casual Male XL® and Casual Male XL outlets. At May 2, 2026, DXL operated 293 stores, consisting of 257 DXL retail stores, 17 DXL outlet stores, 5 Casual Male XL retail stores, 14 Casual Male XL outlet stores, and a digital business, including an e-commerce site at </w:t>
      </w:r>
      <w:r>
        <w:rPr>
          <w:rFonts w:ascii="Times New Roman" w:hAnsi="Times New Roman"/>
          <w:i/>
          <w:sz w:val="20"/>
          <w:bdr w:val="single" w:sz="8" w:space="1" w:color="000000"/>
        </w:rPr>
        <w:t xml:space="preserve">www.dxl.com, </w:t>
      </w:r>
      <w:r>
        <w:rPr>
          <w:rFonts w:ascii="Times New Roman" w:hAnsi="Times New Roman"/>
          <w:sz w:val="20"/>
          <w:bdr w:val="single" w:sz="8" w:space="1" w:color="000000"/>
        </w:rPr>
        <w:t xml:space="preserve">a mobile site </w:t>
      </w:r>
      <w:r>
        <w:rPr>
          <w:rFonts w:ascii="Times New Roman" w:hAnsi="Times New Roman"/>
          <w:i/>
          <w:sz w:val="20"/>
          <w:bdr w:val="single" w:sz="8" w:space="1" w:color="000000"/>
        </w:rPr>
        <w:t>m.destinationXL.com</w:t>
      </w:r>
      <w:r>
        <w:rPr>
          <w:rFonts w:ascii="Times New Roman" w:hAnsi="Times New Roman"/>
          <w:sz w:val="20"/>
          <w:bdr w:val="single" w:sz="8" w:space="1" w:color="000000"/>
        </w:rPr>
        <w:t xml:space="preserve"> and mobile app.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FBB Holdings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New York Plaza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York, New York 10004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(212) 613-9500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Holdings I, Inc., a Delaware corporation (“FBB”) and parent company of 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collectively offering more than 100 individual brands.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Combined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of the combined company would be expected to be located in Canton,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the merger subsidiary, a wholly owned direct subsidiary of DXL formed by DXL in connection with the merger, would merge with and into FBB, with FBB continuing as the surviving corporation as a wholly owned subsidiary of DXL.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Accordingly, the DXL Board unanimously recommends that DXL stockholders vote (i) </w:t>
      </w:r>
      <w:r>
        <w:rPr>
          <w:rFonts w:ascii="Times New Roman" w:hAnsi="Times New Roman"/>
          <w:sz w:val="20"/>
          <w:bdr w:val="single" w:sz="8" w:space="1" w:color="000000"/>
        </w:rPr>
        <w:t>“</w:t>
      </w:r>
      <w:r>
        <w:rPr>
          <w:rFonts w:ascii="Times New Roman" w:hAnsi="Times New Roman"/>
          <w:b/>
          <w:sz w:val="20"/>
          <w:bdr w:val="single" w:sz="8" w:space="1" w:color="000000"/>
        </w:rPr>
        <w:t xml:space="preserve">AGAINST” the issuance proposal, (ii) </w:t>
      </w:r>
      <w:r>
        <w:rPr>
          <w:rFonts w:ascii="Times New Roman" w:hAnsi="Times New Roman"/>
          <w:sz w:val="20"/>
          <w:bdr w:val="single" w:sz="8" w:space="1" w:color="000000"/>
        </w:rPr>
        <w:t>“</w:t>
      </w:r>
      <w:r>
        <w:rPr>
          <w:rFonts w:ascii="Times New Roman" w:hAnsi="Times New Roman"/>
          <w:b/>
          <w:sz w:val="20"/>
          <w:bdr w:val="single" w:sz="8" w:space="1" w:color="000000"/>
        </w:rPr>
        <w:t>FOR” the reverse stock split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(iii)</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FOR” the 2016 plan proposal, and (iv) </w:t>
      </w:r>
      <w:r>
        <w:rPr>
          <w:rFonts w:ascii="Times New Roman" w:hAnsi="Times New Roman"/>
          <w:sz w:val="20"/>
          <w:bdr w:val="single" w:sz="8" w:space="1" w:color="000000"/>
        </w:rPr>
        <w:t>“</w:t>
      </w:r>
      <w:r>
        <w:rPr>
          <w:rFonts w:ascii="Times New Roman" w:hAnsi="Times New Roman"/>
          <w:b/>
          <w:sz w:val="20"/>
          <w:bdr w:val="single" w:sz="8" w:space="1" w:color="000000"/>
        </w:rPr>
        <w:t>FOR” the 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in December 2025 to approve the merger agreement, the merger and the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considerations associated with combining the businesses, operations and assets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the combined company following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LLC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defined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May 2026 FBB-Provided Financial Projections as an indication of FBB’s most likely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w:t>
            </w:r>
            <w:r>
              <w:rPr>
                <w:rFonts w:ascii="Times New Roman" w:hAnsi="Times New Roman"/>
                <w:b/>
                <w:sz w:val="20"/>
              </w:rPr>
              <w:t>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Board’s concerns regarding FBB’s financial condition, operating performance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The DXL Board determined that, taken together, the risks and uncertainties associated with the merger, including those described above and in the section entitled “</w:t>
      </w:r>
      <w:r>
        <w:rPr>
          <w:rFonts w:ascii="Times New Roman" w:hAnsi="Times New Roman"/>
          <w:i/>
          <w:sz w:val="20"/>
          <w:bdr w:val="single" w:sz="8" w:space="1" w:color="000000"/>
        </w:rPr>
        <w:t>Risk Factors</w:t>
      </w:r>
      <w:r>
        <w:rPr>
          <w:rFonts w:ascii="Times New Roman" w:hAnsi="Times New Roman"/>
          <w:b/>
          <w:sz w:val="20"/>
          <w:bdr w:val="single" w:sz="8" w:space="1" w:color="00000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on the DXL Board’s recommendation, please see the section entitled “</w:t>
      </w:r>
      <w:r>
        <w:rPr>
          <w:rFonts w:ascii="Times New Roman" w:hAnsi="Times New Roman"/>
          <w:i/>
          <w:sz w:val="20"/>
          <w:bdr w:val="single" w:sz="8" w:space="1" w:color="000000"/>
        </w:rPr>
        <w:t>The Merger—DXL’s Reasons for Recommending Against the Issuance Proposal; Updated Recommendation of the DXL Board</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December 2025 Opinion of Guggenheim Securities, Financial Advisor to DXL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w:t>
      </w:r>
      <w:r>
        <w:rPr>
          <w:rFonts w:ascii="Times New Roman" w:hAnsi="Times New Roman"/>
          <w:sz w:val="20"/>
          <w:bdr w:val="single" w:sz="8" w:space="1" w:color="000000"/>
        </w:rPr>
        <w:t xml:space="preserve"> </w:t>
      </w:r>
      <w:r>
        <w:rPr>
          <w:rFonts w:ascii="Times New Roman" w:hAnsi="Times New Roman"/>
          <w:b/>
          <w:sz w:val="20"/>
          <w:bdr w:val="single" w:sz="8" w:space="1" w:color="000000"/>
        </w:rPr>
        <w:t>rely on the December 2025 Opinion expressed in Guggenheim Securities’ December 10, 2025 letter to the</w:t>
      </w:r>
      <w:r>
        <w:rPr>
          <w:rFonts w:ascii="Times New Roman" w:hAnsi="Times New Roman"/>
          <w:sz w:val="20"/>
          <w:bdr w:val="single" w:sz="8" w:space="1" w:color="000000"/>
        </w:rPr>
        <w:t xml:space="preserve"> </w:t>
      </w:r>
      <w:r>
        <w:rPr>
          <w:rFonts w:ascii="Times New Roman" w:hAnsi="Times New Roman"/>
          <w:b/>
          <w:sz w:val="20"/>
          <w:bdr w:val="single" w:sz="8" w:space="1" w:color="000000"/>
        </w:rPr>
        <w:t>DXL Board or on the financial analyses Guggenheim Securities reviewed with the DXL Board at the</w:t>
      </w:r>
      <w:r>
        <w:rPr>
          <w:rFonts w:ascii="Times New Roman" w:hAnsi="Times New Roman"/>
          <w:sz w:val="20"/>
          <w:bdr w:val="single" w:sz="8" w:space="1" w:color="000000"/>
        </w:rPr>
        <w:t xml:space="preserve"> </w:t>
      </w:r>
      <w:r>
        <w:rPr>
          <w:rFonts w:ascii="Times New Roman" w:hAnsi="Times New Roman"/>
          <w:b/>
          <w:sz w:val="20"/>
          <w:bdr w:val="single" w:sz="8" w:space="1" w:color="000000"/>
        </w:rPr>
        <w:t>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w:t>
      </w:r>
      <w:r>
        <w:rPr>
          <w:rFonts w:ascii="Times New Roman" w:hAnsi="Times New Roman"/>
          <w:sz w:val="20"/>
          <w:bdr w:val="single" w:sz="8" w:space="1" w:color="000000"/>
        </w:rPr>
        <w:t xml:space="preserve"> </w:t>
      </w:r>
      <w:r>
        <w:rPr>
          <w:rFonts w:ascii="Times New Roman" w:hAnsi="Times New Roman"/>
          <w:b/>
          <w:sz w:val="20"/>
          <w:bdr w:val="single" w:sz="8" w:space="1" w:color="000000"/>
        </w:rPr>
        <w:t>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connection with the merger, Guggenheim Securities rendered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The December 2025 Opinion was provided to the DXL Board (in its capacity as such) for its information and assistance in connection with its evaluation of the merger consideration in December 2025. The full text of the December 2025 Opinion, which was rendered only on and as of December 10, 2025 and has not been and will not be updated, is attached as Annex B to this proxy statement and which you should read carefully and in its entirety, is subject to the assumptions, limitations, qualifications and other conditions contained in such opinion and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December 2025 Opinion that Guggenheim Securities provided to the DXL Board, please see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May 2026 Supplemental Financial Analyses Prepared by</w:t>
      </w:r>
      <w:r>
        <w:rPr>
          <w:rFonts w:ascii="Times New Roman" w:hAnsi="Times New Roman"/>
          <w:sz w:val="20"/>
          <w:bdr w:val="single" w:sz="8" w:space="1" w:color="000000"/>
        </w:rPr>
        <w:t xml:space="preserve"> </w:t>
      </w:r>
      <w:r>
        <w:rPr>
          <w:rFonts w:ascii="Times New Roman" w:hAnsi="Times New Roman"/>
          <w:b/>
          <w:sz w:val="20"/>
          <w:bdr w:val="single" w:sz="8" w:space="1" w:color="000000"/>
        </w:rPr>
        <w:t>Guggenheim Securities, Financial Advisor to DXL</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w:t>
      </w:r>
      <w:r>
        <w:rPr>
          <w:rFonts w:ascii="Times New Roman" w:hAnsi="Times New Roman"/>
          <w:sz w:val="20"/>
          <w:bdr w:val="single" w:sz="8" w:space="1" w:color="000000"/>
        </w:rPr>
        <w:t xml:space="preserve"> </w:t>
      </w:r>
      <w:r>
        <w:rPr>
          <w:rFonts w:ascii="Times New Roman" w:hAnsi="Times New Roman"/>
          <w:b/>
          <w:sz w:val="20"/>
          <w:bdr w:val="single" w:sz="8" w:space="1" w:color="000000"/>
        </w:rPr>
        <w:t>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May 2026 Supplemental Financial Analyses were</w:t>
      </w:r>
      <w:r>
        <w:rPr>
          <w:rFonts w:ascii="Times New Roman" w:hAnsi="Times New Roman"/>
          <w:sz w:val="20"/>
          <w:bdr w:val="single" w:sz="8" w:space="1" w:color="000000"/>
        </w:rPr>
        <w:t xml:space="preserve"> </w:t>
      </w:r>
      <w:r>
        <w:rPr>
          <w:rFonts w:ascii="Times New Roman" w:hAnsi="Times New Roman"/>
          <w:b/>
          <w:sz w:val="20"/>
          <w:bdr w:val="single" w:sz="8" w:space="1" w:color="000000"/>
        </w:rPr>
        <w:t>provided to the DXL Board (in its capacity as such) for its information and assistance in connection with its ongoing evaluation of the merger. The May 2026</w:t>
      </w:r>
      <w:r>
        <w:rPr>
          <w:rFonts w:ascii="Times New Roman" w:hAnsi="Times New Roman"/>
          <w:sz w:val="20"/>
          <w:bdr w:val="single" w:sz="8" w:space="1" w:color="000000"/>
        </w:rPr>
        <w:t xml:space="preserve"> </w:t>
      </w:r>
      <w:r>
        <w:rPr>
          <w:rFonts w:ascii="Times New Roman" w:hAnsi="Times New Roman"/>
          <w:b/>
          <w:sz w:val="20"/>
          <w:bdr w:val="single" w:sz="8" w:space="1" w:color="000000"/>
        </w:rPr>
        <w:t>Supplemental Financial Analyses do not constitute an opinion, view, report or appraisal as to the fairness, from a financial point of view,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consideration</w:t>
      </w:r>
      <w:r>
        <w:rPr>
          <w:rFonts w:ascii="Times New Roman" w:hAnsi="Times New Roman"/>
          <w:sz w:val="20"/>
          <w:bdr w:val="single" w:sz="8" w:space="1" w:color="000000"/>
        </w:rPr>
        <w:t xml:space="preserve"> </w:t>
      </w:r>
      <w:r>
        <w:rPr>
          <w:rFonts w:ascii="Times New Roman" w:hAnsi="Times New Roman"/>
          <w:b/>
          <w:sz w:val="20"/>
          <w:bdr w:val="single" w:sz="8" w:space="1" w:color="000000"/>
        </w:rPr>
        <w:t>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DXL Board’s ongoing evaluation of the merger, (i) DXL’s senior management updated the December 2025 DXL-Provided Financial Projections for DXL and the December 2025 Synergy Estimates, all as prepared by, discussed with and approved for Guggenheim Securities’ use by DXL’s senior management and (ii) FBB’s senior management updated the December 2025 FBB-Provided Financial Projections (such defined terms in clauses (i) and (ii), each as defined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as prepared by and discussed with DXL’s and FBB’s respective senior management. Guggenheim Securities was directed by the DXL Board to rely upon the May 2026 DXL-Provided Financial Projections for DXL and FBB and the May 2026 Synergy Estimates in connection with the preparation of the May 2026 Supplemental Financial Analyses.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May 2026 Supplemental Financial Analyses that Guggenheim Securities provided to the DXL Board and the defined terms used in this summary section, please see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Summary Comparison of Key Analytical Results — 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This “</w:t>
      </w:r>
      <w:r>
        <w:rPr>
          <w:rFonts w:ascii="Times New Roman" w:hAnsi="Times New Roman"/>
          <w:i/>
          <w:sz w:val="20"/>
          <w:bdr w:val="single" w:sz="8" w:space="1" w:color="000000"/>
        </w:rPr>
        <w:t xml:space="preserve">Summary Comparison of Key Analytical Results </w:t>
      </w:r>
      <w:r>
        <w:rPr>
          <w:rFonts w:ascii="Times New Roman" w:hAnsi="Times New Roman"/>
          <w:sz w:val="20"/>
          <w:bdr w:val="single" w:sz="8" w:space="1" w:color="000000"/>
        </w:rPr>
        <w:t xml:space="preserve">— </w:t>
      </w:r>
      <w:r>
        <w:rPr>
          <w:rFonts w:ascii="Times New Roman" w:hAnsi="Times New Roman"/>
          <w:i/>
          <w:sz w:val="20"/>
          <w:bdr w:val="single" w:sz="8" w:space="1" w:color="000000"/>
        </w:rPr>
        <w:t>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Should be read only together with, and is qualified in its entirety by the caveats, disclaimers, limitations, qualifications and other considerations noted in, the sections entitled “</w:t>
            </w:r>
            <w:r>
              <w:rPr>
                <w:rFonts w:ascii="Times New Roman" w:hAnsi="Times New Roman"/>
                <w:i/>
                <w:sz w:val="20"/>
              </w:rPr>
              <w:t>The Merger</w:t>
            </w:r>
            <w:r>
              <w:rPr>
                <w:rFonts w:ascii="Times New Roman" w:hAnsi="Times New Roman"/>
                <w:sz w:val="20"/>
              </w:rPr>
              <w:t>—December 2025 Opinion of Guggenheim Securities, Financial Advisor to DXL” and “</w:t>
            </w:r>
            <w:r>
              <w:rPr>
                <w:rFonts w:ascii="Times New Roman" w:hAnsi="Times New Roman"/>
                <w:i/>
                <w:sz w:val="20"/>
              </w:rPr>
              <w:t>The Merger</w:t>
            </w:r>
            <w:r>
              <w:rPr>
                <w:rFonts w:ascii="Times New Roman" w:hAnsi="Times New Roman"/>
                <w:sz w:val="20"/>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intended to summarize all aspects of Guggenheim Securities’ financial analyses in connection with the December 2025 Opinion or the May 2026 Supplemental Financial Analyses.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summary comparison of key analytical results from the December 2025 Opinion and the May 2026 Supplemental Financial Analyses, respectively: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879"/>
        <w:gridCol w:w="349"/>
        <w:gridCol w:w="1392"/>
        <w:gridCol w:w="349"/>
        <w:gridCol w:w="1419"/>
      </w:tblGrid>
      <w:tr>
        <w:trPr/>
        <w:tc>
          <w:tcPr>
            <w:tcW w:w="587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9388" w:type="dxa"/>
            <w:gridSpan w:val="5"/>
            <w:tcBorders/>
            <w:vAlign w:val="bottom"/>
          </w:tcPr>
          <w:p>
            <w:pPr>
              <w:pStyle w:val="TableContents"/>
              <w:bidi w:val="0"/>
              <w:spacing w:before="0" w:after="283"/>
              <w:jc w:val="center"/>
              <w:rPr>
                <w:b/>
              </w:rPr>
            </w:pPr>
            <w:r>
              <w:rPr>
                <w:b/>
              </w:rPr>
              <w:t>Summary Comparison of Key Analytical Results</w:t>
              <w:br/>
              <w:t>($ in millions, except per share data)</w:t>
            </w:r>
          </w:p>
        </w:tc>
      </w:tr>
      <w:tr>
        <w:trPr/>
        <w:tc>
          <w:tcPr>
            <w:tcW w:w="5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Standalone DCF Equity Value (Midpoints)</w:t>
            </w:r>
          </w:p>
        </w:tc>
        <w:tc>
          <w:tcPr>
            <w:tcW w:w="349"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83"/>
              <w:jc w:val="center"/>
              <w:rPr>
                <w:b/>
              </w:rPr>
            </w:pPr>
            <w:r>
              <w:rPr>
                <w:b/>
              </w:rPr>
              <w:t>December</w:t>
              <w:br/>
              <w:t>2025 Opinion</w:t>
            </w:r>
          </w:p>
        </w:tc>
        <w:tc>
          <w:tcPr>
            <w:tcW w:w="349"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May 2026</w:t>
              <w:br/>
              <w:t>Supplemental</w:t>
              <w:br/>
              <w:t>Financial</w:t>
              <w:br/>
              <w:t>Analyses</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shd w:fill="CCEEFF" w:val="clear"/>
          </w:tcPr>
          <w:p>
            <w:pPr>
              <w:pStyle w:val="TableContents"/>
              <w:bidi w:val="0"/>
              <w:spacing w:before="0" w:after="283"/>
              <w:jc w:val="left"/>
              <w:rPr>
                <w:b/>
              </w:rPr>
            </w:pPr>
            <w:r>
              <w:rPr>
                <w:b/>
              </w:rPr>
              <w:t>DXL Including Net Operating Loss Tax Benefit per Share</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$1.72</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$1.40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tcPr>
          <w:p>
            <w:pPr>
              <w:pStyle w:val="TableContents"/>
              <w:bidi w:val="0"/>
              <w:spacing w:before="0" w:after="0"/>
              <w:jc w:val="left"/>
              <w:rPr>
                <w:rFonts w:ascii="Times New Roman" w:hAnsi="Times New Roman"/>
                <w:b/>
                <w:sz w:val="20"/>
              </w:rPr>
            </w:pPr>
            <w:r>
              <w:rPr>
                <w:rFonts w:ascii="Times New Roman" w:hAnsi="Times New Roman"/>
                <w:b/>
                <w:sz w:val="20"/>
              </w:rPr>
              <w:t>FBB Including §163(j) Tax Benefit</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$129</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($14)</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DXL DCF-Based Equity Value Contribution (Based on Midpoint</w:t>
              <w:br/>
              <w:t>Standalone DCF Equity Values for DXL and FBB)</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44%</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100%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b/>
                <w:sz w:val="20"/>
              </w:rPr>
              <w:t xml:space="preserve">DXL </w:t>
            </w:r>
            <w:r>
              <w:rPr>
                <w:rFonts w:ascii="Times New Roman" w:hAnsi="Times New Roman"/>
                <w:b/>
                <w:i/>
                <w:sz w:val="20"/>
              </w:rPr>
              <w:t>Pro Forma</w:t>
            </w:r>
            <w:r>
              <w:rPr>
                <w:rFonts w:ascii="Times New Roman" w:hAnsi="Times New Roman"/>
                <w:sz w:val="20"/>
              </w:rPr>
              <w:t xml:space="preserve"> </w:t>
            </w:r>
            <w:r>
              <w:rPr>
                <w:rFonts w:ascii="Times New Roman" w:hAnsi="Times New Roman"/>
                <w:b/>
                <w:sz w:val="20"/>
              </w:rPr>
              <w:t>DCF Accretion/(Dilution) Analysis</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+87%(1)</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+4%(2)</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Required Incremental Debt Reduction by FBB for Equivalent</w:t>
              <w:br/>
              <w:t>Value Proposition for DXL’s Stockholders</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N/A</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($112)</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$30.0 million.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$22.5 million (i.e., midpoint of $20.0 million and $25.0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of Guggenheim Securities’ financial analyses regarding FBB reflect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discussing the May 2026 Supplemental Financial Analyses with the DXL Board, Guggenheim Securities noted that the primary drivers of the variances in the items in the table above were the May 2026 DXL-Provided Financial Projections for DXL and FBB and the May 2026 Synergy Estimates (each as described in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versus the December 2025 DXL-Provided Financial Projections for DXL and FBB and the December 2025 Synergy Estimates (each as described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Overview of the Merger Agreement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share of FBB common stock outstanding immediately prior to the effective time of the merger (other than (i) “Excluded Shares”, (ii) “Appraisal Shares”, and (iii) “Unaccredited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DXL or merger subsidiary immediately prior to the effective time of the merger. At the effective time of the merger, if consummated, all Excluded Shares would be cancelled and cease to exist and no consideration would be delivered in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merger, if consummated,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cash consideration for the Unaccredited Investor Shares, without any interest thereon.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Exchange Ratio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Unaccredited Investor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FBB common stock held immediately prior to the effective time by an FBB stockholder that is an unaccredited investor would be converted into the right to receive the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FBB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DXL Equity and Performance-Based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DXL performance-based award that is outstanding under the LTIP at the effective time of the merger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2026, the last practicable date before the printing of the proxy statement, the closing price per share of DXL common stock as reported on Nasdaq was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Approval of the 2016 plan proposal and the adjournment proposal are not conditions to the completion of the merger with FBB. Additionally, each of the other closing conditions set forth in the merger agreement and described in the section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of Acquisition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an FBB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 DXL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Expense Reimbursement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DXL or FBB can terminate the merger agreement under specified circumstances, which would prevent the merger from being consummated. The merger agreement provides for the payment of a termination fee of $2.5 million by either DXL or FBB to the other party upon termination of the merger agreement under specified circumstances, and up to a maximum of $950,000 for all reasonable out-of-pocket fees and expenses incurred by either DXL or FBB in connection with the negotiation of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Nasdaq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 agreement, the current directors (including DXL’s interim chief executive officer), DXL’s chief financial officer, the former chief executive officer and former director of DXL, and Fund 1 Investments, LLC (an entity of which Pleasant Lake Partners LLC serves as investment advisor) (“PLP”) entered into voting agreements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deliver a written consent with respect to, all shares held by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against any Adverse Proposal (described in the section entitled “</w:t>
            </w:r>
            <w:r>
              <w:rPr>
                <w:rFonts w:ascii="Times New Roman" w:hAnsi="Times New Roman"/>
                <w:i/>
                <w:sz w:val="20"/>
              </w:rPr>
              <w:t>Agreements Related To The Merger—Voting Agreements</w:t>
            </w:r>
            <w:r>
              <w:rPr>
                <w:rFonts w:ascii="Times New Roman" w:hAnsi="Times New Roman"/>
                <w:sz w:val="20"/>
              </w:rPr>
              <w:t xml:space="preserve">”), except as permitted under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the DXL’s chief financial officer, and the former chief executive officer and former director of DXL also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current directors (including DXL’s interim chief executive officer), DXL’s chief financial officer, the former chief executive officer and former director of DXL, and PLP hold, in the aggregate, voting shares representing [●]% of the issued and outstanding shares of DXL common stock as of the record date and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of the votes entitled to be cast at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which reflect the decisions of the respective stockholders as of the execution of the merger agreement, may increase the likelihood that the issuance proposal is approved notwithstanding the DXL Board’s recommendation against 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Lock-Up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certain stockholders of FBB, expected to represent approximately [●]%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in connection with the private placement, the private placement investors were granted certain registration rights with respect to the shares of DXL common stock they would receive in the merger in exchange for shares of FBB common stock. Such registration rights would require the combined company to use reasonable best efforts to prepare and file a registration statement with the SEC as soon as practicable following the closing of the merger, if consummated, but in no event later than the 30th day following such closing to register the resale of the shares purchased in the private placement. The closing of the private placement is expected to occur immediately prior to the closing of the merger and is a condition to closing the merger. The private placement is discussed in more detail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at the effective time of the merger, the executive management team of the combined company would be expected to include the following individuals: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 with the Combined</w:t>
            </w:r>
          </w:p>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 Position with either DXL</w:t>
            </w:r>
          </w:p>
          <w:p>
            <w:pPr>
              <w:pStyle w:val="TableContents"/>
              <w:bidi w:val="0"/>
              <w:spacing w:before="0" w:after="20"/>
              <w:jc w:val="center"/>
              <w:rPr>
                <w:rFonts w:ascii="Times New Roman" w:hAnsi="Times New Roman"/>
                <w:b/>
                <w:sz w:val="16"/>
              </w:rPr>
            </w:pPr>
            <w:r>
              <w:rPr>
                <w:rFonts w:ascii="Times New Roman" w:hAnsi="Times New Roman"/>
                <w:b/>
                <w:sz w:val="16"/>
              </w:rPr>
              <w:t>or FBB</w:t>
            </w:r>
          </w:p>
        </w:tc>
      </w:tr>
      <w:tr>
        <w:trPr/>
        <w:tc>
          <w:tcPr>
            <w:tcW w:w="3573" w:type="dxa"/>
            <w:tcBorders/>
          </w:tcPr>
          <w:p>
            <w:pPr>
              <w:pStyle w:val="TableContents"/>
              <w:bidi w:val="0"/>
              <w:spacing w:before="0" w:after="283"/>
              <w:jc w:val="left"/>
              <w:rPr/>
            </w:pPr>
            <w:r>
              <w:rPr/>
              <w:t>Jim Fogarty</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Executive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Executive Officer of FBB</w:t>
            </w:r>
          </w:p>
        </w:tc>
      </w:tr>
      <w:tr>
        <w:trPr/>
        <w:tc>
          <w:tcPr>
            <w:tcW w:w="3573" w:type="dxa"/>
            <w:tcBorders/>
          </w:tcPr>
          <w:p>
            <w:pPr>
              <w:pStyle w:val="TableContents"/>
              <w:bidi w:val="0"/>
              <w:spacing w:before="0" w:after="283"/>
              <w:jc w:val="left"/>
              <w:rPr/>
            </w:pPr>
            <w:r>
              <w:rPr/>
              <w:t>Peter H. Stratton, Jr.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Financial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Financial Officer of DXL</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Board of Directors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DXL’s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DXL’s directors and executive officers have economic interests in the merger that are different from, or in addition to, those of DXL stockholders generally. These interests are discussed in more detail in the section entitled “</w:t>
      </w:r>
      <w:r>
        <w:rPr>
          <w:rFonts w:ascii="Times New Roman" w:hAnsi="Times New Roman"/>
          <w:i/>
          <w:sz w:val="20"/>
          <w:bdr w:val="single" w:sz="8" w:space="1" w:color="000000"/>
        </w:rPr>
        <w:t>The Merger—Interests of DXL’s Directors and Executive Officers in the Merger</w:t>
      </w:r>
      <w:r>
        <w:rPr>
          <w:rFonts w:ascii="Times New Roman" w:hAnsi="Times New Roman"/>
          <w:sz w:val="20"/>
          <w:bdr w:val="single" w:sz="8" w:space="1" w:color="000000"/>
        </w:rPr>
        <w:t xml:space="preserve">”. The DXL Board was aware of and considered these interests, among other matters, in reaching its decision to approve the merger agreement in December 2025, and in evaluating and negotiating the merger agreement and the merger. Following developments since the execution of the merger agreement, the DXL Board now recommends that DXL stockholders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Federal Securities Law Consequences; Resale Restrictions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that less than thirty (30) holders of FBB common stock have not executed an investor questionnaire certifying that such stockholder is an “accredited investor” pursuant to Regulation D under the Securities Act (such investors “unaccredited investors”).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 and the 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material U.S. federal income tax consequences of the reverse stock split and merger, please see the section entitled “</w:t>
      </w:r>
      <w:r>
        <w:rPr>
          <w:rFonts w:ascii="Times New Roman" w:hAnsi="Times New Roman"/>
          <w:i/>
          <w:sz w:val="20"/>
          <w:bdr w:val="single" w:sz="8" w:space="1" w:color="000000"/>
        </w:rPr>
        <w:t>The Merger—Material U.S. Federal Income Tax Consequences of the Merger and the Reverse Stock Split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merger would be treated by DXL as a reverse acquisition under U.S. generally accepted accounting principles (“GAAP”). For accounting purposes, FBB would be considered the accounting acquirer in this transaction even though DXL would be the legal acquirer.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are not entitled to appraisal rights in connection with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no longer recommends that stockholders approve the merger. As a result, stockholders are being asked to vote on a transaction that the DXL Board has determined is not in the best interests of DXL stockholders on its current terms. These developments since the execution of the merger agreement may materially affect stockholders’ assessment of the merger and the likelihood that the merger will be completed.</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bdr w:val="single" w:sz="8" w:space="1" w:color="000000"/>
        </w:rPr>
        <w:t>The Merger</w:t>
      </w:r>
      <w:r>
        <w:rPr>
          <w:rFonts w:ascii="Times New Roman" w:hAnsi="Times New Roman"/>
          <w:sz w:val="20"/>
          <w:bdr w:val="single" w:sz="8" w:space="1" w:color="000000"/>
        </w:rPr>
        <w:t>—</w:t>
      </w:r>
      <w:r>
        <w:rPr>
          <w:rFonts w:ascii="Times New Roman" w:hAnsi="Times New Roman"/>
          <w:b/>
          <w:i/>
          <w:sz w:val="20"/>
          <w:bdr w:val="single" w:sz="8" w:space="1" w:color="000000"/>
        </w:rPr>
        <w:t>May 2026 Supplemental Financial Analyses</w:t>
      </w:r>
      <w:r>
        <w:rPr>
          <w:rFonts w:ascii="Times New Roman" w:hAnsi="Times New Roman"/>
          <w:sz w:val="20"/>
          <w:bdr w:val="single" w:sz="8" w:space="1" w:color="000000"/>
        </w:rPr>
        <w:t xml:space="preserve"> </w:t>
      </w:r>
      <w:r>
        <w:rPr>
          <w:rFonts w:ascii="Times New Roman" w:hAnsi="Times New Roman"/>
          <w:b/>
          <w:i/>
          <w:sz w:val="20"/>
          <w:bdr w:val="single" w:sz="8" w:space="1" w:color="000000"/>
        </w:rPr>
        <w:t>Prepared by Guggenheim Securities, Financial Advisor to DXL”)</w:t>
      </w:r>
      <w:r>
        <w:rPr>
          <w:rFonts w:ascii="Times New Roman" w:hAnsi="Times New Roman"/>
          <w:b/>
          <w:sz w:val="20"/>
          <w:bdr w:val="single" w:sz="8" w:space="1" w:color="000000"/>
        </w:rPr>
        <w:t>, Guggenheim Securities advised the DXL Board that, in light of the May 2026 DXL-Provided Financial Projections and the May 2026 Synergy Estimates (each as defined in the section entitled “</w:t>
      </w:r>
      <w:r>
        <w:rPr>
          <w:rFonts w:ascii="Times New Roman" w:hAnsi="Times New Roman"/>
          <w:b/>
          <w:i/>
          <w:sz w:val="20"/>
          <w:bdr w:val="single" w:sz="8" w:space="1" w:color="000000"/>
        </w:rPr>
        <w:t>The Merger—May 2026 Supplemental Financial Analyses Prepared by Guggenheim</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Securities, Financial Advisor to DXL”)</w:t>
      </w:r>
      <w:r>
        <w:rPr>
          <w:rFonts w:ascii="Times New Roman" w:hAnsi="Times New Roman"/>
          <w:sz w:val="20"/>
          <w:bdr w:val="single" w:sz="8" w:space="1" w:color="000000"/>
        </w:rPr>
        <w:t xml:space="preserve"> </w:t>
      </w:r>
      <w:r>
        <w:rPr>
          <w:rFonts w:ascii="Times New Roman" w:hAnsi="Times New Roman"/>
          <w:b/>
          <w:i/>
          <w:sz w:val="20"/>
          <w:bdr w:val="single" w:sz="8" w:space="1" w:color="000000"/>
        </w:rPr>
        <w:t xml:space="preserve">and the </w:t>
      </w:r>
      <w:r>
        <w:rPr>
          <w:rFonts w:ascii="Times New Roman" w:hAnsi="Times New Roman"/>
          <w:b/>
          <w:sz w:val="20"/>
          <w:bdr w:val="single" w:sz="8" w:space="1" w:color="000000"/>
        </w:rPr>
        <w:t>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DXL and FBB are subject to various risks associated with their businesses and their industries. In addition, the merger, including the possibility that the merger may not be completed, poses a number of risks to each company and its respective stockholders, including the following risks: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create uncertainty regarding the outcome of the stockholder vote and may adversely affect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increase the likelihood that the merger is not consummated and that DXL will be subject to the risks associated with remaining a standalone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encourage alternative transactions or unsolicited proposals, which could create additional uncertainty and volatility.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differing views between DXL and FBB regarding the merger may adversely affect the parties’ ability to complete the transaction or collaborate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FBB and the potential benefits of the merger in this proxy statement is based in part on information provided by FBB, and stockholders are presented with differing perspectives regarding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directors and executive officers have conflicts of interest that may influence them to support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be completed even though material adverse changes may result from the announcement of the merger, industry-wide changes and other causes.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may decline as a result of the merger, if consummated.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not realize a benefit from the merger commensurate with the ownership dilution they will experience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pendency of the merger, DXL may not be able to enter into a business combination with another party and will be subject to contractual limitations on certain actions because of restrictions in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result in an annual limitation on DXL’s ability to utilize its net operating loss carryforwards.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consummate the merger may result in DXL paying a termination fee and/or out-of-pocket fees and expenses to FBB and could harm the price of DXL common stock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merger has consummated, there can be no further recourse by either party or its stockholders for a breach of representation or warranty.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merger agreement may discourage third parties from submitting alternative takeover proposals, including proposals that may be superior to the arrangements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met,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that may be more difficult to sell or require greater transaction costs per share to sell.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reduced number of issued shares of DXL common stock resulting from the reverse stock split could adversely affect the liquidity of DXL common stock and result in higher transaction costs if the merger is not consummated.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Additional discussion of the risks summarized in this risk factor summary, and other risks that DXL and FBB face, can be found below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should be carefully considered, together with other information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6201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common stock is listed for trading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last trading day prior to the public announcement of the proposed merger on December 11, 2025, the closing price per share of DXL common stock as reported on Nasdaq was $1.08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this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and subject to successful application for initial listing with Nasdaq, DXL common stock would be expected to continue to be listed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DXL has never declared or paid cash dividends on DXL common stock. DXL currently anticipates that all of its earnings in the foreseeable future will be used for the operation and growth of its business and paying down debt. Future payment of dividends and share buybacks, if any, will be at the discretion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FBB common stock is not listed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6201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DXL or FBB, the management of either such company or the proposed transaction between DXL or FBB, involve risks and uncertainties that may cause results to differ materially from those set forth in the statements. Forward-looking statements are not historical facts but rather are based on current plans, expectations,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DXL, as well as assumptions made by, and information currently available to management. No forward-looking statement can be guaranteed, and actual results may differ materially from those projected. In light of developments since the execution of the merger agreement as described in this proxy statement, including the DXL Board’s withdrawal of its prior recommendation and its recommendation that stockholders vote “AGAINST” the issuance proposal, the forward-looking statements in this proxy statement should be evaluated in that context. DXL and FBB undertake no obligation to publicly update any forward-looking statement, whether as a result of new information, future events or otherwise, except to the extent required by law. DXL uses words such as “anticipates,” “believes,” “plans,” “expects,” “projects,” “future,” “intends,” “may,” “will,” “should,” “could,” “estimates,” “outlook,” “predicts,” “potential,” “continue,” and similar expressions that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DXL has filed with the SEC as well as the possibility that (i) risks associated with DXL’s ability to obtain the stockholder approval required to consummate the proposed transaction, including approval of the issuance of shares of DXL common stock in the merger and the resulting “change of control” of DXL under the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DXL stockholders to the proposed transaction; (iii) the DXL Board’s recommendation that stockholders vote “AGAINST” the issuance proposal and the resulting uncertainty regarding whether the merger will be completed; (iv) risks related to DXL’s ability to manage its operating expenses and its expenses associated with the proposed transaction pending closing; (v) risks related to the failure or delay in obtaining required approvals from any governmental or quasi-governmental entity necessary to consummate the proposed transaction, including continued listing on Nasdaq; (vi) the risk that as a result of adjustments to the post-closing equity split, DXL stockholders and FBB stockholders could own more or less of the combined company than is currently anticipated; (vii) risks related to the market price of DXL common stock relative to the exchange ratio; (viii) unexpected liabilities, costs, charges, expenditures or expenses resulting from the proposed transaction; (ix) potential adverse reactions or changes to business relationships resulting from the announcement or completion of the proposed transaction; (x) DXL’s ability to retain personnel as a result of the announcement or completion of the proposed transaction; (xi) risks associated with the possible failure to realize certain anticipated benefits of the proposed transaction, including with respect to future financial and operating results; and (xii) risks associated with the possible failure to properly and effectively integrate the proposed transaction. Additionally, forward-looking statements related to FBB’s future expectations are subject to numerous risks and uncertainties. Neither DXL nor FBB gives any assurance that either DXL or FBB will achieve its expectations. </w:t>
      </w:r>
    </w:p>
    <w:p>
      <w:pPr>
        <w:pStyle w:val="TextBody"/>
        <w:bidi w:val="0"/>
        <w:spacing w:before="240" w:after="0"/>
        <w:jc w:val="left"/>
        <w:rPr>
          <w:rFonts w:ascii="Times New Roman" w:hAnsi="Times New Roman"/>
          <w:sz w:val="20"/>
        </w:rPr>
      </w:pPr>
      <w:r>
        <w:rPr>
          <w:rFonts w:ascii="Times New Roman" w:hAnsi="Times New Roman"/>
          <w:sz w:val="20"/>
        </w:rPr>
        <w:t>The foregoing list of factors is not exhaustive. You should carefully consider the foregoing factors and the other risks and uncertainties that affect the businesses of DXL described in the “</w:t>
      </w:r>
      <w:r>
        <w:rPr>
          <w:rFonts w:ascii="Times New Roman" w:hAnsi="Times New Roman"/>
          <w:i/>
          <w:sz w:val="20"/>
        </w:rPr>
        <w:t>Risk Factors</w:t>
      </w:r>
      <w:r>
        <w:rPr>
          <w:rFonts w:ascii="Times New Roman" w:hAnsi="Times New Roman"/>
          <w:sz w:val="20"/>
        </w:rPr>
        <w:t>” section of this proxy statement, DXL’s Annual Report on Form 10-K, Quarterly Reports on Form 10-Q, Current Reports on Form 8-K and other documents filed by DXL from time to time with the SEC. Please see the section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All forward-looking statements included in this proxy statement are based upon information available to DXL and FBB on the date hereof. If any of these risks or uncertainties materialize or any of these assumptions prove incorrect, the results of operations of DXL, FBB or the combined company, if the merger is consummated, could differ materially from the forward-looking statements. All forward-looking statements in this proxy statement are current only as of the date on which the statements were made. DXL and FBB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62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relating to the consummation of the merger and to the combined company following the merger in deciding how to vote for the proposals presented in this proxy statement. These factors should be considered in conjunction with the other information included or incorporated by reference by DXL in this proxy statement. </w:t>
      </w:r>
    </w:p>
    <w:p>
      <w:pPr>
        <w:pStyle w:val="TextBody"/>
        <w:bidi w:val="0"/>
        <w:spacing w:before="480" w:after="0"/>
        <w:jc w:val="center"/>
        <w:rPr>
          <w:rFonts w:ascii="Times New Roman" w:hAnsi="Times New Roman"/>
          <w:b/>
          <w:sz w:val="20"/>
        </w:rPr>
      </w:pPr>
      <w:bookmarkStart w:id="8" w:name="tx76201_6"/>
      <w:bookmarkEnd w:id="8"/>
      <w:r>
        <w:rPr>
          <w:rFonts w:ascii="Times New Roman" w:hAnsi="Times New Roman"/>
          <w:b/>
          <w:sz w:val="20"/>
        </w:rPr>
        <w:t xml:space="preserve">Risks Related to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DXL Board’s recommendation that stockholders vote against the issuance proposal may create uncertainty regarding the outcome of the stockholder vote and may adversely affect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determined to recommend that DXL stockholders vote against the issuance proposal. This recommendation may create significant uncertainty regarding the likelihood that the merger will be consummated. Such uncertainty may result in increased volatility in the trading price of DXL common stock and may adversely affect DXL’s ability to maintain or attract investors, including institutional investors that may have investment mandates tied to transaction outcomes or strategic direction. </w:t>
      </w:r>
    </w:p>
    <w:p>
      <w:pPr>
        <w:pStyle w:val="TextBody"/>
        <w:bidi w:val="0"/>
        <w:spacing w:before="240" w:after="0"/>
        <w:jc w:val="left"/>
        <w:rPr>
          <w:rFonts w:ascii="Times New Roman" w:hAnsi="Times New Roman"/>
          <w:sz w:val="20"/>
        </w:rPr>
      </w:pPr>
      <w:r>
        <w:rPr>
          <w:rFonts w:ascii="Times New Roman" w:hAnsi="Times New Roman"/>
          <w:sz w:val="20"/>
        </w:rPr>
        <w:t xml:space="preserve">Moreover, market participants may interpret the DXL Board’s recommendation as an indication that the merger is not in the best interests of DXL or its stockholders or that there are risks or uncertainties not fully reflected in the trading price of DXL common stock, which could negatively impact investor confidence and the market price of DXL common stock, potentially for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that stockholders vote against the issuance proposal, which resulted from the DXL Board’s ongoing evaluation of the merger and its fiduciary obligations to DXL and its stockholders, has resulted, and may continue to result in disagreements with FBB regarding the parties’ respective rights and obligations under the merger agreement, including provisions governing changes in recommendation, fiduciary duties, efforts covenants or termination rights. </w:t>
      </w:r>
    </w:p>
    <w:p>
      <w:pPr>
        <w:pStyle w:val="TextBody"/>
        <w:bidi w:val="0"/>
        <w:spacing w:before="24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The Merger—Background of the Merger</w:t>
      </w:r>
      <w:r>
        <w:rPr>
          <w:rFonts w:ascii="Times New Roman" w:hAnsi="Times New Roman"/>
          <w:sz w:val="20"/>
        </w:rPr>
        <w:t xml:space="preserve">,” FBB has asserted that DXL breached its obligations under the merger agreement in connection with the preparation of the proxy statement and related timing matters. DXL strongly disputes those allegations and believes it has complied with its obligations under the merger agreement. FBB may pursue litigation or other remedies based on those allegations or other claims relating to the parties’ respective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Such disputes may result in litigation, including actions seeking damages, injunctive relief or the enforcement of contractual provisions, including specific performance, which could be costly and time-consuming and could divert management’s attention from DXL’s business and, if adversely determined, could result in monetary or equitable remedies that could have a material adverse effect on DXL’s financial condition and results of operations. In addition, such disputes or litigation could delay or prevent the completion of the merger, increase transaction-related costs and uncertainty, and adversely affect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DXL entered into voting agreements pursuant to which they have agreed to vote their shares of DXL common stock in favor of the issuance proposal. These voting agreements were entered into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As a result of these voting commitments, the likelihood that the issuance proposal will be approved may be increased, even though the DXL Board has withdrawn its prior recommendation in favor of the merger and the issuance proposal and now recommends that stockholders vote “AGAINST” the issuance proposal, and such outcome may occur irrespective of the views of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these voting agreements may make it more difficult for other DXL stockholders to influence the outcome of the vote on the issuance proposal, and may reduce the practical impact of votes cast by stockholders who do not support the issuance proposal. Accordingly, the issuance proposal could be approved despite the DXL Board’s recent determination, after its ongoing evaluation of the merger and in light of developments since the execution of the merger agreement, that the merger and the transactions contemplated by the merger agreement, including the issuance proposal, are not in the best interests of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issuance proposal is approved, and the other conditions to the merger are satisfied or waived (including the reverse stock split approval), the merger would be completed, notwithstanding the DXL Board’s recommendation against the issuance proposal, and stockholders who did not vote in favor of the issuance proposal would nevertheless be subject to the effects of the completed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increase the likelihood that the merger is not consummated and that DXL will be subject to the risks associated with remaining a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DXL Board’s recommendation, there is a heightened risk that DXL stockholders will not approve the merger. If the merger is not consummated, DXL will continue to operate as a standalone company. In that event, DXL would remain subject to the risks associated with its standalone business, including those described elsewhere in this proxy statement, and may have incurred significant costs and disruption in pursuing the merger without realizing any corresponding benefits, which could adversely affect DXL’s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encourage alternative transactions or unsolicited proposals, which could create additional uncertainty and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may signal to third parties that DXL could be open to alternative strategic transactions, subject to the limitations in the merger agreement. As a result, DXL may receive unsolicited acquisition proposals or be subject to takeover attempts or proxy contests, including actions by stockholders or other parties seeking to influence the composition of the DXL Board or DXL’s strategic direction. While such developments could result in alternative transactions that may be favorable to stockholders, they could also lead to additional uncertainty, increased volatility in the price of DXL common stock, additional transaction costs and potential disruption to DXL’s business operations, as well as increased demands on management and the DXL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existence of differing views between DXL and FBB regarding the merger may adversely affect the parties’ ability to complete the transaction or collaborate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reflects a divergence in views between DXL and FBB regarding the merits of the transaction. This divergence may impair the parties’ ability to cooperate effectively in fulfilling their respective obligations under the merger agreement, including efforts to satisfy closing conditions and to manage ongoing obligations during the interim period. This lack of alignment could create operational inefficiencies, delay required actions, and adversely affect the overall business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during the pendency of the transaction, including by creating uncertainty among employees, customers, suppliers and other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regarding FBB and the potential benefits of the merger in this proxy statement is based in part on information provided by FBB, and stockholders are presented with differing perspectives regarding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Certain of this information has been provided by FBB or its representatives and reflects FBB’s views regarding the anticipated benefits of the transaction, which may involve assumptions, projections and judgments that are inherently uncertain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As a result, certain statements identified in this proxy statement as having been made or provided by FBB or its representatives regarding the expected benefits of the merger, the outlook for the combined company or the strategic rationale for the transaction may differ from, or be inconsistent with, the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240" w:after="0"/>
        <w:jc w:val="left"/>
        <w:rPr>
          <w:rFonts w:ascii="Times New Roman" w:hAnsi="Times New Roman"/>
          <w:sz w:val="20"/>
        </w:rPr>
      </w:pPr>
      <w:r>
        <w:rPr>
          <w:rFonts w:ascii="Times New Roman" w:hAnsi="Times New Roman"/>
          <w:sz w:val="20"/>
        </w:rPr>
        <w:t xml:space="preserve">Accordingly, stockholders are presented with differing perspectives in this proxy statement and should carefully consider the DXL Board’s recommendation against the issuance proposal, together with the other information included in this proxy statement, including the risks described in this section, in determining how to vote on the proposals presented, and should not place undue reliance on forward-looking statements or projections regarding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by DXL stockholders, approval by Nasdaq of DXL’s listing application for DXL common stock to be issued as merger consideration, and other customary closing conditions. If the merger is not consummated for any reason, including as a result of the DXL Board’s recommendation against the issuance proposal or a failure to obtain stockholder approval, DXL may be subject to a number of material risks, and its business and stock price could be adversely affected,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incurred and expects to continue to incur significant expenses related to the proposed merger with FBB even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covenants relating to DXL’s solicitation of competing acquisition proposals and the conduct of DXL’s business between the date of signing the merger agreement and the closing of the merger. As a result, significant business decisions and transactions before the closing of the merger are restricted or prohibited. Accordingly, DXL may be unable to pursue business opportunities that would otherwise be in its best interest as a standalone company. If the merger agreement is terminated after DXL has invested significant time and resources in the transaction process, DXL may have a limited ability to continue its current operations without obtaining additional financing to fund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$2.5 million termination fee in connection with the termination of the merger agreement, depending on the reason for the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$950,000 out-of-pocket fees and expense reimbursement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business partners and investors in general may view the failure to consummate the merger as a poor reflection on its business or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suppliers and other business partners may seek to change or terminate their relationships with DXL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proposed merger, current and prospective employees could experience uncertainty about their future roles within the combined company. This uncertainty may adversely affect DXL’s ability to retain its key employees, who may seek other employment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management team may be distracted from day-to-day operations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DXL common stock may decline to the extent that the current market price reflects a market assumption that the proposed merger will be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DXL’s directors and executive officers have conflicts of interest and/or economic interests in connection with the merger that are different from, or in addition to, those of DXL stockholders generally. </w:t>
      </w:r>
    </w:p>
    <w:p>
      <w:pPr>
        <w:pStyle w:val="TextBody"/>
        <w:bidi w:val="0"/>
        <w:spacing w:before="120" w:after="0"/>
        <w:jc w:val="left"/>
        <w:rPr>
          <w:rFonts w:ascii="Times New Roman" w:hAnsi="Times New Roman"/>
          <w:sz w:val="20"/>
        </w:rPr>
      </w:pPr>
      <w:r>
        <w:rPr>
          <w:rFonts w:ascii="Times New Roman" w:hAnsi="Times New Roman"/>
          <w:sz w:val="20"/>
        </w:rPr>
        <w:t>When considering how to vote on the proposals related to the merger, DXL stockholders should be aware that DXL’s directors and executive officers have conflicts of interest and/or certain interests, including economic interests, in the merger that may be different from, or in addition to, the interests of DXL stockholders more generally, including, among others, their continued service as a director of either the combined company or DXL as a standalone company, retention and severance benefits, the potential payout of certain DXL LTIP awards, and continued indemnification. For a more detailed discussion, see “</w:t>
      </w:r>
      <w:r>
        <w:rPr>
          <w:rFonts w:ascii="Times New Roman" w:hAnsi="Times New Roman"/>
          <w:i/>
          <w:sz w:val="20"/>
        </w:rPr>
        <w:t>The Merger—Interests of DXL’s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material adverse changes may result from the announcement of the merger, industry-wide changes and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either party can refuse to complete the merger upon the occurrence of a material adverse effect affecting the other party between December 11, 2025, the date of the merger agreement, and the closing of the merger. However, some types of changes do not permit either party to refuse to complete the merger, even if such changes would have a material adverse effect on DXL or FBB, to the extent they resulted from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 the United States or any other country or region in the world, or changes in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financial markets, credit markets or capital markets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industries in which such persons generally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legislative or political conditions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wildfires or other natural disasters, weather conditions, epidemics, pandemics or disease outbreaks and other force majeure events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announcement of the merger agreement or the pendency of the merger and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compliance by any party with the terms of the merger agreement, including any action taken or refrained from being taken pursuant to or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refrained from being taken, in each case which such person has expressly approved, consented to or requested in writing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GAAP or other accounting standards or in any applicable laws or regulations (or the enforcement or interpretation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DXL common stock, in and of itself (it being understood that any cause of such change may be deemed to constitute, in and of itself, a material adverse effect under the merger agreement and may be taken into consideration when determining whether a material adverse effect has occurred, to the extent not otherwise excluded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under the merger agreement and may be taken into consideration when determining whether a material adverse effect has occurred, to the extent not otherwise excluded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if the combined company is unable to realize the strategic and financial benefits currently anticipated from the merger, DXL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DXL may not be able to enter into a business combination with another party and will be subject to contractual limitations on certain actions because of restrictions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DXL or FBB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or facilitating the communication, engaging in any communications, discussions or negotiations, or taking any action that could reasonably be expected to lead to certain acquisition inquiries or acquisition proposal, such as certain acquisitions of such party’s common stock, tender offers for such party’s common stock, and mergers or other business combinations. Any such transactions could be favorable to DXL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 capital of FBB is privately held and is not traded in any public market. The lack of a public market makes it extremely difficult to determine the fair market value of FBB. Because the percentage of DXL’s equity to be issued to FBB stockholders was determined based on negotiations between the parties, it is possible that the value of the DXL common stock to be issued in connection with the merger would be greater than the fair market value of FBB. Alternatively, it is possible that the value of the shares of DXL common stock to be issued in connection with the merger would be less than the fair market value of FBB.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consummated, the combined company would incur significant transaction costs as a result of the merger, including investment banking, legal and accounting fees. In addition, the combined company would incur significant consolidation and integration expenses, which cannot be accurately estimated at this time. These costs could include the possible relocation of certain operations as well as costs associated with terminating existing office leases and the loss of benefits of certain favorable office leases. Actual transaction costs may substantially exceed FBB’s estimates and may have an adverse effect on the combined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would result in an annual limitation on DXL’s ability to utilize its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382 of the Code, use of DXL’s net operating loss carryforwards (“NOLs”) would be limited if DXL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DXL would experience an ownership change as a result of the merger, and therefore its ability to utilize its NOLs and certain credit carryforwards remaining at the effective time would be limited. The limitation would be determined by the fair market value of DXL common stock outstanding prior to the ownership change, multiplied by the applicable federal rate. Limitations imposed on DXL’s ability to utilize NOLs could cause U.S. federal and state income taxes to be paid earlier than they would be paid if such limitations were not in effect and could cause such NOLs to expire unused, in each case reducing or eliminating the benefit of such NOLs.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Securities litigation or stockholder derivative litigation frequently follows the announcement of certain significant business transactions, such as the sale of a business division or announcement of a business combination transaction. DXL, FBB and the combined company may become involved in this type of litigation in connection with the merger in the future. Litigation often is expensive and diverts management’s attention and resources, which could adversely affect the business of DXL, FBB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consummate the merger may result in DXL paying a termination fee and/or out-of-pocket fees and expenses to FBB and could harm the price of DXL common stock and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DXL may be required to pay FBB a termination fee of $2.5 million and/or an out-of-pocket fees and expense reimbursement of up to $950,000. Even if a termination fee or expense reimbursement is not payable in connection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the merger agreement, DXL will have incurred significant fees and expenses, which must be paid whether or not the merger is consummated. Further, if the merger is not consummated, it could significantly harm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merger has consummated, there can be no further recourse by either party or its stockholders for a breach of any representation or warranty.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of FBB, DXL and the merger subsidiary contained in the merger agreement or any certificate or instrument delivered pursuant to the merger agreement would terminate at the effective time of the merger, and there would be no recourse for any breach of such representations and warranties following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FBB common stock (excluding (i) shares held as treasury stock by FBB or held or owned by DXL, the merger subsidiary or any subsidiary of DXL or FBB, (ii) dissenting shares, and (iii) unaccredited investor shares), after giving effect to the cancellation of all FBB warrants outstanding, would be converted solely into the right to receive a number of validly issued, fully paid and nonassessable shares of DXL’s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DXL common stock before the completion of the merger would not affect the number of shares of DXL common stock issuable to FBB stockholders pursuant to the merger agreement. Therefore, if before the completion of the merger the market price of DXL common stock declines from the market price on the date of the merger agreement, then FBB stockholders would receive, if the merger is consummated, merger consideration with substantially lower value than the value of such merger consideration on the date of the merger agreement. Similarly, if before the completion of the merger the market price of DXL common stock increases from the market price of DXL common stock on the date of the merger agreement, then FBB stockholders would receive, if the merger is consummated,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DXL common stock, for each one percentage point change in the market price of DXL common stock, there is a corresponding one percentage point rise or decline, respectively, in the value of the total merger consideration payable to FBB stockholders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alternative takeover proposals, including proposals that may be superior to the arrangements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merger agreement prohibit each of DXL and FBB from soliciting alternative takeover proposals or cooperating with persons making unsolicited takeover proposals, except in limited circumstances when, among other things, the DXL Board or the board of directors of FBB, as applicable,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its financial advisors and outside legal counsel that an unsolicited alternative takeover proposal is or is reasonably likely to result in a superior takeover proposal, and that failure to cooperate with the proponent of the proposal could be reasonably likely to violate the fiduciary duties of the DXL Board or the board of directors of FBB,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met,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share issuances and amendments to the restated certificate of incorporation to effect the reverse stock split expected to be necessary for the merger are approved by DXL stockholders, specified conditions must be satisfied or waived to complete the merger. These conditions are set forth in the merger agreement and described in the section entitled “</w:t>
      </w:r>
      <w:r>
        <w:rPr>
          <w:rFonts w:ascii="Times New Roman" w:hAnsi="Times New Roman"/>
          <w:i/>
          <w:sz w:val="20"/>
        </w:rPr>
        <w:t>The Merger Agreement—Conditions to the Closing of the Merger</w:t>
      </w:r>
      <w:r>
        <w:rPr>
          <w:rFonts w:ascii="Times New Roman" w:hAnsi="Times New Roman"/>
          <w:sz w:val="20"/>
        </w:rPr>
        <w:t xml:space="preserve">”. DXL cannot assure you that all of the conditions would be satisfied or waived. If the conditions are not satisfied or waived, the merger would not occur or would be delayed, and DXL and FBB each may lose some or all of the intended benefits of the merger. </w:t>
      </w:r>
    </w:p>
    <w:p>
      <w:pPr>
        <w:pStyle w:val="TextBody"/>
        <w:bidi w:val="0"/>
        <w:spacing w:before="480" w:after="0"/>
        <w:jc w:val="center"/>
        <w:rPr>
          <w:rFonts w:ascii="Times New Roman" w:hAnsi="Times New Roman"/>
          <w:b/>
          <w:sz w:val="20"/>
        </w:rPr>
      </w:pPr>
      <w:bookmarkStart w:id="9" w:name="tx76201_7"/>
      <w:bookmarkEnd w:id="9"/>
      <w:r>
        <w:rPr>
          <w:rFonts w:ascii="Times New Roman" w:hAnsi="Times New Roman"/>
          <w:b/>
          <w:sz w:val="20"/>
        </w:rPr>
        <w:t xml:space="preserve">Risks Related to the Reverse Stock Split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DXL common stock above the minimum bid price requirement under the Nasdaq rules so that DXL can maintain its listing on Nasdaq. Also, in order to consummate the merger with FBB, DXL must satisfy the Nasdaq initial listing standards, which require, among other things, a minimum bid price of $4.00 per share. However, there can be no assurance that the market price per share of DXL common stock after the reverse stock split will be unchanged or increase in proportion to the reduction in the number of shares of DXL common stock issued and outstanding before the reverse stock split. For example, based on the closing price of DXL common stock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of $0.</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if the DXL Board were to implement the reverse stock split and utilize a ratio of 1-for-</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the per share price of DXL common stock immediately after giving effect to the reverse stock split would be expected to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DXL cannot assure you that the market price per post-reverse stock split share will exceed or remain in excess of the (i) $4.00 minimum bid price initial listing requirement in connection with the merger, which requires the combined company to have a minimum bid price of $4.00 per share, or the (ii) $1.00 minimum bid price for a sustained period of time to meet the continued listing requirements should the merger not be completed. In addition, the reverse stock split may not result in a per share price that would attract brokers and investors who do not trade in lower-priced stocks. If the merger is not consummated, even if the market price per post-split share of DXL common stock remains in excess of $1.00 per share, DXL may be delisted due to a failure to meet other Nasdaq continued listing requirements, including requirements related to the minimum stockholders’ equity requirement, the minimum number of shares that must be in the public float, the minimum market value of the public float and the minimum number of “round lot”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proposal is not approved, DXL may be unable to regain compliance with Nasdaq’s minimum bid price requirement, which could result in the delisting of DXL common stock and have a material adverse effect on DXL and, if the merger is completed,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to regain compliance with the minimum bid price requirement, which expired on August 3, 2026. On June 30, 2026, DXL (i) submitted a transfer application to Nasdaq to transfer to The Nasdaq Capital Market and (ii)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DXL is seeking stockholder approval for the reverse stock split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Additionally, if the DXL Board does not implement the reverse stock split within one year of the date on which the reverse stock split is approved by DXL stockholders, the authority granted in this proposal to implement the reverse stock split will terminate, which could further limit DXL’s flexibility to address any future non-compliance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requires approval by DXL stockholders, and there can be no assurance that such approval will be obtained. If the reverse stock split proposal is not approved, the DXL Board will not have the authority to effect the reverse stock split and DXL may be unable to cure the minimum bid price deficiency within the applicable compliance period. As a result, DXL common stock could become subject to delisting from Nasdaq. If DXL common stock were delisted, it may trade on an over-the-counter market, which could result in reduced liquidity, increased volatility and a diminished trading market for DXL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DXL’s ability, or, if the merger is completed, the combined company’s ability, to raise capital through public or private equity offerings on acceptable terms, or at all; and (iii) reputational harm, which could negatively impact relationships with customers, suppliers, employees and other business partners. In addition, if the merger is completed prior to DXL regaining compliance with the minimum bid price requirement, the combined company would inherit this deficiency and, if the reverse stock split has not been implemented, would face the same risk of delisting from Nasdaq, which could have a material adverse effect on the combined company’s stock price, liquidity and ability to raise capital. Even if the reverse stock split proposal is approved and the DXL Board implements the reverse stock split, there can be no assurance that the market price of DXL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DXL common stock, or, if the merger is completed, the combined company’s common stock, will not ultimately be delisted from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the DXL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DXL common stock may not necessarily improve.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apply to the number of authorized shares available for issuance under DXL’s charter. Therefore, because the number of issued and outstanding shares of DXL common stock will decrease as a result of the reverse stock split, it will have the effect of increasing the number of authorized shares available for issuance. Future issuances of DXL common stock may, depending on the circumstances, have a dilutive effect on the earnings per share, voting power and other interests of existing DXL stockholders. For example, DXL may use the additional authorized but unissued shares to restructure existing indebtedness, raise additional capital through equity financing, enter into strategic partnerships, or sell securities convertible into or exercisable for DXL common stock, any of which may result in substantial dilution to existing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DXL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reduced number of issued shares of DXL common stock resulting from the reverse stock split could adversely affect the liquidity of DXL common stock and result in higher transaction costs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DXL Board believes that the decrease in the number of shares of DXL common stock issued as a result of the reverse stock split and the anticipated increase in the market price of DXL common stock could encourage interest in DXL common stock and possibly promote greater liquidity for its stockholders, such liquidity could also be adversely affected by the reduced number of shares issued after the reverse stock split. The reverse stock split may also result in higher transaction costs if the merger is not consummated. The liquidity of DXL common stock may be negatively impacted by the reverse stock split, given the reduced number of shares that would be outstanding after the reverse stock split if the merger is not consummated, particularly if the stock price does not increase as a result of the reverse stock split. Accordingly, the reverse stock split may not achieve the desired results of increasing marketability and liquidity of DXL common stock if the merger is not consummated. </w:t>
      </w:r>
    </w:p>
    <w:p>
      <w:pPr>
        <w:pStyle w:val="TextBody"/>
        <w:bidi w:val="0"/>
        <w:spacing w:before="480" w:after="0"/>
        <w:jc w:val="center"/>
        <w:rPr>
          <w:rFonts w:ascii="Times New Roman" w:hAnsi="Times New Roman"/>
          <w:b/>
          <w:sz w:val="20"/>
        </w:rPr>
      </w:pPr>
      <w:bookmarkStart w:id="10" w:name="tx76201_8"/>
      <w:bookmarkEnd w:id="10"/>
      <w:r>
        <w:rPr>
          <w:rFonts w:ascii="Times New Roman" w:hAnsi="Times New Roman"/>
          <w:b/>
          <w:sz w:val="20"/>
        </w:rPr>
        <w:t xml:space="preserve">Risks Related to DXL </w:t>
      </w:r>
    </w:p>
    <w:p>
      <w:pPr>
        <w:pStyle w:val="TextBody"/>
        <w:bidi w:val="0"/>
        <w:spacing w:before="240" w:after="0"/>
        <w:jc w:val="left"/>
        <w:rPr>
          <w:rFonts w:ascii="Times New Roman" w:hAnsi="Times New Roman"/>
          <w:sz w:val="20"/>
        </w:rPr>
      </w:pPr>
      <w:r>
        <w:rPr>
          <w:rFonts w:ascii="Times New Roman" w:hAnsi="Times New Roman"/>
          <w:sz w:val="20"/>
        </w:rPr>
        <w:t>For risks related to the business of DXL, please refer to the section entitled “</w:t>
      </w:r>
      <w:r>
        <w:rPr>
          <w:rFonts w:ascii="Times New Roman" w:hAnsi="Times New Roman"/>
          <w:i/>
          <w:sz w:val="20"/>
        </w:rPr>
        <w:t>Item 1A. Risk Factors</w:t>
      </w:r>
      <w:r>
        <w:rPr>
          <w:rFonts w:ascii="Times New Roman" w:hAnsi="Times New Roman"/>
          <w:sz w:val="20"/>
        </w:rPr>
        <w:t xml:space="preserve">” set forth in DXL’s Annual Report on Form 10-K for the year ended January 31, 2026 as filed with the SEC on March 19, 2026. </w:t>
      </w:r>
    </w:p>
    <w:p>
      <w:pPr>
        <w:pStyle w:val="TextBody"/>
        <w:bidi w:val="0"/>
        <w:spacing w:before="480" w:after="0"/>
        <w:jc w:val="center"/>
        <w:rPr>
          <w:rFonts w:ascii="Times New Roman" w:hAnsi="Times New Roman"/>
          <w:b/>
          <w:sz w:val="20"/>
        </w:rPr>
      </w:pPr>
      <w:bookmarkStart w:id="11" w:name="tx76201_9"/>
      <w:bookmarkEnd w:id="11"/>
      <w:r>
        <w:rPr>
          <w:rFonts w:ascii="Times New Roman" w:hAnsi="Times New Roman"/>
          <w:b/>
          <w:sz w:val="20"/>
        </w:rPr>
        <w:t xml:space="preserve">Risks Related to FBB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would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FBB section to “FullBeauty Brands,” the “Company,” “we,” “us,” “our” and other similar terms collectively refer to FBB Holdings I,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We operate in an industry that involves numerous risks and uncertainties. You should carefully consider the risk factors discussed below, as well as the other information presented herein, as described in “FBB’s Management’s Discussion and Analysis of Financial Condition and Results of Operations” and our consolidated financial statements and related notes included elsewhere in this proxy statement, in evaluating us and our business. The risks and uncertainties described below may change over time and other risks and uncertainties, including those that we do not currently consider material, may impair our business. If any of the risks discussed below actually occur, our business, financial condition, operating results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conditions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performance is subject to macroeconomic conditions and their impact on levels of consumer spending. Some of the factors negatively impacting discretionary consumer spending include general economic conditions, high unemployment, increased taxation, high consumer debt, reductions in net worth based on severe market declines (such as in residential real estate markets), higher fuel, energy and other prices, increasing interest rates, inflation, severe weather conditions and low consumer confidence. In addition, any significant volatility in the financial markets could negatively impact the levels of future discretionary consumer spending. Consumer confidence is also affected by the domestic and international political situation. Our financial condition and operations could be impacted by changes in government regulations in areas including, but not limited to, taxes, trade policies, tariffs, customs regulations, data privacy and security and artificial intelligence (“AI”). The outbreak or escalation of war, geopolitical instability, or the occurrence of terrorist acts or other hostilities primarily in or affecting the United States,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 Such macroeconomic and other factors could have a negative effect on consumer spending in the United States, which in turn could have a material and adverse effect on our business, results of operations, financial condition, and cash flows. While our business is diversified across product categories and is not heavily concentrated in any single selling period, we generally experience modestly higher sales volume in the second and fourth quarters, and a downturn in consumer spending during those periods could have a disproportionate effect on our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depends on customers’ use of our digital platforms, including our e-commerce websites, and response to print media and digital marketing strategies; if our overall marketing strategies, including maintenance of a robust customer list, are not successful, our business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Our business depends on customers’ use of our e-commerce websites and their response to our digital marketing and print media strategies. The level of customer traffic and volume of customer purchases on our e-commerce websites is substantially dependent on our ability to provide attractive and accessible websites that promote a high-quality customer experience. Customer response to our print media and digital marketing is substantially dependent on merchandise assortment, merchandise availability and creative presentation, as well as the selection of customers to whom our marketing is directed, changes in marketing strategies and the size and frequency of our communications. Although we utilize sophisticated in-house database modeling to enhance the effectiveness of our targeted online and print marketing campaigns, there can be no assurance that our efforts will be successful. Our maintenance of a robust customer list, which we believe includes desirable demographic characteristics for the products we offer, has also been a key component of our overall strategy. If we are unable to maintain and increase customers’ use of our e-commerce websites and the volume of goods they purchase, if the performance of our e-commerce websites, emails and catalogs declines, if our overall marketing strategy is not successful, or if evolving laws and regulations impact how we are able to use our digital marketing channels or otherwise govern e-commerce websites, our business and results of operations could be adversely affected.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acquire new customers, or fail to do so in a cost-effective manner, we may not be able to increase or maintain revenue or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acquire customers in a cost-effective manner. In order to expand our customer base, we may need to appeal to and acquire customers who have historically used other means of commerce to purchase fashion apparel and home goods and may prefer alternatives to our offerings, such as traditional brick and mortar retailers or the websites of our competitors. We have made significant investments related to customer acquisition and expect to continue to spend significant amounts to acquire additional customers, and we cannot be assured that we will always succeed in doing so in a cost-effective manner. If the quality of our shopping experience declines or if consumers do not perceive the products we offer to be of high value and quality, we may not be able to acquire new customers. If we are unable to acquire new customers who purchase products in numbers sufficient to grow our business, our net revenue may stagnate or decrease, and our business, financial condition and operating results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We utilize paid and non-paid advertising to acquire new customers. Our paid advertising includes search engine marketing, display advertising and paid social media advertisements. Our non-paid advertising efforts include search engine optimization, non-paid social media, mobile “push” notifications and email. We obtain a significant amount of traffic via search engines, and we also seek to obtain traffic via social networking websites and other channels used by our current and prospective customers. Search engines frequently update and change the logic that determines the placement and display of results of a user’s search, such that the purchased or algorithmic placement of links to our sites can be negatively affected. A major search engine could change its algorithms in a manner that negatively affects our paid or non-paid search ranking, and competitive dynamics could impact the effectiveness of search engine marketing or search engine optimization. As e-commerce and social networking continue to evolve, we may be unable to establish, develop or maintain relationships with these channels on acceptable terms. Increased competition for online advertising inventory, reduced effectiveness of targeted advertising due to evolving data privacy regulations, and higher customer acquisition costs could further reduce marketing efficiency and negatively impact our profitability and cash flow. In addition, evolving laws and regulations governing digital marketing and data privacy may impact our ability to use our current advertising strategies more broadly. If we are unable to cost-effectively drive traffic to our sites, our ability to acquire new customers and our financial condition would suffer. See “—</w:t>
      </w:r>
      <w:r>
        <w:rPr>
          <w:rFonts w:ascii="Times New Roman" w:hAnsi="Times New Roman"/>
          <w:i/>
          <w:sz w:val="20"/>
        </w:rPr>
        <w:t>Regulatory, administrative and litigation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could be adversely affected if we fail to accurately predict apparel trends and customer preferences.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continued success depends on our ability to provide a compelling value proposition for our customers. Our products and services must satisfy the desires of our customers, whose preferences may change over time. Apparel trends and customer preferences are volatile and tend to change rapidly, particularly women’s apparel. In order to be successful, we must identify, obtain supplies of, and offer to customers attractive, high-quality and affordable merchandise on a continuous and timely basis.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and missed opportunities. In response, we may be forced to rely on markdowns or promotional sales to dispose of excess, slow-moving inventory, which would decrease our revenues and margins. Failure to effectively gauge the direction of customer preferences, or convey a compelling brand image or price/value equation to customers may result in lower sales and lower operating income. This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and planned expansion of AI technologies present operational, regulatory, cybersecurity, legal, and reputational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leveraging AI, machine learning, and automated decision-making tools in certain aspects of our business and may expand such use in the future. While we believe these technologies may improve operational efficiency, enhance customer experience, and support data-driven decision-making, their use presents risks and uncertainties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AI technologies are complex and rapidly evolving. Our AI systems, including those developed internally or provided by third-party vendors, may produce inaccurate, misleading, or biased outputs, or may fail to perform as intended. Such failures could have a negative impact on our business, customer interactions, or brand reputation and could expose us to liability, regulatory actions, and threats of litigation. In addition, our use of AI technologies may present challenges in asserting intellectual property ownership over the resulting output, and could increase our exposure to claims of intellectual property infringement, data privacy violations, cybersecurity risks, or contractual disputes, particularly where AI systems rely on third-party data, models, or infrastructure. Securing and enforcing intellectual property rights in rapidly evolving areas can be costly and time-consuming, and our current protections may be insufficient. See “—We may be unable to protect our 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environment surrounding AI is evolving in the United States and internationally. New or proposed laws and regulations may impose compliance obligations, require changes to our practices, increase costs, or restrict our ability to deploy AI tools in certain contexts. For example, federal and state legislatures have enacted or are considering enacting laws governing the use of artificial intelligence technologies to make decisions, such as pricing decisions or decisions that could have a significant impact on consumers. Regulatory scrutiny, litigation, or governmental investigations related to AI usage could result in reputational harm, penalties, or operational limitations. </w:t>
      </w:r>
    </w:p>
    <w:p>
      <w:pPr>
        <w:pStyle w:val="TextBody"/>
        <w:bidi w:val="0"/>
        <w:spacing w:before="240" w:after="0"/>
        <w:jc w:val="left"/>
        <w:rPr>
          <w:rFonts w:ascii="Times New Roman" w:hAnsi="Times New Roman"/>
          <w:sz w:val="20"/>
        </w:rPr>
      </w:pPr>
      <w:r>
        <w:rPr>
          <w:rFonts w:ascii="Times New Roman" w:hAnsi="Times New Roman"/>
          <w:sz w:val="20"/>
        </w:rPr>
        <w:t xml:space="preserve">AI systems may also require significant investments in technology infrastructure, data governance, cybersecurity controls, and personnel training. If we are unable to successfully integrate AI into our operations, manage associated risks, or realize anticipated benefits, our competitive position and financial performance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growing adoption of AI-driven search and discovery tools by consumers may reduce the effectiveness of traditional digital marketing channels, including search engine marketing and search engine optimization, on which we rely to drive traffic to our e-commerce websites. If consumers increasingly discover and purchase products through AI-powered platforms rather than conventional search engines or direct website visits, our customer acquisition model could be disrupted, and our marketing costs could increase without a corresponding increase in sales.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reliance on third-party AI-related service providers subjects us to risks related to service availability, model performance, data handling practices, and vendor solvency. Any disruption, security incident, or failure by such providers could materially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implement appropriate governance, oversight, and internal controls over our AI initiatives, or if stakeholders perceive our use of AI as unethical, unsafe, or inconsistent with applicable standards, our reputation and stakeholder trust in us could be harmed and we may be subject to regulatory scrutiny, litigation or governmental investigations. Ensuring that our employees use only Company-approved AI technologies presents an additional challenge; unauthorized use of AI tools could expose us to data security, intellectual property, or regulatory risks outside of our existing controls.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largely depends on a strong brand image and, if we are unable to maintain and enhance our brand image, or fail to adequately protect our brand image, we may be unable to increase or maintain our level of sales.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brand image and brand awareness around our different brands has contributed significantly to the success of our business. We also believe that maintaining and enhancing our brand image is important to maintaining and expanding our customer base. Our ability to successfully integrate new brands and to expand into new markets or to maintain the strength and distinctiveness of our brand image in our existing markets will be adversely impacted if we fail to connect with our target customers. Maintaining and enhancing our brand image may require us to make substantial investments in areas such as merchandising, marketing, operations, community relations, catalog and website graphics and employee training, which could adversely affect our cash flow, and which may ultimately be unsuccessful. Furthermore, our brand image could be jeopardized if we fail to maintain high standards for merchandise quality, if we fail to comply with local laws and regulations or if we experience negative publicity or other negative events that affect our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these risks may be beyond our ability to control, such as the effects of negative publicity, including on social media, regarding our company, our vendors or other strategic partners. Failure to successfully market and maintain our brand image in new and existing markets could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efficiently manage inventory levels, our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must maintain sufficient inventory levels to operate our business successfully, but we must also avoid accumulating excess inventory, which increases working capital needs and may lower gross margins. We obtain most of our inventory from vendors located outside the United States. Some of these vendors often require lengthy advance notice of order requirements to be able to supply products in the quantities requested. This usually requires us to order merchandise and enter commitments for the purchase of such merchandise, well in advance of the time these products will be offered for sale. In addition, certain of our vendors may require minimum order quantities for certain of our products that exceed our near-term sales expectations, which may require us to purchase and hold excess inventory. As a result, it may be difficult to respond to changes in the consumer preferences or other changes in the markets for our products. If we do not accurately forecast demand for our products or the time it will take to obtain new inventory, inventory levels will not be appropriate, and our results of operations could be adversely affected. Excess inventory may also require increased markdown activity, which could materially reduce gross margins and negatively impact operating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tariffs on product imported to the United States, retaliatory trade actions taken by other countries, and resulting trade wars have had, and may continue to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most of our inventory is sourced from vendors located outside the United States, our business is subject to risks associated with international trade. These risks include the imposition of new or increased tariffs, duties or other import-related charges, changes in trade agreements, trade restrictions, quotas, sanctions, and changes in the interpretation or enforcement of existing trade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2025, the United States government announced the imposition of additional tariffs and reciprocal tariffs on most goods imported into the United States. Multiple nations, including China, responded with reciprocal tariffs and other trade actions, which triggered the U.S. government to increase the reciprocal tariffs on countries that retaliated against the U.S. enacted trade policy. The recent and ongoing enactment of tariffs by the government of the United States (including as a result of the recent Supreme Court ruling on tariff authority), along with the unpredictability of the tariff rates, pose a significant risk to our business operations, and have, and may continue to, materially increase our costs and reduce our margins. The tariffs have resulted in, and may also continue to lead to, additional order cancellations and higher pricing for our products, reducing consumer demand and further impacting our sales volume. Successful challenges to the authorization of certain tariffs, including under Learning Resources, Inc. v. Trump, may entitle companies to refunds or other offsets. There remains significant uncertainty regarding the implementation of such decision, including the process that will govern refund claims, the timing of any potential refunds, and the ultimate amounts, if any, that we recover. We are actively monitoring the impact of any tariffs that become effective, as well as potential retaliatory tariffs imposed by other countries and will continue to work on strategies to moderate or minimize the effects of trade actions.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to diversify sourcing across geographies, negotiate cost sharing with vendors, adjust pricing without materially affecting demand, and manage inventory levels will be successful, or that they will fully or significantly offset the negative impact of the tariffs on our business. Given the uncertainty regarding the scope and duration of current and potential tariffs, as well as the potential for additional trade actions by the United States or other countries, the specific impact to our business, results of operations, cash flows, and financial condition is uncertain, but could continue to be material. The extent of any such impact will further depend on the ultimate tariff rates imposed under current and any future statutory authorities, the duration of such measures, and the outcome of ongoing and potential legal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build and maintain a high-quality workforce, and competition for talent may make it difficult to do so.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having a high-quality management team and workforce with the appropriate skills, experience and leadership capabilities to support our business and execute our strategic initiatives. Our success also depends, in part, on our ability to recruit, retain and motivate our employees sufficiently, both to maintain our current business and to execute our strategic initiatives. Competition for experienced and well-qualified employees in our industry is particularly intense in many of the places where we do business, and we may not be successful in attracting and retaining such personnel. Changes to our current and future office environments, adoption of new work models and our business requirements or expectations about when or how often employees work either on-site or remotely may not meet the expectations of our employees. As certain jobs and employers increasingly operate remotely, traditional geographic competition for talent may change in ways that cannot be fully predicted at this time. If our employment proposition is not perceived as favorable compared to other companies’ policies, it could negatively impact our ability to attract, hire and retain our employees. In addition, changes in U.S. immigration policy or the availability of work visas could affect our ability to attract and retain skilled employees in areas such as technology, data analytics, and e-commerce operations, and could more broadly affect labor availability in industries on which our supply chain and outsourced operations depend.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our success depends on the continued service and performance of our senior management team and other key personnel. The loss of one or more members of senior management could result in diminished organizational focus, weaker operating execution, and reduced ability to identify and pursue strategic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could suffer because of increases in the price of raw materials, labor, energy and freight. </w:t>
      </w:r>
    </w:p>
    <w:p>
      <w:pPr>
        <w:pStyle w:val="TextBody"/>
        <w:bidi w:val="0"/>
        <w:spacing w:before="120" w:after="0"/>
        <w:jc w:val="left"/>
        <w:rPr>
          <w:rFonts w:ascii="Times New Roman" w:hAnsi="Times New Roman"/>
          <w:sz w:val="20"/>
        </w:rPr>
      </w:pPr>
      <w:r>
        <w:rPr>
          <w:rFonts w:ascii="Times New Roman" w:hAnsi="Times New Roman"/>
          <w:sz w:val="20"/>
        </w:rPr>
        <w:t xml:space="preserve">Raw materials used to manufacture our merchandise are subject to availability constraints and price volatility caused by a variety of factors including high or low demand for fabrics, labor conditions, transportation or freight costs, currency fluctuations, acreage devoted to cotton crops and crop yields, climate change, weather conditions, supply conditions, economic inflation, tariffs, environmental protection, other standards and other unpredictable factors. Increases in the price of cotton, wool, petroleum-based man-made materials and other raw materials used in the production of fabric and accessories, as well as increases in labor and energy costs, could result in increases in the costs of our products and the expense of transporting them to our distribution centers and to our customers. There can be no assurance that we will be able to reflect any such higher costs in the prices for our products. Consequently, higher product costs could have a negative effect on our gross profit margin and increased selling prices could have a negative effect on our sales volume. To the extent that we cannot offset cost increases with other cost reductions or efficiencies, such increased costs may result in increased product prices, which could lead to reduced customer demand and adversely affect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would suffer if our distribution center or customer care center were shut down, disrupted, or not successfully optimized.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would suffer materially if our distribution center or customer care center were shut down, disrupted, or not successfully optimized. Most of the merchandise we purchase is shipped directly to our distribution center in Indianapolis, Indiana, where it is prepared for shipment to the customer. Our ability to meet consumer expectations, manage inventory, complete sales and achieve objectives for operating efficiencies depends on the proper operation of this facility. We also maintain a customer care center in El Paso, Texas, supplemented by outsourced resources in the Philippines, that collectively receive millions of points of contact, including phone calls, emails and live chats, annually, maintains a live online chat capability and responds to social media comments. As a result of damage to, or prolonged interruption of, operations at any of our distribution center or customer care facilities due to a work stoppage, supply chain disruption, weather conditions such as tornado, flood, blizzard, the impact of climate change, epidemics, pandemics, labor shortages, or other disruptions or other natural disaster or event, we could lose sales or incur significantly higher costs and longer lead times associated with distributing our products to customers, or experience delayed response time to customers at our customer care center. </w:t>
      </w:r>
    </w:p>
    <w:p>
      <w:pPr>
        <w:pStyle w:val="TextBody"/>
        <w:bidi w:val="0"/>
        <w:spacing w:before="240" w:after="0"/>
        <w:jc w:val="left"/>
        <w:rPr>
          <w:rFonts w:ascii="Times New Roman" w:hAnsi="Times New Roman"/>
          <w:sz w:val="20"/>
        </w:rPr>
      </w:pPr>
      <w:r>
        <w:rPr>
          <w:rFonts w:ascii="Times New Roman" w:hAnsi="Times New Roman"/>
          <w:sz w:val="20"/>
        </w:rPr>
        <w:t xml:space="preserve">We maintain business interruption and property insurance, but our insurance coverage may not be sufficient, or insurance proceeds may not be paid to us timely if our distribution center or our customer care center is shut down for any unplanned reason. These factors could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adequately predict customer demand or otherwise optimize and operate our distribution center successfully, it could result in excess or insufficient fulfillment capacity, or result in increased costs, or both, or harm our business in other ways. Orders from several of our websites are fulfilled primarily from a single location. As we continue to add distribution center capability or add new businesses with different requirements, our distribution center systems become increasingly complex and operating them becomes more challenging. We may be unable to adequately operate and staff our distribution center efficiently.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to optimize inventory in our distribution center will increase our net shipping cost by requiring, among other things, partial shipments. Our ability to receive inbound inventory efficiently and ship completed orders to customers also may be negatively affected by inclement weather, fire, flood, power loss, earthquakes, labor disputes, acts of war or terrorism, acts of God and similar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merchandise and catalogs to our customers, and our business could be negatively impacted by disruptions in the operations of these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shipping partners, such as FedEx and DHL, to deliver our merchandise and on the United States Postal Service (“USPS”) to deliver our catalogs to our customers. Relying on these third-party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puts us at risk for cost increases that they may demand or disruptions in their operations, such as employee strikes, inclement weather and their inability to meet our shipping demands. If we are forced to use other delivery services,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circumstances may negatively impact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interruptions that impair customer access to our sites or other performance failures in our technology infrastructure could damage our business,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rely extensively on our information technology systems to track inventory, manage our supply chain, record and process transactions, manage customer communications, summarize results and manage our business. We must periodically update or upgrade our IT platforms to ensure that we continue to provide compelling customer experiences. The failure of our IT systems to operate properly or effectively, problems with transitioning to upgraded or replacement systems or difficulty in integrating new systems could adversely impact our business. In addition, our IT systems may be subject to damage and/or interruption from power outages, computer, network and telecommunications failures, computer viruses, hackers, terrorist attacks, denial of service attacks, security breaches, ransomware, phishing and social engineering scams, usage errors by our employees and harmful acts by our website visitors, and similar events. If our IT systems are damaged or cease to function properly, we may have to make a significant investment to fix or replace them, and we may suffer loss of critical data (including customer data) and interruptions or delays in our operations in the interim. Any significant disruption in our IT systems or loss of or access to data could harm our reputation and credibility and could adversely affect our business, financial condition or results of operations. See “—</w:t>
      </w:r>
      <w:r>
        <w:rPr>
          <w:rFonts w:ascii="Times New Roman" w:hAnsi="Times New Roman"/>
          <w:i/>
          <w:sz w:val="20"/>
        </w:rPr>
        <w:t>Unauthorized disclosure of sensitive or confidential information, whether through a breach of our computer system or otherwise, could severely hurt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use complex proprietary hardware and software in our technology infrastructure, which we seek to continually update and improve. We may not always be successful in executing these upgrades and improvements, and the operation of our systems may be subject to failure. We have in the past and may in the future experience slowdowns or interruptions in some or all our sites when we are updating them, and new technologies or infrastructures may not be fully integrated with existing systems on a timely basis, or at all. Significant capital investment may be required to keep up with rapid technological change (including the successful utilization of data analytics, AI and machine learning). The failure of our IT systems to operate effectively and remain innovative may result in reduced efficiency and may have an adverse effect on our reputation, results of operations and financial condition. See “—</w:t>
      </w:r>
      <w:r>
        <w:rPr>
          <w:rFonts w:ascii="Times New Roman" w:hAnsi="Times New Roman"/>
          <w:i/>
          <w:sz w:val="20"/>
        </w:rPr>
        <w:t>Our use and planned expansion of AI</w:t>
      </w:r>
      <w:r>
        <w:rPr>
          <w:rFonts w:ascii="Times New Roman" w:hAnsi="Times New Roman"/>
          <w:sz w:val="20"/>
        </w:rPr>
        <w:t xml:space="preserve"> </w:t>
      </w:r>
      <w:r>
        <w:rPr>
          <w:rFonts w:ascii="Times New Roman" w:hAnsi="Times New Roman"/>
          <w:i/>
          <w:sz w:val="20"/>
        </w:rPr>
        <w:t>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expand our use of third-party services, including cloud-based services, our technology infrastructure may be subject to increased risk of slowdown or interruption as a result of integration with such services and/or failures by such third parties and our contractual and operational safeguards may not be effective in preventing the failure of these systems or services to operate effectively and be available. Our net revenue depends on the number of visitors who shop on our sites and the volume of orders we can handle. Unavailability of our sites or reduced order fulfillment performance would reduce the volume of goods sold and could also materially adversely affect consumer perception of our brand. As our transaction volume grows and we expand our use of third-party cloud-based services, the demands on our technology platform will increase, and there can be no assurance that we will be able to scale our systems and infrastructure on a timely or cost-effective basis. Any slowdown or failure of our sites and the underlying technological infrastructure could harm our business, reputation and our ability to acquire, retain and serve our customers, which could materially adversely affect our results of operations. Our disaster recovery plan may be inadequate, and our business interruption insurance may not be sufficient to compensate us for the losses that could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Unauthorized disclosure of sensitive or confidential information, whether through a breach of our computer system or otherwise, could severely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the receipt, storage and transmission of customers’ personal information, consumer preferences and payment card information, as well as confidential information about our employees, suppliers and our business, some of which is entrusted to third-party service providers and vendors. Despite the security measures we have in place, including commercially available systems, software, tools and monitoring, our facilities and systems — and those of third parties with which we do business — may be vulnerable to security breaches, cyber-attacks, acts of vandalism, computer viruses, misplaced or lost data, AI-enabled threats, and human errors. The methods used to obtain unauthorized access to or penetrate our systems or systems of our third-party providers and to access our sensitive information are constantly evolving and may be difficult to anticipate or detect for extended periods. Our associates, contractors or third-party partners may also purposefully or inadvertently cause breaches. There is no guarantee that our safeguards will be adequate against all threats.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an electronic security breach in our systems (or in the systems of third parties with which we do business and that process data on our behalf)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the event of a security breach, there can be no assurance that limitations of liability in our contracts would be enforceable or adequate or would otherwise protect us from any such liabilities or damages with respect to any claim. We also cannot provide assurances that our existing cyber insurance coverage will continue to be available on acceptable terms or will be available in sufficient amounts to cover one or more large claims or that the insurer will not deny coverage as to any future claim. Successful assertion of one or more large claims against us that exceeds available insurance coverage or results in changes to our insurance policies, including premium increases or the imposition of large deductible or co-insurance requirements,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cybersecurity program that includes technical safeguards, employee training, incident response procedures, and third-party security assessments designed to protect our systems and data. Despite these measures, no security program can eliminate all risk, and our defenses may not be sufficient to prevent or detect every potential intrusion, attack, or data loss event.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combined company following the merger, we expect to integrate and align our cybersecurity practices with those of DXL, including its enterprise risk management framework. There can be no assurance that this integration will be achieved without disruption or that the combined company’s cybersecurity program will be sufficient to address the expanded threat surface of the larger organization. </w:t>
      </w:r>
    </w:p>
    <w:p>
      <w:pPr>
        <w:pStyle w:val="TextBody"/>
        <w:bidi w:val="0"/>
        <w:spacing w:before="240" w:after="0"/>
        <w:jc w:val="left"/>
        <w:rPr>
          <w:rFonts w:ascii="Times New Roman" w:hAnsi="Times New Roman"/>
          <w:sz w:val="20"/>
        </w:rPr>
      </w:pPr>
      <w:r>
        <w:rPr>
          <w:rFonts w:ascii="Times New Roman" w:hAnsi="Times New Roman"/>
          <w:sz w:val="20"/>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Increases in postage, paper and printing costs could adversely affect the costs of producing and distributing our catalog and promotional mailings, which could have an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Mailings of catalogs and other print media are a key aspect of our business. We currently use the USPS for distribution of substantially all our catalogs and are therefore vulnerable to postal rate increases, including potential discontinuation of bulk mailing discounts we currently leverage for cost savings. Increases in postage, paper and printing costs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paper has fluctuated significantly in the past and may continue to fluctuate in the future. We do not have multi-year fixed-price contracts for the supply of paper and are not guaranteed access to, or reasonable prices for, the amounts required for our business over the long term. We also depend upon a limited number of external vendors to print and mail our catalogs, which subjects us to pricing risks and disruption if any printer experiences production issues or fails to perform. Any inability to source paper or printing services in the quality and quantity required, or any material increase in associated costs, could impact customer acquisition, result in lost sales or otherwise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popularity of GLP-1 medications could reduce demand for our products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GLP-1 receptor agonists used as weight-loss medications, including widely publicized drugs such as Wegovy and Ozempic, have experienced accelerated development, rapid adoption and significant media attention. These medications are designed to promote weight loss and may result in meaningful and sustained reductions in body weight for certain individuals. To the extent that these medications become more widely available, more affordable, or more commonly prescribed, a portion of our customer base may experience weight loss that reduces their need for plus-size apparel.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focused on serving plus-size and extended plus-size individuals. If a significant number of current or potential customers reduce their apparel size or shift their purchasing preferences to smaller-size assortments not offered by us, overall demand for our products could decline. In addition, customers experiencing rapid or ongoing weight changes may defer apparel purchases, reduce purchase frequency, or migrate to competitors with broader size ranges. Any such changes in customer behavior could negatively impact our sales, inventory planning, merchandising strategy, and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long-term magnitude and duration of any such demand shifts remain uncertain. Weight changes may occur gradually and may vary significantly by individual customer. At the same time, these trends may also present potential opportunities for our business. Customers experiencing size transitions may require replacement wardrobes across multiple size ranges over time, which could increase purchase frequency or demand for a broader range of sizes and fits. We may also benefit from opportunities to introduce new fits or product lines, expand adjacent size categories, or strengthen customer relationships through personalized service and size-inclusive offerings.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established plus-size brands, combined with our direct-to-consumer customer data and digital marketing capabilities, may position us to serve customers through weight transitions in ways that traditional retailers cannot. However, our ability to realize any such benefits will depend on our ability to anticipate and respond effectively to evolving consumer preferences, manage inventory and costs, and execute our strategic initiatives successfully. If the use of GLP-1 medications continues to grow and materially alters the purchasing patterns of our target demographics, the net effect on our business and results of operations could be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inability of our customers to access credit could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customers finance their purchases of our products with credit, including our private label credit cards, co-branded credit cards and other general purpose credit cards. If the banks providing such credit limit the amount of credit they make available to our customers, or otherwise increase the fees associated with such credit, or if access to credit is otherwise limited due to regulatory restrictions on credit card interest rates, our business and results of operations could be adversely affected. Any deterioration in consumer credit quality, increased delinquencies or changes in underwriting standards by our credit partners could reduce purchasing power among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could adversely affect our financial health, limit our ability to obtain future financing, and reduce our flexibility to respond to changes in our business. In addition, any inability to access liquidity or the capital markets on acceptable terms could adversely affect our business,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As of January 3, 2026, we had significant indebtedness consisting of amounts outstanding under our term loan and asset-based revolving credit facility. For a description of our indebtedness please refer to the section entitled “</w:t>
      </w:r>
      <w:r>
        <w:rPr>
          <w:rFonts w:ascii="Times New Roman" w:hAnsi="Times New Roman"/>
          <w:i/>
          <w:sz w:val="20"/>
        </w:rPr>
        <w:t>FBB’s Management’s Discussion and Analysis of Financial Condition and Results of Operations — Description of Indebtedness</w:t>
      </w:r>
      <w:r>
        <w:rPr>
          <w:rFonts w:ascii="Times New Roman" w:hAnsi="Times New Roman"/>
          <w:sz w:val="20"/>
        </w:rPr>
        <w:t>.” In connection with the merger, our indebtedness is expected to be modified as further described in the section entitled “</w:t>
      </w:r>
      <w:r>
        <w:rPr>
          <w:rFonts w:ascii="Times New Roman" w:hAnsi="Times New Roman"/>
          <w:i/>
          <w:sz w:val="20"/>
        </w:rPr>
        <w:t>The Merger Agreement—Financing.</w:t>
      </w:r>
      <w:r>
        <w:rPr>
          <w:rFonts w:ascii="Times New Roman" w:hAnsi="Times New Roman"/>
          <w:sz w:val="20"/>
        </w:rPr>
        <w:t xml:space="preserve">” Our indebtedness could have significant consequences. Because of our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obligations with respect to our debt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vulnerable to adverse economic and general industry conditions, including interest rate fluctuations, because a portion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or pursue strategic acquisitions and investments may be limited, and we may be required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cash flow from operations may have to be dedicated to the payment of principal and interest on our debt, thereby reducing our ability to use that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renew or refinance our debt on terms as favorable as our existing debt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to adjust to changing market conditions and our ability to withstand competitive pressures could be diminished.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cash flow declines, we may be required to reduce capital expenditure, limit strategic investments, delay growth initiatives, or seek additional capital on terms that may be less favorable. In addition, increases in interest rates could increase our debt service obligations where borrowings are subject to variable rates. </w:t>
      </w:r>
    </w:p>
    <w:p>
      <w:pPr>
        <w:pStyle w:val="TextBody"/>
        <w:bidi w:val="0"/>
        <w:spacing w:before="240" w:after="0"/>
        <w:jc w:val="left"/>
        <w:rPr>
          <w:rFonts w:ascii="Times New Roman" w:hAnsi="Times New Roman"/>
          <w:sz w:val="20"/>
        </w:rPr>
      </w:pPr>
      <w:r>
        <w:rPr>
          <w:rFonts w:ascii="Times New Roman" w:hAnsi="Times New Roman"/>
          <w:sz w:val="20"/>
        </w:rPr>
        <w:t xml:space="preserve">We largely depend on cash generated from our existing operations to support our growth. If we were unable to generate sufficient cash from our existing operations, changes in the credit and capital markets, including market disruptions, limited liquidity and interest rate fluctuations, may increase the cost of financing or restrict the company’s access to this potential source of future liquidity. In addition, a decrease in the ratings that rating agencies assign to our short and long-term debt may also negatively impact our access to the debt capital markets and increase our cost of borrowing. As a result of occasional instability in the global financial markets, our liquidity may be affected, or our capital resources may not be sufficient to satisfy our liquidity needs. Although we believe that our existing cash and cash equivalents, cash provided by operations and available borrowings under our existing credit facilities will be adequate to satisfy our capital needs for the next 12 months, any renewed tightening of the credit markets could make it more difficult for us to access funds, enter into an agreement for new indebtedness or obtain funding through the issuance of our securities. Our credit facilities also have financial covenants which, if not met, may further impede our ability to access funds under such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terms of our credit facilities may restrict our current and future operations, which could adversely affect our ability to respond to changes in our business and to manage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credit facility agreements are directly between our wholly owned subsidiaries and the relevant banking institutions. Our term loan and asset-based revolving credit facility, and any additional debt financing we may incur would likely contain, covenants requiring us to maintain or adhere to certain covenants that restrict our operations, which include limitations on our ability to, among other things: incur additional indebtedness; create liens on property; engage in mergers, consolidations and other fundamental changes; dispose of assets; make investments, loans or advances; make certain acquisitions; engage in certain transactions with affiliates; declare or pay dividends on, or repurchase, our stock; and change our lines of business or fiscal year. Our term loan facility includes a financial maintenance covenant based on leverage, and our asset-based revolving credit facility includes a springing financial maintenance covenant based on a fixed charge coverage ratio that becomes applicable in certain circumstances. Additionally, the ability of our subsidiaries to pay upstream dividends and make other distributions to us is subject to certain covenants and limitations pursuant to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these covenants could adversely affect our ability to respond to changes in our business, manage our operations, invest capital in new businesses and fund capital expenditures. Our ability to comply with these covenants may be affected by changes in our operating and financial performance, changes in general business and economic conditions, adverse regulatory developments or other events beyond our control. A failure to comply could result in an event of default, upon which lenders could elect to declare all amounts outstanding to be due and payable. If we are in default, we may be unable to borrow additional amounts under our facilities and our ability to obtain future financing may be negatively impacted. If our indebtedness were to be accelerated, it would have a material adverse effect on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own sensitive and proprietary business information, we handle transactional and personal information about our employees, customers, consumers and users of our e-commerce websites. We also process data for a variety of marketing and advertising purposes, including email communications, affiliate partnerships, social media interactions, influencer partnerships, digital marketing, direct mailers and public relations initiatives, and, because of our data collection and processing activities, we are subject to various laws, regulations and industry standards. Increasingly complex and rigorous, and sometimes conflicting laws, regulatory standards, industry standards, external and internal privacy and security policies, contracts and other obligations govern the collection, use, retention, sharing and security of personal data, particularly in the context of digital marketing, which we rely upon to attract new customers. For example, the California Consumer Privacy Act of 2018 and similar state privacy laws impose obligations on companies to disclose to consumers information about how their personal data is collected, used, shared and stored and to provide certain individual privacy rights to persons, such as the right to request correction or deletion of personal data and the right to opt-out of certain sales or disclosures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Laws, regulations and industry standards relating to privacy, data protection, marketing and advertising and consumer protection continue to evolve as various federal and state legislative and regulatory bodies, or self-regulatory organizations, expand current laws or regulations, enact new laws or regulations or issue revised rules or guidance regarding privacy, data protection, consumer protection and advertising. These requirements may be interpreted and applied in a manner that is inconsistent from one jurisdiction to another or may conflict with other rules or our practices. Such evolving legislation may add additional complexity, variation in requirements, restrictions and potential legal risk, require additional investment in resources for compliance programs, and impact strategies and availability of previously useful data and could result in increased compliance costs and/or changes in business practices and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practices may not have complied with or may not comply in the future with all such laws, regulations, standards, requirements and obligations. Any failure, or perceived failure, by us to comply with any federal or state privacy or consumer protection-related laws, regulations, industry self-regulatory principles, industry standards or codes of conduct, regulatory guidance, orders to which we may be subject, contracts by which we are bound, or other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may also hurt our reputation, brand and business, force us to incur significant expenses in defense of such proceedings or actions, distract our management, increase our costs of doing business, result in a loss of customers, suppliers or vendors or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publish privacy policies, marketing materials, and other statements, such as statements regarding compliance with certain certifications or self-regulatory principles, regarding data privacy and security. If these policies, materials or statements are found to be deficient, lacking in transparency, deceptive, unfair or misrepresentative of our practices, then we may be subject to investigation, enforcement actions by regulators or other adverse consequences. For example, our compliance with our privacy policies and our general consumer data privacy and security practices may be subject to review by the Federal Trade Commission or the Attorney General of the states in which we operate, which may bring enforcement actions to challenge allegedly unfair and deceptive trade practices, including the violation of privacy policies and representations or material omissions therein. Negative publicity we might receive regarding any actual or perceived violations of consumer privacy rights, including fines and enforcement actions against us or other similarly placed businesses, may also impair consumers’ trust in our privacy practices and make them reluctant to give their consent to share their data with us.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governmental authorities continue to evaluate the privacy implications of third-party cookies and other online tracking methods used for behavioral advertising. Our use of such technologies subjects us to potential claims under the California Invasion of Privacy Act and similar laws, as well as risks from evolving legislation and browser-level restrictions that could limit the effectiveness of our digital marketing practices. If the use of these technologies is significantly restricted or our ability to employ them is impaired, our costs of operations could increase and our ability to acquire new customers on cost-effective terms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derive a significant portion of our operating income from our private label and co-brand credit card programs, and changes in consumer behavior, credit performance, or regulatory developments could materially reduce this revenue. </w:t>
      </w:r>
    </w:p>
    <w:p>
      <w:pPr>
        <w:pStyle w:val="TextBody"/>
        <w:bidi w:val="0"/>
        <w:spacing w:before="120" w:after="0"/>
        <w:jc w:val="left"/>
        <w:rPr>
          <w:rFonts w:ascii="Times New Roman" w:hAnsi="Times New Roman"/>
          <w:sz w:val="20"/>
        </w:rPr>
      </w:pPr>
      <w:r>
        <w:rPr>
          <w:rFonts w:ascii="Times New Roman" w:hAnsi="Times New Roman"/>
          <w:sz w:val="20"/>
        </w:rPr>
        <w:t xml:space="preserve">Our credit card operations facilitate sales and generate significant revenue from fees related to extending credit. Through both our primary private label credit card program and our “second look” co-branded credit card program, we receive royalty payments and other revenue sharing based primarily on net sales. The amount of revenue we earn is directly affected by customer purchase volume, revolving balances, credit quality, fee structures (including late fees), and applicable regulatory requirements. Regulatory developments, such as legislative actions by Consumer Financial Protection Bureau (CFPB), may materially reduce fee income and alter the economics of our agreement with our credit card partner. If certain fee limits are reduced or other regulatory changes occur, our royalty rates, marketing funds, and other revenue components may be reduced or restructured. In addition, declines in consumer spending, higher charge-offs, reduced approval rates, tighter credit standards, or operational changes by our bank partner could adversely impact net sales under the program. Any material reduction in credit card program revenue could have a material adverse effect on our financial condition, results of operations,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payment-related risks, including in our credit card operations. </w:t>
      </w:r>
    </w:p>
    <w:p>
      <w:pPr>
        <w:pStyle w:val="TextBody"/>
        <w:bidi w:val="0"/>
        <w:spacing w:before="120" w:after="0"/>
        <w:jc w:val="left"/>
        <w:rPr>
          <w:rFonts w:ascii="Times New Roman" w:hAnsi="Times New Roman"/>
          <w:sz w:val="20"/>
        </w:rPr>
      </w:pPr>
      <w:r>
        <w:rPr>
          <w:rFonts w:ascii="Times New Roman" w:hAnsi="Times New Roman"/>
          <w:sz w:val="20"/>
        </w:rPr>
        <w:t>We accept payments using a variety of methods, including our private label credit cards, co-branded credit cards, credit and debit cards, gift cards, mobile payments and online payments. Acceptance of these payment options subjects us to rules, regulations, contractual obligations and compliance requirements, including payment network rules and operating guidelines and rules governing electronic funds transfers. These requirements may change over time or be reinterpreted, making compliance more difficult, costly, or uncertain.</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Payment Card Industry Data Security Standard (“PCI-DSS”), which is a multifaceted security standard that is designed to protect credit card account data as mandated by payment card industry entities. The PCI-DSS requires companies to adopt certain measures to ensure the security of cardholder information, and noncompliance with PCI-DSS can result in penalties ranging from $5,000 to $100,000 per month by credit card companies, litigation, damage to our reputation and revenue losses. We use vendors to help us with PCI-DSS compliance. Despite our compliance efforts, we may become subject to claims that we have violated PCI-DSS, based on past, present, and future business practices, which could have an adverse impact on our business and reputation. </w:t>
      </w:r>
    </w:p>
    <w:p>
      <w:pPr>
        <w:pStyle w:val="TextBody"/>
        <w:bidi w:val="0"/>
        <w:spacing w:before="240" w:after="0"/>
        <w:jc w:val="left"/>
        <w:rPr>
          <w:rFonts w:ascii="Times New Roman" w:hAnsi="Times New Roman"/>
          <w:sz w:val="20"/>
        </w:rPr>
      </w:pPr>
      <w:r>
        <w:rPr>
          <w:rFonts w:ascii="Times New Roman" w:hAnsi="Times New Roman"/>
          <w:sz w:val="20"/>
        </w:rPr>
        <w:t>The payment and payment process methods that we accept subject us to potential fraud and theft by threat actors, which could negatively impact our revenue and profitability. If we fail to comply with applicable rules or requirements for the payment methods we accept, or if payment-related data is compromised due to a breach or misuse of data, we may be liable for costs incurred by third parties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adversely affecting our business and operating results.</w:t>
      </w:r>
    </w:p>
    <w:p>
      <w:pPr>
        <w:pStyle w:val="TextBody"/>
        <w:bidi w:val="0"/>
        <w:spacing w:before="240" w:after="0"/>
        <w:jc w:val="left"/>
        <w:rPr>
          <w:rFonts w:ascii="Times New Roman" w:hAnsi="Times New Roman"/>
          <w:sz w:val="20"/>
        </w:rPr>
      </w:pPr>
      <w:r>
        <w:rPr>
          <w:rFonts w:ascii="Times New Roman" w:hAnsi="Times New Roman"/>
          <w:sz w:val="20"/>
        </w:rPr>
        <w:t xml:space="preserve">Changes in credit card use and applications, payment patterns, credit fraud, and default rates may also result from a variety of economic, legal, social, and other factors that we cannot control or predict with certainty. Changes that adversely impact our ability to extend credit and collect payments or our customers’ ability to use credit products could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Reliance on promotions and markdowns to encourage customer purchases could adversely affect our gross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is dominated by large brands and national/mass retailers, where price competition, promotion and branded product assortment drive differentiation between competitors in the industry. To be competitive, we must offer customers compelling products at attractive prices, including through promotions and markdowns. Increased reliance on promotions and markdowns to encourage customers to purchase our merchandise could have a negative impact on our gross margins, results of operations and brand image.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email and other messaging services, and any restrictions on the sending of emails or messages or an inability to timely deliver such communications could have a material adverse effect on our net revenue and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highly dependent upon email and other messaging services for promoting our sites and products. Daily promotions offered through emails and other messages sent by us generate a significant portion of our revenue. We provide daily emails and periodic “push” communications to customers and other prospects informing them of what is available for purchase on our sites, and we believe these messages are an important part of our customer experience and help generate a substantial portion of our net revenue. If we are unable to successfully deliver emails or other messages to our subscribers, or if subscribers decline to open our emails or other messages, or otherwise “opt-out” of receiving emails from us, our net revenue and profitability would be materially adversely affected. Changes in how webmail applications organize and prioritize email may result in our emails being delivered in a less prominent location in a subscriber’s inbox or viewed as “spam”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subscribers and may reduce the likelihood of that subscriber opening our emails. Actions by third parties to block, impose restrictions on or charge for the delivery of emails or other messages could also adversely impact our business. From time to time, internet service providers or other regulations that limit our ability to send such communications or impose additional requirements upon us in connection with sending such communications would also adversely impact our business. Our use of email and other messaging services to send communications about our sites or other matters may also result in legal claims against us, which may cause us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that increase costs, limit promotional communications, limit our ability or our customers’ ability to send communications through their services, or disruptions or downtime experienced by these social networking services or decline in the use of or engagement with social networking services by customers and potential customers,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merchandise returns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allow our customers to return products, subject to our return policy. If merchandise returns are significant, or significantly more than we estimate,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or we may experience undetected production issues that result in products that do not meet our expected quality, which can increase return rates and harm our brand.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increased competition in the apparel industry or decreasing demand for plus-size products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compete with numerous direct-to-consumer companies and retailers, including national department store chains, men’s and women’s specialty apparel chains, outdoor specialty stores, apparel catalog businesses, sportswear marketers and online apparel businesses that sell similar lines of merchandise, for customers, vendors and personnel. Decreased demand for plus-sized clothing compared to an unchanged or increased number of competitors could lead to increased competition. Our competitors may be able to adopt more aggressive pricing and promotional policies, adapt to changes in customer tastes or requirements more quickly, devote greater resources to the design, sourcing, distribution, marketing and sale of their products or generate greater national brand recognition than us. In addition, our competitors may seek to emulate facets of our business strategy, which could result in a reduction of any competitive advantage or special appeal that we might possess. An inability to overcome these potential competitive disadvantages or effectively market our products relative to our competitors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acquire new companies, enter strategic partnerships, expand our existing brand portfolio or launch new brands or collections, and our failure to successfully perform these activities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pursue acquisitions or enter strategic partnerships that are consistent with our mission and enable us to leverage our competitive strengths. We have made strategic acquisitions in the past and may in the future consider strategic transactions and business arrangements, including acquisitions, asset purchases, strategic partnerships, joint ventures, restructurings, divestitures and investments. Acquiring and integrating new businesses involves additional risks that could adversely affect our growth and results of operations, including difficulties assimilating acquired operations, personnel, financial systems and general operating procedures, diversion of our capital and management’s attention from other business issues and opportunities, and the need to make accurate assumptions regarding valuation, operations and growth potential. Newly acquired businesses may be unprofitable, and we may incur significant costs and expenses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any acquisition, including in remerchandising and rebranding. Our ability to integrate newly acquired products or other acquired assets will depend on the successful expansion of our existing financial controls, distribution models, information systems, management and human resources and on attracting, training and retaining qualified employees. Any such transaction may require us to incur non-recurring or other charges, may increase our near and long-term expenditure and may pose significant integration challenges or disrupt our management or business, which could harm our operations and financial results. In addition, we may finance any future acquisition with equity or debt financing. Equity financing could result in dilution of stockholders, and any additional leverage that may be incurred with respect to any future acquisitions could adversely affect our profitability and limit our ability to capitalize on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launch new collections or expand our existing brand portfolio, both of which may require significant upfront investments, including investments in marketing, information technology and additional personnel. We may not be able to generate satisfactory revenue from these efforts to offset these upfront costs. Any lack of market acceptance of our efforts to launch new collections or expand our existing brand portfolio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Laws and regulations at the local, state, federal and international levels frequently change, and the ultimate cost of compliance cannot be precisely estimated. In addition, we cannot predict the impact that may result from regulatory or administrative changes. Changes in regulations, the imposition of additional regulations, or the enactment of any new or more stringent legislation that impacts employment and labor, advertising, data privacy, labeling, trade, product safety, transportation and logistics, tax, accounting, operations, or environmental issues, among others, could have an adverse impact on our results of operations, financial position and cash flows. Additionally, from time to time, we are involved in litigation incidental to our business. Our current exposure could change in the event of the discovery of damaging facts with respect to legal matters pending against us or determinations by judges, juries or other finders of fact that are not in accordance with management’s evaluation of the claims. Should management’s evaluation prove incorrect, our exposure could greatly exceed expectations and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In addition, laws and regulations governing the use of digital marketing channels are rapidly evolving. It may become more difficult for us to comply with such laws, and future data privacy laws and regulations or industry standards, as well as related enforcement, may restrict or limit our ability to use some or all the marketing strategies on which we currently rely. The failure by us, our employees or third parties acting at our direction to abide by applicable laws and regulations in the use of these digital marketing channels could adversely impact our reputation or subject us to fines or other penalties. See “—</w:t>
      </w:r>
      <w:r>
        <w:rPr>
          <w:rFonts w:ascii="Times New Roman" w:hAnsi="Times New Roman"/>
          <w:i/>
          <w:sz w:val="20"/>
        </w:rPr>
        <w:t>Failure to comply with federal and state laws and regulations and industry standards relating to privacy, data protection, advertising and consumer protection, or</w:t>
      </w:r>
      <w:r>
        <w:rPr>
          <w:rFonts w:ascii="Times New Roman" w:hAnsi="Times New Roman"/>
          <w:sz w:val="20"/>
        </w:rPr>
        <w:t xml:space="preserve"> </w:t>
      </w:r>
      <w:r>
        <w:rPr>
          <w:rFonts w:ascii="Times New Roman" w:hAnsi="Times New Roman"/>
          <w:i/>
          <w:sz w:val="20"/>
        </w:rPr>
        <w:t>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our agents’, suppliers’ and other partners’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proceedings or actions could force us to spend significant amounts in defense of these proceedings, distract our management, increase our costs of doing business, decrease the use of our sites by customers and vendors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In particular, if we are restricted, in whole or in part, from operating in one or more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retain or increase our customer base may be adversely affected, and we may not be able to maintain or grow our net revenue and expand our business as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combined public company following the merger, we may become subject to evolving disclosure and compliance obligations related to environmental, social, and governance matters, including proposed federal and state requirements regarding climate-related financial risk and greenhouse gas emissions disclosures. Many of these requirements remain subject to ongoing legal challenges and implementation uncertainty, and compliance could require the development of new data collection processes, internal controls, and reporting capabilities that we have not previously maintained as a private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risks associated with global sourcing and 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source substantially all our products from a network of vendors primarily in Asia and Africa, both directly and through the utilization of agents in select countries. We may also source products indirectly through domestic vendors with foreign sources. Our inability to effectively source inventory directly could negatively impact our ability to deliver our inventory supply and could disrupt our business, which may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at risk for increases in vendor costs and cannot be certain that we will not experience operational difficulties with these third-party vendors, such as reductions in the availability of production capacity, decline in plus-size clothing expertise, errors in complying with merchandise specifications, insufficient quality control and failure to meet production deadlines. The inability of a vendor to ship orders in a timely manner or to meet our safety, quality and social compliance standards could have a material adverse impact on our business,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face a variety of risks generally associated with doing business in foreign markets and importing merchandise from abroad (see also “— </w:t>
      </w:r>
      <w:r>
        <w:rPr>
          <w:rFonts w:ascii="Times New Roman" w:hAnsi="Times New Roman"/>
          <w:i/>
          <w:sz w:val="20"/>
        </w:rPr>
        <w:t>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political or labor instability in any of the countries in which our merchandise is manufactured or the channels through which it passes;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value of the U.S. dollar against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our manufacturers to comply with local laws, including labor laws, health and safety laws or labor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security and regulatory requirements applicable to imported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natural disasters, industrial accidents and public health concerns on our foreign sourcing offices and vendor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disruptions in shipping due to port security considerations, labor disputes, political instability or access restrictions to shipping routes such as the Suez Canal;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under the United States Foreign Corrupt Practices Act of 1977, as amended, and similar laws, economic sanctions laws, regulations and regimes (including those administered by the Office of Foreign Assets Control of the United States Department of the Treasury), restrictions related to forced labor and human rights concerns, and other international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delays of transportation.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ship most of our products from vendors to our domestic distribution centers by ocean. If a disruption occurs in the operation of ports through which our products transit, including disruptions caused by geopolitical instability affecting shipping routes, we and our vendors may have to ship some or all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from Asia or other regions by air freight or to alternative shipping destinations in the United States or Canada. Shipping by air is significantly more expensive than shipping by ocean and our profitability could be reduced. Similarly, shipping to alternative destinations in the United States or neighboring countries could lead to increased lead times and costs for our products. A disruption at ports (domestic or abroad) through which our products are imported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independent manufacturers to operate in compliance with applicable laws and our internal requirements, and we work with a third-party audit vendor to confirm a responsible and ethical supply chain. Our vendor code of conduct, guidelines for vendors or other vendor compliance programs promote ethical business practices and we monitor compliance with them; however, we do not control these manufacturers, their labor practices, the health and safety conditions of their facilities or from where they buy their raw materials. Any violation of labor, health, environmental, safety or other laws, including issues relating to human rights abuses, forced labor, or workplace safety violations, by any of the independent manufacturers we use could damage our reputation and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Unseasonal or severe weather conditions may adversely affect our merchandise sales.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may be adversely affected by unseasonal weather conditions. Sales of certain seasonal apparel items, are dependent in part on the weather and may decline in years in which weather conditions do not favor the use of these products. Sales of our spring and summer products, which traditionally consist of lighter clothing, swimwear, and the like, may be adversely affected by cool or wet weather. Similarly, sales of our fall and winter products, which include sweaters, flannel, outerwear, and the like, may be adversely affected by mild, dry or warm weather. </w:t>
      </w:r>
    </w:p>
    <w:p>
      <w:pPr>
        <w:pStyle w:val="TextBody"/>
        <w:bidi w:val="0"/>
        <w:spacing w:before="240" w:after="0"/>
        <w:jc w:val="left"/>
        <w:rPr>
          <w:rFonts w:ascii="Times New Roman" w:hAnsi="Times New Roman"/>
          <w:sz w:val="20"/>
        </w:rPr>
      </w:pPr>
      <w:r>
        <w:rPr>
          <w:rFonts w:ascii="Times New Roman" w:hAnsi="Times New Roman"/>
          <w:sz w:val="20"/>
        </w:rPr>
        <w:t xml:space="preserve">The effects of climate change may result in an increase in the frequency, severity, and duration of extreme weather conditions and natural disasters, as well as shifts in traditional seasonal weather patterns. Severe weather events may impact our ability to deliver orders to customers on schedule and staff our distribution and customer care centers, which could have an adverse effect on our business and results of operations. In addition, because we purchase inventory based in part on anticipated weather patterns, unanticipated weather or unseasonably severe weather may result in excess inventory or lost sales, either of which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protect our trademarks and other intellectual property rights, and third parties may claim that we infringe on their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trademarks and service marks are important to our success and competitive position due to their name recognition with our customers. We devote substantial resources to the establishment and protection of our trademarks and service marks on a worldwide basis, including in certain of the countries in which we have business operations or plan to have business operations. While we have registered our primary trademarks in our core product categories in the United States, because we have not registered all our trademarks in all categories, or in all foreign countries in which we may fulfill orders through third-party vendors for our merchandise, our international expansion and product merchandising using these marks could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trademark protection, we protect our assets through a combination of copyrights, trade secrets, patents and other intellectual property rights. Nevertheless, the actions we have taken, including establishing and protecting our trademarks and service marks, may not be adequate to prevent others from imitating our products or to prevent others from seeking to block sales of our products if we were to expand into other markets. Also, others may assert proprietary rights in our intellectual property, and we may not be able to successfully resolve these types of conflicts to our satisfaction. In addition, the laws of certain foreign countries may not protect our proprietary rights to the same extent as do the laws of the United States and laws and enforcement mechanisms to protect our intellectual property from unauthorized usage in new technologies, like AI, are evolving and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inadequate. See “—</w:t>
      </w:r>
      <w:r>
        <w:rPr>
          <w:rFonts w:ascii="Times New Roman" w:hAnsi="Times New Roman"/>
          <w:i/>
          <w:sz w:val="20"/>
        </w:rPr>
        <w:t>Our use and planned expansion of AI 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regarding our trademarks could be time-consuming and costly and we cannot assure that our rights in, or ownership of, our trademarks or other intellectual property rights would be upheld if challenged. The loss of exclusive use of our trademarks and other intellectual property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costly litigation in the event third parties claim our products or services infringe upon their proprietary rights. Third parties may have, or may in the future obtain, patents, including design patents, that our products, brands or technology may infringe. Any of these third parties could make a claim of infringement against us, and we may also be subject to claims by third parties that we have breached their copyright, trademark or license usage rights. We also face the risk of infringing third-party intellectual property rights from the use of outputs generated using AI which may contain or be substantially similar to third-party material protected by intellectual property, including patents, copyrights or trademarks. </w:t>
      </w:r>
    </w:p>
    <w:p>
      <w:pPr>
        <w:pStyle w:val="TextBody"/>
        <w:bidi w:val="0"/>
        <w:spacing w:before="240" w:after="0"/>
        <w:jc w:val="left"/>
        <w:rPr>
          <w:rFonts w:ascii="Times New Roman" w:hAnsi="Times New Roman"/>
          <w:sz w:val="20"/>
        </w:rPr>
      </w:pPr>
      <w:r>
        <w:rPr>
          <w:rFonts w:ascii="Times New Roman" w:hAnsi="Times New Roman"/>
          <w:sz w:val="20"/>
        </w:rPr>
        <w:t xml:space="preserve">Litigation could result in substantial expense to us and significant diversion of efforts by our technical and management personnel. An adverse determination in any such proceeding could subject us to significant liabilities to third parties, could prevent us from using our trademarks or other intellectual property rights or could require us to seek licenses from third parties and such licenses may be costly and may not be available on acceptable terms or at all. Adverse determinations in a judicial or administrative proceeding or failure to obtain necessary licenses could prevent us from commercializing our products, which would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Matters relating to unionized employees and multiemployer plan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employees are represented by a union. Participation in labor unions could put us at increased risk of labor strikes and disruption of our operations. Responding to unionization attempts may distract management and our workforce. If a significant number of our employees were to become unionized and collective bargaining agreement terms were significantly different from our current compensation arrangements, it could significantly increase our costs. Any of these changes could adversely affect our business,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our collective bargaining agreements require us to make periodic contributions on behalf of our unionized employees to defined benefit multiemployer pension plans. These plans have been determined to be in “critical status,” and we could be subject to withdrawal liability in the event of a withdrawal from such plans, which would be payable over an extended period and could adversely impact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shortages or increases in labor costs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labor shortage, particularly those of which occur in our distribution center during peak-selling periods, may negatively impact our ability to process inventory in a timely manner. Additionally,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results of operations, financial position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may place significant strains on our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may place a significant strain on our managerial, operational and financial resources. Moving forward, our systems, procedures or controls may not be adequate to support our operations, and we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unable to achieve the rapid execution necessary to successfully implement our business plan. Our future operating results, if any, will also depend on our ability to add additional personnel commensurate with the growth of our operations, if any. If we are unable to manage growth effectively, our business, results of operations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or negative publicity if we need to recall any product we sell or if we fail to comply with applicable product safety laws. </w:t>
      </w:r>
    </w:p>
    <w:p>
      <w:pPr>
        <w:pStyle w:val="TextBody"/>
        <w:bidi w:val="0"/>
        <w:spacing w:before="120" w:after="0"/>
        <w:jc w:val="left"/>
        <w:rPr>
          <w:rFonts w:ascii="Times New Roman" w:hAnsi="Times New Roman"/>
          <w:sz w:val="20"/>
        </w:rPr>
      </w:pPr>
      <w:r>
        <w:rPr>
          <w:rFonts w:ascii="Times New Roman" w:hAnsi="Times New Roman"/>
          <w:sz w:val="20"/>
        </w:rPr>
        <w:t xml:space="preserve">The products we sell are regulated by many different governmental bodies, including but not limited to the Consumer Product Safety Commission and the Food and Drug Administration in the United States, and similar state laws (including California’s Proposition 65) and international regulatory authorities. Although we test the products sold on our websites, selected products still could present safety problems of which we are not aware. This could lead us to recall selected products, either voluntarily or at the direction of a governmental authority and may lead to a lack of consumer acceptance or loss of consumer trust. Product safety concerns, recalls, defects or errors could result in the rejection of our products by customers, damage to our reputation, lost sales, product liability litigation and increased costs, any or all of which could harm our business and have a material adverse effect on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products we sell or manufacture may expose us to product liability claims relating to personal injury, death, or environmental or property damage. Certain third parties also sell products using our platform that may increase our exposure to product liability claims, such as if these sellers do not have sufficient protection from such claims. Although we maintain liability insurance, our coverage may not be adequate for liabilities actually incurred or insurance may not continue to be available to us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taxation risks, including income tax liabilities and state and local tax obligations, which could adversely affect our business. We are subject to income taxes in the United States (federal and state). Tax laws, regulations and administrative practices in various jurisdictions may be subject to significant change due to economic, political and other conditions, and significant judgment is required in evaluating and estimating our provision and accruals for these taxes. Our effective tax rates could be adversely affected by a tax authority challenging a position taken by the company, earnings being lower than anticipated in jurisdictions where we have lower statutory rates and higher than anticipated in jurisdictions where we have higher statutory rates, losses incurred in jurisdictions for which we are not able to realize the related tax benefit, entry into new businesses and geographies and changes to our existing businesses, acquisitions (including integrations) and investments, changes in our deferred tax assets and liabilities and their valuation, and changes in the relevant tax, accounting, and other laws, regulations, administrative practices, principles, and interpretations. We are also subject to audit in various jurisdictions, and such jurisdictions may assess additional income tax liabilities against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our tax estimates are reasonable, the outcome of any tax audits, investigations, and related litigation could be materially different from our historical income tax provisions and accruals. </w:t>
      </w:r>
    </w:p>
    <w:p>
      <w:pPr>
        <w:pStyle w:val="TextBody"/>
        <w:bidi w:val="0"/>
        <w:spacing w:before="240" w:after="0"/>
        <w:jc w:val="left"/>
        <w:rPr>
          <w:rFonts w:ascii="Times New Roman" w:hAnsi="Times New Roman"/>
          <w:sz w:val="20"/>
        </w:rPr>
      </w:pPr>
      <w:r>
        <w:rPr>
          <w:rFonts w:ascii="Times New Roman" w:hAnsi="Times New Roman"/>
          <w:sz w:val="20"/>
        </w:rPr>
        <w:t xml:space="preserve">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or more states or municipalities could assert that the Company is liable for sales and use, commerce, or similar type of taxes,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ship product to retail customers throughout the United States. In </w:t>
      </w:r>
      <w:r>
        <w:rPr>
          <w:rFonts w:ascii="Times New Roman" w:hAnsi="Times New Roman"/>
          <w:i/>
          <w:sz w:val="20"/>
        </w:rPr>
        <w:t>South Dakota v. Wayfair, Inc. et al</w:t>
      </w:r>
      <w:r>
        <w:rPr>
          <w:rFonts w:ascii="Times New Roman" w:hAnsi="Times New Roman"/>
          <w:sz w:val="20"/>
        </w:rPr>
        <w:t xml:space="preserve"> (“Wayfair”), the U.S. Supreme Court ruled that states may charge tax on purchases made from out-of-state sellers, even if the seller does not have a physical presence in the taxing state. The effect of Wayfair was to uphold economic nexus principles in determining sales and use tax nexus. As a result of the decision, most states have adopted laws that require an out-of-state retailer to register and collect sales and use or other non-income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type taxes upon meeting certain economic nexus standards regardless of whether the company has physical presence in the state. Although we believe we are complying with the applicable legislative requirements and collecting taxes where obligated to do so, our interpretation and application of the legislation may differ from the states, which could result in the states’ attempt to impose additional tax liabilities, including potential penalties and interest. Furthermore, the requirements by state or local governments on out-of-state sellers to collect sales and use taxes could deter future sales, which could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employment matters, compliance with the Americans with Disabilities Act of 1990, footwear, apparel and accessory safety standards, product liability claims, security of customer and employee personal information, advertising and promotional practices, contractual relations with vendors, marketing and infringement of trademarks and other intellectual property rights. Litigation to defend ourselves against claims by third parties, or to enforce any rights that we may have against third parties, may be necessary, which could result in substantial costs and diversion of our resources, causing a material adverse effect on our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intangible assets become impaired, we may be required to record a significant charge to earnings.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intangible assets. Our intangible asset balances as of January 3, 2026, was approximately $131.1 million. We test indefinite-lived intangible assets for impairment at least annually or more frequently if indicators of impairment exist. Such assets are considered to be impaired when the net book value of an intangible asset exceeds its estimated fair value. An impairment of a significant portion of our intangible assets could materially adversely affect our financial condition and results of operations. </w:t>
      </w:r>
    </w:p>
    <w:p>
      <w:pPr>
        <w:pStyle w:val="TextBody"/>
        <w:bidi w:val="0"/>
        <w:spacing w:before="480" w:after="0"/>
        <w:jc w:val="center"/>
        <w:rPr>
          <w:rFonts w:ascii="Times New Roman" w:hAnsi="Times New Roman"/>
          <w:b/>
          <w:sz w:val="20"/>
        </w:rPr>
      </w:pPr>
      <w:bookmarkStart w:id="12" w:name="tx76201_10"/>
      <w:bookmarkEnd w:id="12"/>
      <w:r>
        <w:rPr>
          <w:rFonts w:ascii="Times New Roman" w:hAnsi="Times New Roman"/>
          <w:b/>
          <w:sz w:val="20"/>
        </w:rPr>
        <w:t xml:space="preserve">Risks Related to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risks relate to the combined company and would apply only if the merger is consummated. There can be no assurance that the merger will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would have a substantial amount of indebtedness following the merger, which could materially adversely affect its financial condition and ability to comply with its covenants.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 would be expected to have a significant amount of indebtedness, including obligations under the A&amp;R Term Loan Facility (defined below) and the Combined ABL Facility (defined below). The combined company’s level of indebtedness could have material consequences, including requiring a substantial portion of its cash flow from operations to be dedicated to the payment of principal and interest thereon, increasing its vulnerability to adverse economic and industry conditions, limiting its flexibility in planning for or reacting to changes in its business or competitive environment, limiting its ability to obtain additional financing for working capital, capital expenditures, acquisitions or other corporate purposes, and placing it at a competitive disadvantage relative to competitors with less indebtedness. If the combined company’s cash flow declines, it may be required to reduce capital expenditure, delay growth initiatives, or seek additional capital on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and the Combined ABL Facility would contain financial and other restrictive covenants that limit our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certain preferred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dividends, distributions or other restricted payments;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mergers or other fundamental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or repurchase certain subordinated or junior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would include a financial maintenance covenant requiring compliance with a maximum total net leverage ratio. The Combined ABL Facility is expected to include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comply with these covenants may be affected by events beyond its control, including prevailing economic, financial and industry conditions. If the combined company fails to comply with these covenants and is unable to obtain waivers or amendments from its lenders, an event of default could occur, which could result in the acceleration of indebtedness and the enforcement of remedies against collateral securing such indebtedness. In such circumstances, the combined company may not have sufficient liquidity to repay accelerated obligations and may not be able to obtain alternative financing on acceptable terms, or at all.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A&amp;R Term Loan Facility and the Combined ABL Facility,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ABL Facility has not yet been entered into, and the combined company may not be able to establish such facility on the anticipated terms or within the expected timeframe, which could adversely affect its liquidity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ABL Facility is expected to be implemented in connection with the closing of the merger, subject to the terms and conditions set forth in the Bank of America Commitment Letter (as defined below). The Combined ABL Facility has not yet been entered into, and although DXL and FBB have agreed to use reasonable best efforts to establish the Combined ABL Facility, there can be no assurance that such facility would be entered into on the anticipated terms or within the expected timeframe if the conditions set forth in the Bank of America Commitment letter are not met. </w:t>
      </w:r>
    </w:p>
    <w:p>
      <w:pPr>
        <w:pStyle w:val="TextBody"/>
        <w:bidi w:val="0"/>
        <w:spacing w:before="240" w:after="0"/>
        <w:jc w:val="left"/>
        <w:rPr>
          <w:rFonts w:ascii="Times New Roman" w:hAnsi="Times New Roman"/>
          <w:sz w:val="20"/>
        </w:rPr>
      </w:pPr>
      <w:r>
        <w:rPr>
          <w:rFonts w:ascii="Times New Roman" w:hAnsi="Times New Roman"/>
          <w:sz w:val="20"/>
        </w:rPr>
        <w:t xml:space="preserve">In addition, availability under the Combined ABL Facility is expected to be subject to a borrowing base based primarily on eligible inventory and accounts receivable and may be reduced by reserves or other adjustments imposed by lenders. As a result, the amount of loans available for borrowing may fluctuate based on seasonal or other changes in working capital and lender discretion under the applicable credit documentation. If the Combined ABL Facility is not established on anticipated terms or if borrowing availability thereunder is more limited than expected, the combined company’s liquidity and financial flexibility could be adversely affected, which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and the Combined ABL Facility is not established before October 14, 2026, the commitments for the Combined ABL Facility will expire, and DXL and FBB may be unable to obtain replacement financing on comparable terms, or at all, particularly in light of FBB’s deteriorating financial condition and increased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Combined ABL Facility is expected to be provided pursuant to the Bank of America Commitment Letter. Under the terms of the Bank of America Commitment Letter, the commitments thereunder expire upon the earliest of (i) 11:59 p.m. (Eastern time) on the date that is one business day after the end date under the merger agreement, (ii) October 14, 2026, (iii) the closing date, (iv) termination of the merger agreement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of the merger and (v) consummation of the merger with or without the use of the Combined ABL Facility. Accordingly, if the merger is not completed and definitive documentation for the Combined ABL Facility is not executed before the applicable expiration date, the commitments pursuant to the Bank of America Commitment Letter will terminate, and the Combined ABL Facility will not be available unless Bank of America agrees to extend or renew its commitments. There can be no assurance that Bank of America would agree to any such extension or renewal. </w:t>
      </w:r>
    </w:p>
    <w:p>
      <w:pPr>
        <w:pStyle w:val="TextBody"/>
        <w:bidi w:val="0"/>
        <w:spacing w:before="240" w:after="0"/>
        <w:jc w:val="left"/>
        <w:rPr>
          <w:rFonts w:ascii="Times New Roman" w:hAnsi="Times New Roman"/>
          <w:sz w:val="20"/>
        </w:rPr>
      </w:pPr>
      <w:r>
        <w:rPr>
          <w:rFonts w:ascii="Times New Roman" w:hAnsi="Times New Roman"/>
          <w:sz w:val="20"/>
        </w:rPr>
        <w:t xml:space="preserve">Any effort to extend, renew or replace the commitments under the Bank of America Commitment Letter would occur against the backdrop of FBB’s continued deterioration in operating performance and financial condition and its increased indebtedness since execution of the merger agreement. As a result, there can be no assurance that replacement financing would be available on terms comparable to those contemplated by the Bank of America Commitment Letter, within the required timeframe, or at all. Any such financing may provide less borrowing capacity, impose more restrictive covenants or conditions, require additional credit support, or carry materially higher fees and interest costs than the Combined ABL Facility currently contemplated. </w:t>
      </w:r>
    </w:p>
    <w:p>
      <w:pPr>
        <w:pStyle w:val="TextBody"/>
        <w:bidi w:val="0"/>
        <w:spacing w:before="240" w:after="0"/>
        <w:jc w:val="left"/>
        <w:rPr>
          <w:rFonts w:ascii="Times New Roman" w:hAnsi="Times New Roman"/>
          <w:sz w:val="20"/>
        </w:rPr>
      </w:pPr>
      <w:r>
        <w:rPr>
          <w:rFonts w:ascii="Times New Roman" w:hAnsi="Times New Roman"/>
          <w:sz w:val="20"/>
        </w:rPr>
        <w:t xml:space="preserve">The expiration of the commitments under the Bank of America Commitment Letter without an extension, renewal or replacement financing could materially delay or prevent the completion of the merger. Even if alternative financing were obtained and the merger were completed, financing on less favorable terms or with reduced borrowing availability could materially impair the combined company’s liquidity, financial flexibility and ability to fund working capital, capital expenditures, integration activities and other operational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The combined company may need to increase brand awareness, successfully grow its store portfolio, grow its digital business, maintain a state-of-the-art website, predict and respond to fashion trends, grow its existing customer base, hire qualified personnel, build successful collaborations and alliances, grow and sustain the number of transactions, units-per-transaction and share of wallet and operate at appropriate operating margins. Failure to grow its market share could have a material adverse effect on the combined company’s results of operations, cash flows, and financial position. Even if the combined company does achieve profitability, it may not be able to sustain or increase profitability on a quarterly or annual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integration of FBB with DXL may present significant challenges, and the combined company may not realize anticipated synergies and other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independent businesses is complex, costly and time-consuming, and combining DXL’s and FBB’s businesses and operations may divert significant management attention and resources and disrupt the combined company’s business if the merger is consummated. The failure to meet the challenges involved in integrating the businesses and to realize the anticipated benefits of the transaction could cause an interruption of, or a loss of momentum in, the combined company’s business activities and could adversely affect its results of operations. The overall combination of the DXL business and the FBB business may also result in material unanticipated problems, expenses, liabilities, competitive responses, and loss of customer and other business relationships. The risks and difficulties of integration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operations and systems, including intellectual property and communications systems, administrative and information technology infrastructure and financial reporting and internal control systems, some of which may prove to be incompatible;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standards, controls, procedures and accounting and other policies, business cultures and compensation structures between the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employees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existing, and obtaining new customers and suppliers;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expanded operations of a significantly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realizing contingent liabilities that are larger than expected;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DXL’s control and, if the merger is consummated, would be outside the control of the combined company, and any one of them could result in lower revenues, higher costs and diversion of management time and energy, which could materially impact the business, financial condition and results of operations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operations of the DXL business and the FBB business are integrated successfully, the full benefits of the transaction may not be realized, including expected synergies, cost savings or sales or growth opportunities. These benefits may not be achieved within the anticipated time frame or at all. Further, additional unanticipated costs may be incurred in the integration of the DXL business and the FBB business. All of these factors could cause dilution to the earnings per share of DXL, decrease or delay the projected accretive effect of the transaction, and negatively impact the price of DXL common stock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the combined company would also depend on relationships with third parties and pre-existing customers of DXL and FBB, which relationships may be affected by customer or third-party preferences or public attitudes about the merger. Any adverse changes in these relationships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success would depend on its ability to maintain and renew relationships with pre-existing customers, suppliers and other third parties of both DXL and FBB, and its ability to establish new relationships. There can be no assurance that the business of the combined company would be able to maintain and renew pre-existing contracts and other business relationships, or enter into or maintain new contracts and other business relationships, on acceptable terms, if at all. The failure to maintain important business relationships could have a material adverse effect on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consummated, the combined company’s stock price would be expected to be volatile, and the market price of its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following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changes in the economy and general market volatility, including the effects of inflation and/or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news announcements regarding the combined company’s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comparable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or termination of, key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or changes in laws applicable to the combined company (such as increased wage and paid benefits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affecting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the combined company’s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views as to the prospects of the combined company or the retail clothing industry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stock markets in general have experienced substantial volatility that has often been unrelated to the operating performance of individual companies or the retail clothing industry.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unable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reporting obligations of being a public company in the United States are expensive and time-consuming, and the combined company’s management would be required to devote substantial time to compliance matters.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FBB as the accounting acquirer would be responsible for the combined company’s public company obligations. Although DXL is currently a public company, FBB has operated as a privately held company and has not been subject to public company reporting requirements. The combined company would therefore incur significant additional legal, accounting and other expenses as FBB implements and integrates the controls and procedures necessary for public company compliance for the first time. The obligations of being a public company in the United States require significant expenditures and would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FBB had as a privately held company. The combined company’s management and other personnel would need to devote a substantial amount of time to ensure that the combined company complies with all of these requirements and to keep pace with new regulations, otherwise the combined company may fall out of compliance and risk becoming subject to litigation or being delisted, among other potential problems.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sale or availability for sale of a substantial number of shares of common stock of the combined company after the merger and the private placement and after expiration of applicable lock-up periods could adversely affect the market price of such shares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common stock of the combined company in the public market after the merger, the private placement or if existing stockholders of DXL and FBB sell, or indicate an intention to sell, substantial amounts of the combined company’s common stock in the public market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DXL and FBB are unable to predict what effect, if any, market sales of securities held by significant stockholders, directors or officers of the combined company or the availability of these securities for future sale would have on the market price of the combined company’s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the combined company’s common stock may be highly concentrated, and it may prevent other stockholders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former FBB stockholders (including the private placement investors) are estimated to beneficially own or control approximately 55% of the combined company on a fully diluted basis using the treasury stock method. Accordingly, former FBB stockholders would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 </w:t>
      </w:r>
    </w:p>
    <w:p>
      <w:pPr>
        <w:pStyle w:val="TextBody"/>
        <w:bidi w:val="0"/>
        <w:spacing w:before="360" w:after="0"/>
        <w:jc w:val="left"/>
        <w:rPr>
          <w:rFonts w:ascii="Times New Roman" w:hAnsi="Times New Roman"/>
          <w:sz w:val="20"/>
        </w:rPr>
      </w:pPr>
      <w:r>
        <w:rPr>
          <w:rFonts w:ascii="Times New Roman" w:hAnsi="Times New Roman"/>
          <w:b/>
          <w:i/>
          <w:sz w:val="20"/>
        </w:rPr>
        <w:t>Certain significant stockholders of the combined company could attempt to influence changes which could adversely affect the combined company’s operations, financial condition and the value of DXL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certain former stockholders of FBB would hold significant ownership positions in the combined company, including Oaktree Opportunities Fund Xb Holdings (Delaware), L.P., Oaktree Opportunities Fund XI Holdings (Delaware), L.P. and certain of their affiliates (“Oaktree”), which would hold approximately 26.9% of the outstanding equity. Stockholders with significant ownership stakes may from time to time seek to influence corporate actions, engage in proxy solicitations, advance stockholder proposals or otherwise attempt to effect changes at the combined company. Such campaigns may seek to increase short-term stockholder value through actions such as financial restructuring, increased debt, special dividends, stock repurchases or sales of assets or the entire company. Responding to proxy contests and other actions by significant stockholders can be costly and time-consuming and could disrupt the combined company’s operations and divert the attention of the board of directors and senior management from executing the combined company’s business strategy. These actions could adversely affect the combined company’s operations, financial condition and the value of your investment in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do not anticipate that the combined company would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would be expected to retain its future earnings, if any, to fund the development and growth of the combined company’s business. As a result, capital appreciation, if any, of the combined company’s common stock would be the stockholders’ sole source of gain, if any,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be sustained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FBB’s common stock. An active trading market for the combined company’s shares of common stock may not be sustained. If an active market for its common stock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would be influenced by the research and reports that industry or equity research analysts publish about it and its business. Equity research analysts may elect not to provide research coverage of the combined company’s common stock after the completion of the merger, if the merger is consummated, and such lack of research coverage may adversely affect the market price of its common stock. In the event it does have equity research analyst coverage, the combined company would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would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success would depend significantly on its key personnel and its ability to attract and retain additional personnel.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the combined company’s success would be dependent on the personal efforts, performance and abilities of its key management, which includes its executive officers as well as members of its senior management. The loss of any of its senior management may result in a loss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organizational focus, poor operating execution, an inability to identify and execute strategic initiatives, an impairment in its ability to identify new store locations, and an inability to consummate possible acquisitions. The competition is intense for the type of highly skilled individuals with relevant industry experience that the combined company would require, and it may not be able to continue to attract and retain new employees of the caliber needed to achieve its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combined company’s charter documents and under Delaware law could make an acquisition of the combined company more difficult and may prevent attempts by the combined company’s stockholders to replace or remove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combined company’s amended and restated certificate of incorporation and bylaws may delay or prevent an acquisition or a change in management. These provisions include the ability of the board of directors to issue preferred stock without stockholder approval. In addition, because the combined company would be incorporated in Delaware, it is governed by the provisions of Section 203 of the Delaware General Corporation Law (the “DGCL”), which prohibits stockholders owning in excess of 15% of the outstanding combined company’s voting stock from merging or combining with the combined company in certain circumstances. Although DXL and FBB believe these provisions collectively would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of the combined company,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bylaws of the combined company would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bylaws of the combined company would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would provide that the federal district courts would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shares of the combined company’s capital stock shall be deemed to have notice of and to have consented to the provisions of the combined company’s bylaws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business is seasonal and unfavorable general political and economic conditions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business is expected to be seasonal. Historically, a significant portion of DXL’s operating income has been generated during its second and fourth quarters. If, for any reason, the combined company miscalculates the demand for its products during these quarters, its sales in that quarter could decline, resulting in higher labor costs as a percentage of sales, lower margins and excess inventory, which could cause the combined company’s annual operating results to suffer. Due to seasonality, the possible adverse impact from such risks is potentially greater if any such risks occur during the combined company’s second and fourth quarters. Additionally, the combined company’s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the combined company in ways it cannot predict. In addition, global economies, conflicts, trade negotiations and policies may directly or indirectly affect the combined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76201_11"/>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121 of this proxy statement describe the material aspects of the merger, including the merger agreement. While DXL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DXL has referred to or incorporated by reference herein. For a more detailed description of where you can find those other documents, please see the section entitled “Where You Can Find Additional Information” beginning on page 228 of this proxy statement. 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14" w:name="tx76201_12"/>
      <w:bookmarkEnd w:id="14"/>
      <w:r>
        <w:rPr>
          <w:rFonts w:ascii="Times New Roman" w:hAnsi="Times New Roman"/>
          <w:b/>
          <w:sz w:val="20"/>
        </w:rPr>
        <w:t xml:space="preserve">Terms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DXL Board, the board of directors of a wholly owned direct subsidiary of DXL (the “merger subsidiary”) and the Board of Directors of FBB has unanimously approved the merger agreement. The merger agreement provides that, pursuant to the terms and subject to the conditions set forth in the merger agreement, the merger subsidiary would merge with and into FBB, with FBB continuing as the surviving corporation and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shares outstanding of DXL common stock and FBB common stock immediately prior to the effective time of the merger, in each case, on a fully diluted basis using the treasury stock method.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The Merger Agreement</w:t>
      </w:r>
      <w:r>
        <w:rPr>
          <w:rFonts w:ascii="Times New Roman" w:hAnsi="Times New Roman"/>
          <w:sz w:val="20"/>
        </w:rPr>
        <w:t xml:space="preserve">” for additional and more detailed information regarding the legal documents that govern the merger, including information about conditions to the completion of the merger and provisions for terminating or amending the merger agreement. </w:t>
      </w:r>
    </w:p>
    <w:p>
      <w:pPr>
        <w:pStyle w:val="TextBody"/>
        <w:bidi w:val="0"/>
        <w:spacing w:before="360" w:after="0"/>
        <w:jc w:val="left"/>
        <w:rPr>
          <w:rFonts w:ascii="Times New Roman" w:hAnsi="Times New Roman"/>
          <w:b/>
          <w:sz w:val="20"/>
        </w:rPr>
      </w:pPr>
      <w:bookmarkStart w:id="15" w:name="tx76201_13"/>
      <w:bookmarkEnd w:id="15"/>
      <w:r>
        <w:rPr>
          <w:rFonts w:ascii="Times New Roman" w:hAnsi="Times New Roman"/>
          <w:b/>
          <w:sz w:val="20"/>
        </w:rPr>
        <w:t xml:space="preserve">Prior Approval and Continued Evaluation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was unanimously approved by the DXL Board in December 2025 following consideration of the factors described elsewhere in this proxy statement. The discussion included in this proxy statement reflects the considerations evaluated at that time and, in part, information provided by FBB or its representatives, and is provided for historical context only.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during the first half of 2026, the DXL Board reviewed updated information regarding market conditions and developments affecting the retail industry and consumer spending environment. The DXL Board observed what it viewed as a more challenging consumer and retail operating environment than existed when the merger agreement was approved in December 2025 and evaluated whether those developments had adversely affected the outlook for DXL, FBB and the combined company and the assumptions underlying the DXL Board’s approval of the merger agreement. In conducting that evaluation, the DXL Board considered, among other things, that the challenging consumer and retail environment appeared to have disproportionately adversely affected FBB’s business, operating performance and financial results as compared to DXL and the broader market generally. </w:t>
      </w:r>
    </w:p>
    <w:p>
      <w:pPr>
        <w:pStyle w:val="TextBody"/>
        <w:bidi w:val="0"/>
        <w:spacing w:before="240" w:after="0"/>
        <w:jc w:val="left"/>
        <w:rPr>
          <w:rFonts w:ascii="Times New Roman" w:hAnsi="Times New Roman"/>
          <w:sz w:val="20"/>
        </w:rPr>
      </w:pPr>
      <w:r>
        <w:rPr>
          <w:rFonts w:ascii="Times New Roman" w:hAnsi="Times New Roman"/>
          <w:sz w:val="20"/>
        </w:rPr>
        <w:t xml:space="preserve">During May 2026, the DXL Board reviewed the May 2026 Supplemental Financial Analyses. Those analyses indicated that, under certain assumptions and methodologies, FBB could have limited or potentially negative equity value. In evaluating the May 2026 Supplemental Financial Analyses and FBB’s projected future performance, the DXL Board also considered DXL management’s assessment that certain assumptions underlying FBB’s long-range financial projections, including projected improvements in sales trends and growth rates, were not supported by FBB’s recent operating performance and historical trends. Because the DXL Board had not reviewed analyses indicating a potential negative equity value for FBB when it approved the merger agreement in December 2025, it evaluated whether those analyses affected the relative value attributed to FBB, the valuation assumptions underlying the merger agreement and the appropriateness of the ownership structure contemplated by the merger agreement, including the ownership percentage that would be held by DXL stockholders following the merger and the resulting dilution to existing DXL stockholders. </w:t>
      </w:r>
    </w:p>
    <w:p>
      <w:pPr>
        <w:pStyle w:val="TextBody"/>
        <w:bidi w:val="0"/>
        <w:spacing w:before="240" w:after="0"/>
        <w:jc w:val="left"/>
        <w:rPr>
          <w:rFonts w:ascii="Times New Roman" w:hAnsi="Times New Roman"/>
          <w:sz w:val="20"/>
        </w:rPr>
      </w:pPr>
      <w:r>
        <w:rPr>
          <w:rFonts w:ascii="Times New Roman" w:hAnsi="Times New Roman"/>
          <w:sz w:val="20"/>
        </w:rPr>
        <w:t>The DXL Board’s review of these matters was informed by ongoing discussions with management and its advisors and by the May 2026 DXL-Provided Financial Projections and the May 2026 Supplemental Financial Analyses reviewed by the DXL Board during May 2026, as described under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discussed elsewhere in this proxy statement. The DXL Board considered these developments collectively, rather than in isolation, in evaluating whether the merger and the issuance proposal continued to be advisable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evaluation, including these considerations, the DXL Board has determined that the merger and the transactions contemplated by the merger agreement, including the issuance proposal, are no longer advisable and are not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For a more complete discussion of the DXL Board’s current recommendation and the reasons for that determination, please see “—</w:t>
      </w:r>
      <w:r>
        <w:rPr>
          <w:rFonts w:ascii="Times New Roman" w:hAnsi="Times New Roman"/>
          <w:i/>
          <w:sz w:val="20"/>
        </w:rPr>
        <w:t>DXL’s Reasons for Recommending Against the Issuance Proposal; Updated Recommendation of the DXL 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x76201_14"/>
      <w:bookmarkEnd w:id="16"/>
      <w:r>
        <w:rPr>
          <w:rFonts w:ascii="Times New Roman" w:hAnsi="Times New Roman"/>
          <w:b/>
          <w:sz w:val="20"/>
        </w:rPr>
        <w:t xml:space="preserve">Effect on DXL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share issuances and amendments to the restated certificate of incorporation to effect the reverse stock split expected to be necessary for the merger are not approved by DXL stockholders, or if the merger is not consummated for any other reason, FBB will not be combined with DXL and DXL will continue to operate as it did prior to entering into the merger agreement. 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Moreover, DXL will also incur the costs and expenses of the merger and this proxy solicitation whether or not the merger is consummated. </w:t>
      </w:r>
    </w:p>
    <w:p>
      <w:pPr>
        <w:pStyle w:val="TextBody"/>
        <w:bidi w:val="0"/>
        <w:spacing w:before="360" w:after="0"/>
        <w:jc w:val="left"/>
        <w:rPr>
          <w:rFonts w:ascii="Times New Roman" w:hAnsi="Times New Roman"/>
          <w:b/>
          <w:sz w:val="20"/>
        </w:rPr>
      </w:pPr>
      <w:bookmarkStart w:id="17" w:name="tx76201_15"/>
      <w:bookmarkEnd w:id="1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merger agreement and certain events that followed, including developments since the execution of the merger agreement that caused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DXL Board to withdraw its prior recommendation in favor of the merger and the issuance proposal and recommend that the DXL stockholders vote against the issuance proposal. The following chronology does not purport to be complete and may not contain all of the information that is important to you, nor does it catalogue every conversation or correspondence by or among members of the DXL Board, DXL management, DXL’s advisors and representatives or other parties and their respective affiliates, advisors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and its senior management regularly review and discuss DXL’s historical performance, future growth prospects and overall strategic objectives and consider a variety of potential financial and strategic opportunities to enhance stockholder value. These reviews have periodically included consideration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2024, representatives of DXL and FBB, including Harvey Kanter, former president and chief executive officer of DXL, and Jim Fogarty, the chief executive officer of FBB, had occasionally met to discuss the potential for strategic transactions between the companies. In November 2023, Mr. Kanter was contacted by email by Mr. Fogarty for a meeting, and Mr. Kanter and Mr. Fogarty held a call to discuss the potential for a combination of DXL and FBB and indicated willingness to enter into a non-disclosure agreement to facilitate further discussions. On February 12, 2024, DXL, FBB, Oaktree, and Goldman Sachs Specialty Lending Group, L.P., entered into a certain mutual confidentiality and non-disclosure agreement. The agreement included a customary one-year standstill provision which did not contain a so-called “don’t ask, don’t waive” provision prohibiting FBB from requesting a private waiver of the standstill.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2024, at a meeting of the DXL Board, Mr. Kanter provided an update to the DXL Board regarding his communications with Mr. Fogarty about the potential combination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2024, representatives of each of DXL and FBB, including Mr. Kanter and Mr. Fogarty, met to discuss a potential combination transaction, including potential cost and commercial synergies. Over the next approximately two months, both parties conducted due diligence on each other and engaged in a series of meetings and break-out sessions to discuss the business and operations of each of DXL and FBB.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DXL and Guggenheim Securities entered into a certain non-disclosure agreement in connection with the DXL Board’s evaluation of Guggenheim Securities’ role as a potential financial advisor for DXL’s review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26, 2024, Fund 1 Investments, LLC (“PLP”), with respect to its shares of the DXL common stock held for the benefit of private investment vehicles for which Pleasant Lake Partners LLC serves as investment advisor, filed a Schedule 13D, disclosing its ownership of 5,732,261 shares of DXL Common Stock, representing a 9.8% ownership interest in DXL. Additionally, PLP also disclosed that it held certain cash-settled swaps, pursuant to cash-settled swap agreements with an unaffiliated third-party financial institution, which corresponded to an aggregate of 4,444,011 notional shares of the DXL common stock, representing approximately 7.6%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PLP amended its Schedule 13D to disclose that the cash-settled swaps corresponded to an aggregate of 5,136,073 notional shares of the DXL common stock, representing approximately 8.8%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at a meeting of the DXL Board, Mr. Kanter provided an update to the DXL Board regarding PLP, its ownership percentage in DXL and its prior interest in acquiring DXL. The DXL Board discussed that DXL was not for sale and that a non-disclosure agreement with a standstill would be required for further conversations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2024, Lionel Conacher, the chairman of the DXL Board, Mr. Kanter and Peter Stratton, the chief financial officer of DXL, met with management of PLP. The purpose of the meeting was to introduce PLP to the chairman of the DXL Board and to better understand PLP’s intention as a large stockholder of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13, 2024, PLP amended its Schedule 13D to disclose that the cash-settled swaps corresponded to an aggregate of 5,728,573 notional shares of the DXL common stock, representing approximately 9.8%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2024, the DXL Board met by videoconference, with representatives from Greenberg Traurig, LLP, DXL’s outside counsel (“Greenberg Traurig”), to discuss the meeting with PLP and determined that DXL would be open to receiving a written proposal from PLP. The DXL Board instructed Greenberg Traurig to relay that determination to PLP’s counsel, which GT communicated on September 16,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Mr. Fogarty called Mr. Kanter to discuss FBB’s intent to propose a merger between the two companies in a stock-for-stock transaction that would result in DXL stockholders owning 35% of the combined company and FBB stockholders owning 65% of the combined company. Later that same day, FBB delivered to DXL a non-binding indication of interest reflecting such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2024, the DXL Board met by videoconference, with representatives from Greenberg Traurig, and discussed FBB’s non-binding indication of interest and the recent communications with PLP. At the meeting, the DXL Board created a “Transaction Committee,” consisting of Messrs. Lionel Conacher, Jack Boyle and Willem Mesdag (the “DXL Transaction Committee”), to efficiently explore strategic and financial alternatives. The DXL Transaction Committee was granted full and exclusive authority of the DXL Board to take all actions with respect to exploring a potential strategic transaction with both FBB and PLP, including utilizing the DXL Board’s financial, accounting and legal advisors. The DXL Transaction Committee also directed Mr. Mesdag to meet with management of PLP to discuss a potential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2024, representatives of Guggenheim Securities, at the direction of the DXL Transaction Committee, reached out to FBB to request that FBB provide certain financial information in order for DXL to better assess whether a potential combination transaction could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at the direction of the DXL Transaction Committee, Mr. Mesdag met with management of PLP to discuss a possible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2024, DXL, FBB, Oaktree, and Goldman Sachs Specialty Lending Group, L.P. entered into a certain amended confidentiality and non-disclosure agreement to extend the term of the agreement by eight months.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2024, Mr. Conacher met with Mr. Fogarty to discuss a possible strategic partnership and reviewed certain financial information about FBB that FBB had shared with DXL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DXL and Guggenheim Securities entered into an engagement letter to formalize Guggenheim Securities’ role as lead financial advisor in connection with DXL’s review of strategic and financial alternatives, including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23, 2024, PLP sent a letter to DXL seeking increased ownership interest in DXL and a waiver of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2024, the DXL Transaction Committee met with representatives of Guggenheim Securities to review the PLP letter and the possible strategic partnership opportunity with FBB. Representatives of Guggenheim Securities presented potential scenarios of a merger and discussed the various benefits and risks associated therewith to be considered by the DXL Transaction Committee in exploring the opportunities with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2024, PLP further amended its Schedule 13D to disclose its ownership of 5,758,261 shares of DXL Common Stock, representing a 10.6% ownership interest in DXL. Additionally, PLP also disclosed that the cash-settled swaps it held corresponded to an aggregate of 5,763,573 notional shares of the DXL common stock, representing approximately 10.6% of the outstanding shares of the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10, 2024, DXL responded to PLP’s letter dated November 23, 2024, informing PLP that DXL determined to not authorize any further acquisition of DXL securities by PLP or exempt PLP from Section 203 of the DGCL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representatives of Guggenheim Securities, at the direction of the DXL Transaction Committee, met with Mr. Fogarty and representatives from FBB’s largest stockholders and provided feedback from the DXL Transaction Committee as to DXL’s interest in pursuing a stock-for-stock merger with FBB that would result in DXL stockholders owning 50% of the combined company. FBB informed representatives of Guggenheim Securities that they would be open to pursuing such transaction, pending their due diligence on DXL. Representatives of Guggenheim Securities conveyed this message to DXL management on December 11, 2024, which was then communicated by DXL management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PLP delivered a non-binding, unsolicited letter to DXL expressing its interest in acquiring all of the outstanding shares of common stock of DXL that are not owned by PLP or its affiliates for cash consideration of $3.00 per share, subject to the completion of due diligence and negotiation of the terms of a definitive agreement. On the same day, the DXL Transaction Committee met with representatives of Guggenheim Securities to review the PLP letter and potential next steps. Following a presentation of financial analyses by Guggenheim Securities, the DXL Transaction Committee instructed Guggenheim Securities to communicate to PLP that while DXL appreciated the interest in the Company and welcomed further discussions subject to entering into a non-disclosure agreement to discuss the offer, PLP’s offer undervalued DXL. The DXL Transaction Committee believed that PLP would be able to improve its proposal if DXL provided PLP with non-public information after PLP’s entry into a confidentiality and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PLP amended its Schedule 13D to disclose the offer letter, which was also filed as an exhibit to Schedule 13D. On the same day, the DXL Board met by videoconference, with representatives from Guggenheim Securities, to receive an update from the DXL Transaction Committee about PLP’s non-binding, unsolicited offer and to receive an update regarding the strategic opportunity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the DXL Transaction Committee held a meeting and directed Guggenheim Securities to contact FBB and other potential interested parties to discuss and evaluate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directed by the DXL Transaction Committee, over the following several weeks, representatives of Guggenheim Securities reached out to approximately 20 parties, including both strategic and financial buyers, to discuss their interest in a potential strategic transaction. Out of the approximately 20 parties contacted, only FBB and PLP agreed to engage with DXL. Representatives of Guggenheim Securities provided regular updates to DXL management during such outreach and DXL management provided regular updates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2025, the DXL Transaction Committee was reconstituted to include the entire DXL Board in order to streamline decision-making and ensure full board alignment in support of continuing discussions and negotiations with both PLP and FBB. On the same day, DXL and PLP entered into a confidentiality and non-disclosure agreement, which provided for a term of one year and included an 8-month standstill provision which would terminate if DXL were to enter into an agreement with a third party providing for a change of control transaction of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2025, FBB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PLP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During the next four months, FBB and its advisors conducted due diligence on DXL and PLP and its advisors separately conducted due diligence on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30, 2025, PLP submitted a revised non-binding bid to acquire all of the outstanding shares of common stock of DXL that were not owned by PLP or its affiliates for $1.49 – $1.92 per share in cash. PLP explained that the reduction in the proposed value was primarily a result of the declining macroeconomic environment, potential tariffs and changing consumer behavior. </w:t>
      </w:r>
    </w:p>
    <w:p>
      <w:pPr>
        <w:pStyle w:val="TextBody"/>
        <w:bidi w:val="0"/>
        <w:spacing w:before="240" w:after="0"/>
        <w:jc w:val="left"/>
        <w:rPr>
          <w:rFonts w:ascii="Times New Roman" w:hAnsi="Times New Roman"/>
          <w:sz w:val="20"/>
        </w:rPr>
      </w:pPr>
      <w:r>
        <w:rPr>
          <w:rFonts w:ascii="Times New Roman" w:hAnsi="Times New Roman"/>
          <w:sz w:val="20"/>
        </w:rPr>
        <w:t xml:space="preserve">On May 2, 2025, FBB delivered to DXL an indicative non-binding proposal proposing, among other things, a stock-for-stock merger between the two companies that would result in DXL stockholders owning 40% of the combined company and FBB stockholders owning 60% of the combined company. The proposal provided that the initial board of directors of the combined company would be composed of nine members, with four designated by DXL, four designated by FBB and the chief executive officer of the combined company, and that the board of directors of the combined company would select the chairperson of the board as well as the chairpersons of the committees of the board. The proposal also provided that the combined company would be led by Mr. Fogarty as its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DXL Transaction Committee met by videoconference, with representatives from Guggenheim Securities and Greenberg Traurig, and discussed the offers proposed by PLP and FBB. A representative from Guggenheim Securities discussed the potential synergies with each of PLP and FBB and reviewed DXL as a standalone company, and also discussed updating DXL’s business operating plan. Following the discussion, the DXL Transaction Committee directed Guggenheim Securities to continue the dialogue with each of PLP and FBB and to seek updated proposals from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May 27, 2025, the DXL Transaction Committee met by videoconference, with representatives from Guggenheim Securities and Greenberg Traurig. The DXL Transaction Committee discussed certain financial projections and the various assumptions accompanying such projections, which were prepared by the DXL management team in advance of the meeting. Additionally, a representative of Greenberg Traurig discussed the fiduciary duties of the DXL Board when considering alternatives that may be available to DXL.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representatives of FBB provided DXL senior management with certain financial projections for FBB covering the calendar years ending December 31, 2025 through December 31, 2029 (the “May 2025 FBB-Provided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From May 2025 to June 2025, FBB and PLP conducted additional due diligence to further refine their respective bids. During this time, members of the senior management of DXL and FBB held virtual meetings to determine the potential strategic and cost synergy opportunity from a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the DXL Transaction Committee met by videoconference, with representatives from Guggenheim Securities and Greenberg Traurig. A representative of Guggenheim Securities and members of the DXL management team provided an update on the recent communications with both FBB and PLP, and also discussed the timing and cadence of each proposal. The DXL Transaction Committee continued to discuss and assess the potential benefits of a business combination for DXL.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PLP submitted a revised bid to acquire all of the outstanding shares of common stock of DXL that are not owned by PLP or its affiliates for $1.96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FBB reaffirmed its interest in a stock-for-stock merger with DXL that would result in DXL stockholders owning 40% of the combined company and FBB stockholders owning 60%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23, 2025, the DXL Transaction Committee met by videoconference, with representatives from Guggenheim Securities and Greenberg Traurig present. A representative from Greenberg Traurig discussed the fiduciary duties of the DXL Board in general in assessing strategic transactions. The DXL Transaction Committee discussed the history and current status of negotiations, the terms proposed by FBB and PLP, the various benefits and risks of the proposals, and also considered DXL’s prospects as an independent company. Following this discussion, the DXL Transaction Committee directed Guggenheim Securities to provide PLP with DXL’s counteroffer of $3.00 per share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June 23, 2025 and July 23, 2025, representatives of Guggenheim Securities, at the direction of the DXL Transaction Committee, and representatives of PLP had several conversations about valuation for a transaction with PLP. During these conversations, there was a verbal offer of $2.05 per share purchase price by PLP. </w:t>
      </w:r>
    </w:p>
    <w:p>
      <w:pPr>
        <w:pStyle w:val="TextBody"/>
        <w:bidi w:val="0"/>
        <w:spacing w:before="240" w:after="0"/>
        <w:jc w:val="left"/>
        <w:rPr>
          <w:rFonts w:ascii="Times New Roman" w:hAnsi="Times New Roman"/>
          <w:sz w:val="20"/>
        </w:rPr>
      </w:pPr>
      <w:r>
        <w:rPr>
          <w:rFonts w:ascii="Times New Roman" w:hAnsi="Times New Roman"/>
          <w:sz w:val="20"/>
        </w:rPr>
        <w:t xml:space="preserve">On July 20, 2025, the DXL Transaction Committee met by videoconference, with representatives from Guggenheim Securities and Greenberg Traurig present. A representative from Guggenheim Securities discussed valuation approaches and considerations in evaluating strategic transactions generally and provided an update on the status of discussions with PLP. Following this discussion, the DXL Transaction Committee determined that it would provide a number at which DXL would be willing to engage in transaction negotiations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the DXL Transaction Committee met by videoconference, with representatives from Guggenheim Securities and Greenberg Traurig present. A representative from Guggenheim Securities provided an update on the status of discussions with PLP since the July 20, 2025 DXL Transaction Committee meeting. Following this discussion, the DXL Transaction Committee approved a price of $2.20 per share to engage in transaction negotiations and directed Guggenheim Securities to relay this price to PLP. The same day, representatives of Guggenheim Securities relayed to PLP the DXL $2.20 per share price at which the DXL Transaction Committee would be willing to engage in transaction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DXL and PLP agreed to a non-binding $2.20 per share purchase price, subject to PLP’s due diligence on DXL and negotiation of the terms of a definitive agreement. Over the next couple of months, PLP conducted further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the DXL Transaction Committee met by videoconference, with representatives from Guggenheim Securities and Greenberg Traurig present, and discussed the status of discussions with PLP. The DXL Transaction Committee instructed Greenberg Traurig to send the draft definitive agreement, which had been prepared by Greenberg Traurig and circulated to the full DXL Board in advance of this meeting, to PLP.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2025, PLP communicated to Guggenheim Securities that it had lowered its bid to $1.60 per share due to a decrease in DXL’s market price and general market conditions. Representatives of Guggenheim Securities informed DXL’s senior management of PLP’s decreased bid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3, 2025, the DXL Transaction Committee met by videoconference, with representatives from Guggenheim Securities and Greenberg Traurig present, and discussed the revised bid proposed by PLP. Following this discussion, the DXL Transaction Committee directed Guggenheim Securities to inform PLP that DXL was not interested in pursuing a sale transaction with PLP. The DXL Transaction Committee also instructed Guggenheim Securities to continue the dialogue with FBB about a potential transaction opportunity. That same day, representatives of Guggenheim Securities notified management of each of PLP and FBB of the DXL Transaction Committee’s decision.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representatives of FBB reached out to representatives of Guggenheim Securities and described a potential financing transaction that could reduce FBB’s balance sheet debt prior to any transaction with DXL. Following FBB’s outreach, representatives of Guggenheim Securities informed DXL senior management of FBB’s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the DXL Transaction Committee met by videoconference, with representatives from Guggenheim Securities and Greenberg Traurig present, and discussed the recent conversation that Guggenheim Securities had with FBB regarding the potential reduction of FBB’s balance sheet debt. The DXL Transaction Committee reviewed detailed financial and market information about FBB and considered current and prospective market conditions, the potential synergies of the combined company, the various benefits and risks of a sale transaction with FBB, and DXL’s prospects as an independent company. Based upon these discussions, the DXL Transaction Committee instructed Guggenheim Securities to inform FBB that DXL would be interested in pursuing a stock-for-stock transaction with FBB if FBB’s debt was reduced by $125 million and if the merger would result in DXL stockholders owning 50%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17, 2025, representatives of Guggenheim Securities met with representatives of FBB by telephone to provide feedback from the DXL Transaction Committee regarding its willingness to pursue a transaction if FBB’s debt was reduced by $125 million and DXL’s stockholders held 50% ownership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FBB submitted a counteroffer, proposing a $100 million debt reduction and a stock-for-stock merger that would result in 40% ownership of the combined company for the DXL stockholders and 60% ownership of the combined company for the FBB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the DXL Transaction Committee met by videoconference, with representatives from Guggenheim Securities and Greenberg Traurig attending, and discussed and assessed the counteroffer by FBB. The DXL Transaction Committee again considered the financial prospects of remaining independent and the various benefits and risks of a sale transaction with FBB. Based upon these discussions, the DXL Transaction Committee instructed Guggenheim Securities to counteroffer with a $100 million debt reduction and 49% ownership of the combined company for the DXL stockholders. On the same day, as instructed by the DXL Transaction Committee, representatives of Guggenheim Securities submitted to DXL’s counteroffer to FBB, proposing a $100 million debt reduction and 49%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2025, representatives of FBB notified Guggenheim Securities that it was willing to transact on the terms provided in DXL’s latest counteroffer, which was to pursue a stock-for-stock merger, subject to the completion of due diligence review and negotiation of the terms of a definitive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DXL Transaction Committee met by videoconference, with representatives from Guggenheim Securities and Greenberg Traurig attending. A representative from Guggenheim Securities provided an update that FBB approved DXL’s counteroffer. Representatives of Guggenheim Securities and Greenberg Traurig also discussed the various factors to be considered by the DXL Transaction Committee in negotiating a definitive agreement, including contractual covenants with respect to FBB’s planned debt reduction. The representative of Greenberg Traurig also discussed general timing of the proposed transaction with FBB and the major action items needed to consummate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representatives from each of DXL, FBB, Guggenheim Securities, Greenberg Traurig, Rothschild &amp; Co (“Rothschild”), financial advisor to FBB, and Cleary Gottlieb Steen &amp; Hamilton LLP (“Cleary Gottlieb”), outside counsel to FBB, met by videoconference to provide information about their respective organizations and the potential transaction between DXL and FBB. </w:t>
      </w:r>
    </w:p>
    <w:p>
      <w:pPr>
        <w:pStyle w:val="TextBody"/>
        <w:bidi w:val="0"/>
        <w:spacing w:before="240" w:after="0"/>
        <w:jc w:val="left"/>
        <w:rPr>
          <w:rFonts w:ascii="Times New Roman" w:hAnsi="Times New Roman"/>
          <w:sz w:val="20"/>
        </w:rPr>
      </w:pPr>
      <w:r>
        <w:rPr>
          <w:rFonts w:ascii="Times New Roman" w:hAnsi="Times New Roman"/>
          <w:sz w:val="20"/>
        </w:rPr>
        <w:t xml:space="preserve">During October 2025, after reviewing additional operating results that became available following FBB’s delivery of its May 2025 FBB-Provided Financial Projections, DXL senior management raised questions regarding certain assumptions and forecasts reflected in those projections based on concerns regarding the continued reliability of those projections in light of FBB’s then-current operating performance and trends. Specifically, DXL senior management questioned whether certain assumptions underlying the May 2025 FBB-Provided Financial Projections remained achievable, including assumptions regarding improvements in net sales trends, gross margin performance, future acquisition activity and projected organic growth rates. DXL senior management discussed with representatives of FBB, among other things, how FBB expected its business performance to improve from a year-over-year decline in net sales during the first quarter of 2025 to positive sales growth during the remainder of 2025, how FBB expected gross margins to improve relative to first quarter performance, whether acquisitions reflected in the projections had been specifically identified and the basis for the projected organic growth rates in the outer years of the forecast period. Following discussions with DXL senior management concerning these matters, representatives of FBB orally communicated and discussed adjusted assumptions and forecasts. The adjusted assumptions and forecasts reflected, among other things, management’s updated expectations regarding FBB’s operating performance and trends and reduced projected net sales, profitability and cash flow assumptions to reflect the deterioration in FBB’s business performance between May 2025 and October 2025. DXL senior management considered these adjusted assumptions and forecasts in its ongoing evaluation of FBB and the merger. The adjusted assumptions and forecasts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subsequently reflected in the financial information reviewed by Guggenheim Securities and the DXL Board in connection with the DXL Board’s approval of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from Greenberg Traurig and Cleary Gottlieb met by videoconference to discuss legal and structuring topics, including the proposed timeline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2025, Greenberg Traurig distributed an initial draft of the merger agreement to Cleary Gottlieb. Between October 13, 2025 and December 11, 2025, multiple drafts of the merger agreement were exchanged and negotiated, and representatives of Greenberg Traurig and Cleary Gottlieb participated in a series of calls and videoconferences to discuss and negotiate various matters, including the merger agreement and other ancillary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2025, the DXL Transaction Committee met by videoconference, with representatives from Guggenheim Securities and Greenberg Traurig attending. The DXL Transaction Committee discussed certain key terms in the merger agreement, and a representative from Greenberg Traurig provided the DXL Transaction Committee with an update regarding the status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the DXL Transaction Committee met with Mr. Fogarty by videoconference, with representatives from Guggenheim Securities and Greenberg Traurig present, and discussed the current status of FBB and the contemplated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representatives of FBB informed representatives of Guggenheim Securities that after conversations with its equity and debt holders, and due to a significant decrease in DXL’s stock price, FBB was submitting a revised offer, proposing a $75 million debt reduction and 49% ownership of the combined company for the DXL stockholders. Representatives of Guggenheim Securities informed DXL’s senior management of FBB’s revised offer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DXL Transaction Committee met by videoconference, with representatives from Guggenheim Securities and Greenberg Traurig present, and discussed the latest proposal by FBB provided to Guggenheim Securities the day before this meeting. Following this discussion, the DXL Transaction Committee determined that FBB must reduce its debt by $100 million in order for the transaction to move forward. The DXL Transaction Committee instructed Guggenheim Securities to relay this position to FBB.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representatives of Guggenheim Securities reached out to representatives of FBB to communicate the DXL Transaction Committee’s determination with respect to FBB’s debt.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FBB countered with a $100 million debt reduction and 45%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the DXL Transaction Committee met by videoconference, with representatives from Guggenheim Securities and Greenberg Traurig attending, and discussed the counteroffer by FBB. The DXL Transaction Committee again considered the financial prospects of remaining independent. Based upon these discussions, the DXL Transaction Committee instructed Guggenheim Securities to counteroffer with (i) a $100 million debt reduction, (ii) 45% ownership of the combined company for the DXL stockholders and (iii) a requirement that the board of directors of the combined company would be composed of nine members, with four designated by DXL, four designated by FBB and one independent director to be mutually agreed to by DXL and FBB, and that the designees of DXL would select the chairperson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representatives of Guggenheim Securities conveyed to representatives of FBB that DXL was prepared to move forward with negotiations at the terms set forth by the DXL Transaction Committee at its November 5 DXL Transaction Committee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14, 2025, FBB informed representatives of Guggenheim Securities that, after consultation with its lenders and shareholders, FBB was only prepared to offer approximately $92 million in debt reduction. Representatives of FBB relayed this debt reduction limitation to Guggenheim Securities along with the accompanying proposal for ownership of approximately 45% ownership of the combined company for the DXL stockholders. FBB added that it agreed to DXL’s governance proposal relating to 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2025, the DXL Transaction Committee met by videoconference, with representatives from Guggenheim Securities and Greenberg Traurig present, and reviewed the counteroffer by FBB and the latest discussion that had taken place between FBB and Guggenheim Securities. The DXL Transaction Committee instructed Guggenheim Securities to (i) prepare certain pro forma financial information regarding the combined company based on the December 2025 DXL-Provided Financial Projections provided to Guggenheim Securities by DXL’s senior management and (ii) request from FBB the debt documents in connection with FBB’s debt reduction for DXL’s review in connection with the proposed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2025, the DXL Transaction Committee met by videoconference, with representatives from Guggenheim Securities and Greenberg Traurig present. Representatives of Guggenheim Securities presented a preliminary financial analysis of the proposed terms by FBB, noting the $92 million in debt paydown as compared to the $100 million paydown the DXL Transaction Committee had previously proposed. Further, the DXL Transaction Committee and its advisors discussed whether to continue to engage in discussions with FBB. Following this discussion, the DXL Transaction Committee directed Guggenheim Securities to work with FBB, on DXL’s behalf, to finalize the transaction on the terms proposed by FBB, subject to finalization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Greenberg Traurig delivered to Cleary Gottlieb an initial draft of the voting agreement, which provided, among other things, for certain DXL stockholders to vote in favor of the transactions contemplated by the merger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Greenberg Traurig delivered to Cleary Gottlieb an initial draft of the lock-up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2025, the compensation committee of the DXL Board (the “DXL compensation committee”) met by videoconference, with representatives from Greenberg Traurig present, and discussed the treatment of DXL’s outstanding equity awards under DXL’s stock-approved incentive compensation plan in connection with the proposed transaction with FBB. The DXL compensation committee asked certain questions, which were responded to by representatives of Greenberg Traurig.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FBB distributed to DXL certain debt documents in connection with its proposed debt reduction. Over the next several days, representatives of FBB and DXL had calls and videoconferences to discuss and negotiate the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the DXL Board met by videoconference, with representatives from Guggenheim Securities and Greenberg Traurig present. A representative of Greenberg Traurig provided an overview of the process for approving the merger transaction by the DXL Board and also discussed the current draft of the merger agreement. A representative of Guggenheim Securities provided an overview of the process for the DXL Board requesting Guggenheim Securities to issue a fairness opinion in connection with the transaction and discussed certain economic and strategic considerations in connection with the proposed merger with FBB.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compensation committee met by videoconference, with representatives from Guggenheim Securities and Greenberg Traurig present, and discussed certain compensation arrangements in connection with the proposed merger with FBB, to ensure compliance with Section 409A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Board met by videoconference, with representatives from Guggenheim Securities and Greenberg Traurig present. Representatives of Greenberg Traurig reviewed the final merger agreement,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principal terms and conditions, as well as the ancillary agreements, and responded to questions from the DXL Board regarding the legal ramifications of those terms and conditions. The DXL Board was also reminded of its fiduciary duties to stockholders in connection with the proposed merger transaction, as well as the applicable legal standards governing their deliberations and decision-making process. Greenberg Traurig also summarized DXL’s rights and obligations under the proposed merger agreement. Also at this meeting of the DXL Board, Guggenheim Securities reviewed its financial analyses of the merger consideration and rendered an oral opinion, confirmed by delivery of a written opinion dated December 10, 2025, to the DXL Board to the effect that, as of that date and based on and subject to the matters considered, the procedures followed, the assumptions made and various limitations of and qualifications to the review undertaken, the merger consideration was fair, from a financial point of view, to the stockholders of DXL. Guggenheim Securities also delivered to the DXL Board a copy of its conflicts disclosure letter, dated December 10, 2025, summarizing the material relationships that Guggenheim Securities has with FBB and other parties affiliated with FBB. All questions posed by the members of the DXL Board were answered by management and representatives of Guggenheim Securities and Greenberg Traurig, as appropriate, and the DXL Board engaged in a discussion regarding the terms of the proposed transaction, the results of the transaction process, and the factors supporting the DXL Board’s determination that the proposed transaction is in the best interests of DXL and its stockholders. After such presentations and discussions, the DXL Board voted unanimously to approve the resolutions which, among other things, formally approved the merger agreement and related matters and authorized management, with the assistance of counsel, to finalize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December 10, 2025 DXL Board meeting, representatives of Greenberg Traurig, Guggenheim Securities, Cleary Gottlieb and Rothschild worked throughout the evening of December 10 and into the morning of December 11 to finalize the merger agreement and all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December 11, 2025, the DXL Board re-convened by videoconference, with representatives from Guggenheim Securities and Greenberg Traurig present, and discussed the execution version of the merger agreement and transaction documents, including any edits from those reviewed at the December 10 DXL Board meeting. After review and discussion of the final merger agreement, the DXL Board voted unanimously to approve the resolutions, which, among other things, formally approved the definitive merger agreement and related matters and authorized management, with the assistance of counsel, to execute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representatives of DXL, Merger Sub, and FBB executed the merger agreement. Concurrently with the execution of the merger agreement, certain directors and stockholders of DXL executed voting agreements, and certain stockholders of FBB executed lock-up agreements. Immediately following the execution of the merger agreement, FBB delivered the FBB stockholder written consents approving the FBB stockholder matters, including approval of the merger. Later that afternoon, the transaction was publicly announced and representatives of DXL and FBB held a joint webcast for investors.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DXL received an unsolicited takeover proposal (“unsolicited proposal”) from Zodiac Partners, a private holding company and an acquisition entity of Camac Partners, a registered investment firm based in Florida. On the same day, DXL shared the unsolicited proposal with Guggenheim Securities and Greenberg Traurig, and on January 10, 2026, DXL shared the unsolicited proposal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DXL Board met by videoconference, with representatives from Guggenheim Securities and Greenberg Traurig present, to discuss the unsolicited proposal and the material terms included therein, including the take-private proposal in an all-cash transaction and the acquisition price of $1.25 per share. The DXL Board carefully reviewed and considered the unsolicited proposal in accordance with the terms of the merger agreement and in consideration of its fiduciary duties under Delaware law. The DXL Board also consulted with outside legal and financial advisors. Following such consultation and deliberation among the members of the DXL Board, the DXL Board determined that the unsolicited proposal did not represent the best value or course of action for DXL stockholders, did not constitute a DXL Superior Proposal (as defined in the merger agreement), and was not reasonably likely to lead to a DXL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20, 2026, representatives of Guggenheim Securities, at the direction of the DXL Board, had a telephone conference with representatives of Zodiac Partners to inform Zodiac Partners of the DXL Board’s decision to not take any action with respect to the unsolicited proposal for the reasons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Guggenheim Securities received a follow-up letter from Zodiac Partners addressed to the DXL Board, which reaffirmed Zodiac Partners’ continued interest in DXL and sought a limited due diligence process, and promptly shared the letter with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Greenberg Traurig, at the direction of the DXL Board, sent a response letter to Zodiac Partners setting forth the reasons why the DXL Board came to its determination to not take any actions with respect to the unsolicited proposal, including the DXL Board’s fiduciary duties under Delaware law as well as its determination that the unsolicited proposal did not constitute a DXL Superior Proposal under the merger agreement and was not likely to lead to a DXL Superior Proposal. Following such response letter, DXL did not engage in further negotiations with Zodiac Partners and did not provide Zodiac Partners with access to non-public information regarding DXL.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financial officer of DXL executed a voting agreement with FBB.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DXL notified Mr. Kanter that it did not intend to renew his employment agreement. This notification was provided in accordance with Mr. Kanter’s expressed desire to retire, and as required by his employment agreement. Accordingly, Mr. Kanter’s employment agreement expired, and his employment with DXL terminated,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Zodiac Partners commenced a tender offer (the “Zodiac tender offer”) to acquire all outstanding shares of DXL common stock at a price of $0.82 per share in cash, subject to the terms and conditions set forth in the Offer to Purchase on Schedule TO filed with the U.S. Securities and Exchange Commission (the “SEC”). On the same date, DXL delivered a notice to FBB pursuant to the Merger Agreement informing FBB of the commencement of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DXL Board met by videoconference, with representatives from Guggenheim Securities and Greenberg Traurig present, to discuss the Zodiac tender offer and the terms thereof. The DXL Board discussed its fiduciary duties to stockholders in connection with the proposed Zodiac tender offer as well as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the DXL Board met by videoconference, with representatives from Greenberg Traurig present. In connection with the DXL Board’s evaluation of the Zodiac tender offer, DXL’s senior management updated certain previously prepared financial projections for DXL for the fiscal period ending January 31, 2035, which included projected revenues, operating income, capital expenditures, cost reductions, working capital requirements and other relevant financial metrics over such period. The projections had been reasonably prepared on bases reflecting the best then-currently available estimates and judgments of DXL’s senior management as to the expected future performance of DXL. The DXL Board discussed and approved these projections and determined to instruct Guggenheim Securities to use these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DXL filed a Solicitation/Recommendation Statement on Schedule 14D-9C with the SEC, which included a press release stating that the DXL Board was evaluating the Zodiac tender offer in consultation with its financial and legal advisors and advising stockholders to take no action at that time pending such evaluation. </w:t>
      </w:r>
    </w:p>
    <w:p>
      <w:pPr>
        <w:pStyle w:val="TextBody"/>
        <w:bidi w:val="0"/>
        <w:spacing w:before="240" w:after="0"/>
        <w:jc w:val="left"/>
        <w:rPr>
          <w:rFonts w:ascii="Times New Roman" w:hAnsi="Times New Roman"/>
          <w:sz w:val="20"/>
        </w:rPr>
      </w:pPr>
      <w:r>
        <w:rPr>
          <w:rFonts w:ascii="Times New Roman" w:hAnsi="Times New Roman"/>
          <w:sz w:val="20"/>
        </w:rPr>
        <w:t xml:space="preserve">Also on May 22, 2026, DXL senior management met with Mr. Fogarty and Ryan Abren, chief financial officer of FBB, to discuss FBB’s long-range financial projections and the assumptions underlying those projections. During the meeting, DXL senior management sought additional information regarding FBB’s projected future growth, including the assumptions supporting projected improvements in operating performance, the outlook for FBB’s New Mall and Classic Mall businesses and assumptions relating to future acquisition opportunities.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discussed its expectations regarding macroeconomic conditions, customer trends and certain business initiatives that it believed would support future growth. Following the meeting, DXL senior management continued to evaluate the assumptions underlying the projections in light of FBB’s recent operating performance. </w:t>
      </w:r>
    </w:p>
    <w:p>
      <w:pPr>
        <w:pStyle w:val="TextBody"/>
        <w:bidi w:val="0"/>
        <w:spacing w:before="240" w:after="0"/>
        <w:jc w:val="left"/>
        <w:rPr>
          <w:rFonts w:ascii="Times New Roman" w:hAnsi="Times New Roman"/>
          <w:sz w:val="20"/>
        </w:rPr>
      </w:pPr>
      <w:r>
        <w:rPr>
          <w:rFonts w:ascii="Times New Roman" w:hAnsi="Times New Roman"/>
          <w:sz w:val="20"/>
        </w:rPr>
        <w:t>On May 24, 2026, the DXL Board met by videoconference, with representatives from Greenberg Traurig present. Following a request from DXL, FBB’s senior management updated certain previously prepared financial projections for FBB for the calendar year ending December 31, 2029, which included projected revenues, operating income, capital expenditures, cost reductions, working capital requirements and other relevant financial metrics over such period (these projections, as updated, being referred to herein as the May 2026 FBB-Provided Financial Projections (as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senior management updated the DXL Board on discussions had with FBB management regarding the May 2026 FBB-Provided Financial Projections and the underlying assumptions made by FBB management in the preparation of such financial projections. In addition, DXL’s senior management updated the May 2026 FBB-Provided Financial Projections to extend them through the calendar year ending December 31, 2034 and to adjust for other assumptions regarding macroeconomic conditions, consumer retail conditions, future revenue growth and operating margins reflecting the best then-currently available estimates and judgments of DXL’s senior management as to the expected future performance of FBB. The DXL Board discussed such FBB financial projections, as revised by DXL senior management in similar nature and degree as adjustments made to the May 2025 FBB-Provided Financial Projections, and determined to scale back some of the adjustments made by DXL senior management in order to give greater effect to FBB’s assumptions and forecasts (such FBB financial projections, as updated by DXL senior management and as further updated by the DXL Board are included and a part of the May 2026 DXL-Provided Financial Projections). The DXL Board discussed and approved the May 2026 DXL-Provided Financial Projections and determined to instruct Guggenheim Securities to use the May 2026 DXL-Provided Financial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On May 25, 2026, the DXL Board met by videoconference, with representatives from Guggenheim Securities, Greenberg Traurig and Joele Frank, Wilkinson Brimmer Katcher (“Joele Frank”) present. The DXL Board discussed the status of the Zodiac tender offer, including the timeline for DXL’s responses and the legal requirements relating to the Schedule 14D-9. Representatives of Greenberg Traurig reviewed fiduciary duty considerations applicable to the DXL Board in evaluating the Zodiac tender offer, as well as the provisions of the merger agreement relating to a potential change of recommendation and the termination fee that would be payable to FBB in certain circumstances pursuant to the merger agreement. In connection with the DXL Board’s evaluation of the Zodiac tender offer and its continuing evaluation of the merger, the DXL Board, together with its advisors, reviewed and discussed the May 2026 DXL-Provided Financial Projections. The DXL Board, together with its advisors, also discussed the material assumptions underlying the May 2026 DXL-Provided Financial Projections, including assumptions regarding macroeconomic conditions, consumer retail conditions, future revenue growth and operating margins, the nature and degree of adjustments to certain assumptions and forecasts underlying FBB’s May 2026 FBB-Provided Financial Projections following discussions with DXL senior management, as well as the inherent uncertainties associated with such projections. Guggenheim Securities was previously directed by the DXL Board to rely upon the May 2026 DXL-Provided Financial Projections in connection with the preparation of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Following that discussion, and to facilitate the DXL Board’s continuing evaluation of the merger, representatives of Guggenheim Securities reviewed with the DXL Board the May 2026 Supplemental Financial Analyses. Guggenheim Securities further advised the DXL Board that, in light of the May 2026 DXL-Provided Financial Projections, the May 2026 Synergy Estimates and the May 2026 Supplemental Financial Analyses (as such terms are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Guggenheim Securities also delivered to the DXL Board a copy of its conflicts disclosure letter, dated May 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2026, summarizing the material relationships that Guggenheim Securities has with FBB, Zodiac Partners and other parties affiliated with FBB and Zodiac Partners.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DXL Board met by videoconference, with representatives from Guggenheim Securities, Greenberg Traurig and Joele Frank present. The DXL Board revisited and reiterated everything discussed at the May 25, 2026 meeting. Following such discussion, the DXL Board (i) determined that the Zodiac tender offer is not in the best interests of DXL and its stockholders, (ii) recommended that stockholders reject the Zodiac tender offer and not tender their shares of DXL common stock pursuant to the Zodiac tender offer, (iii) determined that the merger and the transactions contemplated by the merger agreement are no longer in the best interests of DXL and its stockholders and (iv) determined that not withdrawing its recommendation to DXL’s stockholders that they approve the issuance proposal would be reasonably expected to violate the fiduciary duties of DXL’s directors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DXL filed a Solicitation/Recommendation Statement on Schedule 14D-9 with the SEC, setting forth the DXL Board’s recommendation with respect to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DXL’s determination and resolutions, on the same day, DXL delivered a notice to FBB pursuant to Section 5.06(f) of the merger agreement informing FBB of the DXL Board’s determination of its intent to effect a DXL Adverse Recommendation Change (the “notice”). In the notice, the DXL Board stated that, after consulting with its financial advisor and outside counsel, and taking into account updated financial analyses, it had determined that such action was necessary to comply with its fiduciary duties under applicable law. Subsequent to the delivery of the notice, DXL management and FBB management teams engaged in discussions regarding the DXL Board’s determination and the terms of the merger agreement, although FBB did not propose any modifications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Zodiac Partners filed Amendment No. 1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DXL received a comment letter from the staff of the Division of Corporation Finance of the SEC in connection with DXL’s Solicitation/Recommendation Statement on Schedule 14D-9 filed on May 26, 2026. In the comment letter, the SEC staff requested that DXL revise its disclosure to (i) provide additional detail regarding the financial analyses of Guggenheim Securities, including a more comprehensive description of such analyses, the underlying long-term forecasts and the material assumptions and limitations associated therewith, and (ii) revise or delete references to the Private Securities Litigation Reform Act of 1995 in light of the inapplicability of the forward-looking statement safe harbor provisions to statements made in connection with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Between May 28, 2026 and May 31, 2026, representatives of Guggenheim Securities, at the direction of the DXL Board, had a series of telephone conferences with representatives of Rothschild to discuss the DXL Board’s reasons for changing its recommendation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DXL senior management and FBB management met by videoconference, with representatives of Guggenheim Securities and Rothschild present, to discuss the May 2026 FBB-Provided Financial Projections and FBB initiatives, including strategic marketing initiatives. During the meeting, FBB management presented information regarding certain contemplated cost-reduction initiatives and sales-growth initiatives that FBB believed would support its projected future performance. DXL senior management discussed with FBB management the extent to which such initiatives were reflected in FBB’s projections, the assumptions supporting their implementation and the expected impact of such initiatives on FBB’s future operating performance. Following the meeting, DXL senior management continued to evaluate the extent to which the cost-reduction and sales-growth initiatives described by FBB management supported the assumptions underlying the May 2026 FBB-Provided Financial Projections and FBB’s projected future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morning of June 2, 2026, the DXL Board met by videoconference, with representatives from Guggenheim Securities, Greenberg Traurig and Joele Frank present. DXL senior management updated the DXL Board on its June 1, 2026 meeting with FBB management. Representatives of Guggenheim Securities updated the DXL Board on their recent discussions with Rothschild. The DXL Board discussed the May 2026 DXL-Provided Financial Projections for DXL and FBB and the May 2026 FBB-Provided Financial Projections, the May 2026 Supplemental Financial Analyses, the increasingly challenging consumer environment since the execution of the merger agreement,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May 2026 FBB-Provided Financial Projections, the DXL Board considered DXL senior management’s assessment of the assumptions underlying those projections and FBB management’s explanations regarding its projected performance. DXL senior management advised the DXL Board that it did not believe the May 2026 FBB-Provided Financial Projections reflected the most likely future performance of FBB. In reaching this assessment, DXL senior management considered, among other things, that the projections assumed a significant improvement in FBB’s sales performance following more than four consecutive years of double-digit sales declines, notwithstanding a 10.7% decline in FBB’s comparable sales during the first quarter of fiscal 2026. DXL senior management also questioned whether FBB had identified initiatives sufficient to support the projected improvement, particularly for FBB’s Classic Mall business, and noted that the future acquisition revenue included in the projections was not attributable to any specifically identified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DXL senior management’s concerns regarding the potential pressure on FBB’s gross margin resulting from the projected faster growth of FBB’s lower-margin New Mall business relative to its higher-margin Classic Mall business, as well as DXL senior management’s understanding, based on discussions with FBB management, that FBB management had characterized the May 2026 FBB-Provided Financial Projections as dependent on a constructive macroeconomic environment and as having an approximately 50% likelihood of achievement. DXL senior management further advised the DXL Board that, at the June 1, 2026 meeting, FBB management for the first time presented its standalone long-range plan to DXL management, including key initiatives and contemplated cost-structure adjustments, which included approximately $12.8 million of contemplated cost reductions and six sales initiatives. DXL senior management questioned why the contemplated cost reductions had not been identified during the parties’ prior discussions, whether those reductions were included in FBB’s standalone projections or duplicated anticipated merger synergies, and how FBB could implement the newly presented sales initiatives without increasing the marketing expenditures assumed in the projections. DXL senior management further advised the DXL Board that it remained unconvinced that the information presented by FBB management supported an upward revision to the financial projections for FBB previously developed by DXL senior management or otherwise warranted a change to DXL senior management’s assessment of FBB’s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Based on DXL senior management’s assessment and the other information and analyses reviewed by the DXL Board, the DXL Board did not consider the May 2026 FBB-Provided Financial Projections to be a reliable indication of FBB’s most likely future performance. The DXL Board nevertheless concluded that, even if the May 2026 FBB-Provided Financial Projections were accepted as correct and reliable, the DXL Board still could not recommend the merger as it is no longer advisable or in the best interests of DXL and its stockholders. The DXL Board (i) determined that the merger and the transactions contemplated by the merger agreement are not in the best interests of DXL and its stockholders, (ii) determined to withdraw its prior recommendation to DXL’s stockholders in favor of the merger and (iii) determined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Zodiac Partners filed Amendment No. 2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Also on June 2, 2026, Cleary Gottlieb delivered a written response to DXL’s May 26, 2026 notice, asserting that DXL’s actions constituted a breach of the merger agreement and requesting that DXL retract the notice and refrain from effecting an adverse recommendation change. In its response, FBB contended, among other things, that the DXL Board’s determination did not satisfy the requirements for an adverse recommendation change under the merger agreement and that DXL had failed to negotiate in good faith pursuant to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that evening, the DXL Board met by videoconference, with representatives from Guggenheim Securities, Greenberg Traurig and Joele Frank present. The DXL Board discussed the letter sent by Cleary Gottlieb on behalf of FBB that same day. The DXL Board reaffirmed its determination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DXL filed a Current Report on Form 8-K with the SEC providing an update regarding, among other things, the status of the merger and related matters. DXL publicly announced that the DXL Board had continued to evaluate the previously announced merger between DXL and FBB and was engaging with FBB in constructive discussions to determine the best path forward. DXL announced that, as part of its ongoing fiduciary duties to DXL’s stockholders, the DXL Board, with the assistance of external financial and legal advisors, had conducted a comprehensive ongoing evaluation of the merger. DXL further announced that, although the DXL Board continued to believe in the industrial logic of the combination, the DXL Board believed that the existing terms of the merger agreement were not in the best interests of DXL stockholders given the increasingly challenging consumer environment since the execution of the merger agreement in December 2025, FBB’s continuing decline in operating performance and financial results,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DXL, after evaluating the requested revisions by the SEC with the assistance of its legal and financial advisors, filed an amendment to its Schedule 14D-9 (Schedule 14D-9/A)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Greenberg Traurig was informed by the staff of the Division of Corporation Finance of the SEC that it had no further comments on DXL’s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Zodiac Partners filed Amendment No. 3 to its Tender Offer Statement on Schedule TO with the SEC, which continued to relate to its offer to acquire all outstanding shares of DXL common stock at $0.82 per share in cash and described the terms and conditions of the Zodiac tender offer, including sources of funds and related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Zodiac Partners filed Amendment No. 4 to its Tender Offer Statement on Schedule TO with the SEC, which continued to relate to its offer to acquire all outstanding shares of DXL common stock, increased the offer price to $0.84 per share in cash and further amended and supplemented the terms and conditions of the Zodiac tender offer, including sources of funds and related arrangements, including through an Amended Offer to Purchase and related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 Current Report on Form 8-K with the SEC providing an update regarding the revised unsolicited Zodiac tender offer. In the Form 8-K, the DXL Board stated that it was evaluating the revised Zodiac tender offer with the assistance of its financial and legal advisors and advised DXL stockholders to take no action at that time pending review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Amendment No. 2 to its Schedule 14D-9 with the SEC. The amendment supplemented and updated DXL’s prior disclosures in response to continuing developments relating to the Zodiac tender offer, the reasons for the DXL Board’s position, and other related disclosure.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representatives of Cleary Gottlieb, on behalf of FBB, delivered a letter to DXL asserting that DXL’s delays in preparing and filing the updated proxy statement were inconsistent with DXL’s obligations under the merger agreement, and that DXL’s actions had caused a significant risk that the merger could not be consummated by the termination date in the merger agreement. FBB further asserted that any failure to hold the stockholder vote by the termination date would have been caused solely by DXL’s ongoing delay, for which FBB would hold DXL responsible under the merger agreement, and requested that DXL take immediate steps to accelerate the preparation and filing of the proxy statement. FBB also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representatives of Greenberg Traurig, at the direction of the DXL Board, delivered a written response to FBB in response to Cleary Gottlieb’s June 2, 2026 letter. In its response, DXL disputed FBB’s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assertions that DXL had breached the merger agreement in connection with the DXL Board’s adverse recommendation change and stated that DXL had complied with its obligations under the merger agreement and that the DXL Board had acted in good faith, after consultation with its financial and legal advisors, in determining that a failure to change its recommendation would be reasonably expected to violate the fiduciary duties of DXL’s directors. DXL further stated that FBB had not proposed any changes to the terms of the merger agreement for the DXL Board to consider following delivery of the notice, which was required by the merger agreement for DXL to negotiate in good faith. DXL also stated that, although FBB had not proposed any changes to the terms of the merger agreement, DXL had nevertheless engaged in discussions with FBB and its advisors regarding the DXL Board’s concerns. DXL also reiterated its view that the merger was no longer in the best interests of DXL’s stockholders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DXL entered into a Commitment Letter (the “Bank of America Commitment Letter”) with Bank of America, N.A. (“Bank of America”), pursuant to which Bank of America committed to provide the entire principal amount of the Combined ABL Facility, subject to the terms and conditions set forth therein. On July 1, DXL also entered into a Fee Letter with Bank of America, pursuant to which DXL agreed to pay certain fees to Bank of America in connection with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DXL Board met by videoconference, with representatives from Guggenheim Securities and Greenberg Traurig present. The DXL Board discussed the status of the revised Zodiac tender offer, including the timeline for DXL’s response and the legal requirements relating to the Schedule 14D-9. A representative of Greenberg Traurig discussed the fiduciary duties of the DXL Board in evaluating the revised Zodiac tender offer, as well as DXL’s continuing obligations under the merger agreement. The DXL Board also revisited and discussed the financial analyses previously prepared by Guggenheim Securities, each of which were also discussed by the DXL Board at its May 25, 2026 and May 26, 2026 meetings. Following such discussion, the DXL Board determined that the revised Zodiac tender offer was not in the best interests of DXL and its stockholders and recommended that stockholders reject the revised Zodiac tender offer and not tender their shares of DXL common stock pursuant to the revised Zodiac tender offer. The DXL Board further discussed the proxy statement and other merger-related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 Current Report on Form 8-K with the SEC announcing that the DXL Board, following a review with its financial and legal advisors, had unanimously determined that the revised Zodiac tender offer to acquire all outstanding shares of DXL common stock for $0.84 per share in cash was not advisable and not in the best interests of DXL and its stockholders. The DXL Board also unanimously recommended that DXL stockholders reject the revised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Amendment No. 3 to its Schedule 14D-9 with the SEC. The amendment updated DXL’s disclosure regarding the revised Zodiac tender offer and reflected the DXL Board’s determination, following consultation with its financial and legal advisors, that the revised Zodiac tender offer was not advisable and not in the best interests of DXL and its stockholders. The amendment also included additional disclosure regarding the background of the revised Zodiac tender offer and the DXL Board’s reasons for recommending that DXL stockholders reject the revised Zodiac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representatives of Greenberg Traurig, at the direction of the DXL Board, delivered a written response to FBB in response to Cleary Gottlieb’s June 29, 2026 letter. DXL disputed FBB’s assertions that DXL’s actions in connection with the preparation and filing of the proxy statement were inconsistent with DXL’s obligations under the merger agreement and asserted that DXL had complied with its obligations under the merger agreement. DXL also asserted that FBB’s account of the proxy statement preparation process omitted material facts, including the substantial revisions required following the DXL Board’s adverse recommendation change and delays in obtaining information, financial disclosures and other materials from FBB necessary to finalize the proxy statement. DXL further asserted that any delays in finalizing and filing the proxy statement were attributable to information and issues relating to FBB, rather than DXL, and that DXL had acted reasonably and promptly throughout the proxy statement preparation process. DXL objected to any suggestion that it had breached the merger agreement and reserved all rights and defenses available to it under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DXL Board met by videoconference, with representatives from Guggenheim Securities and Greenberg Traurig present. The DXL Board discussed the current draft of the proxy statement, including revisions reflecting comments from FBB regarding its projections. Following discussion, the DXL Board determined that DXL management, with the assistance of Guggenheim Securities and Greenberg Traurig, should make certain additional revisions to the draft proxy statement before providing an updated draft to FBB for review.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met by videoconference, with representatives from Guggenheim Securities and Greenberg Traurig present to review the latest draft of the proxy statement. Following discussion, the DXL Board authorized the filing of the preliminary proxy statement with the SEC. On the same day, DXL filed its preliminary proxy statement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Cleary Gottlieb, on behalf of FBB, delivered a letter to DXL responding to DXL’s July 8, 2026 letter regarding the preparation of the proxy statement. In the letter, FBB set forth its views regarding the proxy statement process and the parties’ obligations under the merger agreement, requested that DXL agree to amend the End Date (as defined in the merger agreement) from September 11, 2026 to October 30, 2026,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Zodiac Partners filed Amendment No. 5 to its Tender Offer Statement on Schedule TO with the SEC, which continued to relate to its offer to acquire all outstanding shares of DXL common stock for $0.84 per share in cash and further amended and supplemented disclosures relating to the Zodiac tender offer, including through an amended Offer to Purchase and related tender offer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DXL Board appointed Lionel F. Conacher, chairman of the DXL Board, to serve as interim chief executive officer, effective August 12, 2026, following the previously announced retirement of Mr. Kanter, the president and chief executive officer of DXL, effective August 11, 2026. In connection with Mr. Conacher’s appointment, the DXL Board also appointed Carmen R. Bauza to serve as lead independent director and approved certain changes to the membership and leadership of the audit committee and compensation committee, in each case effective as of August 12,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DXL Board held a meeting, with representatives of Greenberg Traurig present. At the meeting, the DXL Board discussed FBB’s July 21, 2026 letter, including the assertions made therein regarding the proxy statement process, and reviewed with its legal advisors the parties’ respective rights and obligations under the merger agreement and applicable law. Following discussion, the DXL Board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DXL filed a Current Report on Form 8-K announcing the appointment of Mr. Conacher as interim chief executive officer, the appointment of Ms. Bauza as lead independent director, certain changes to the membership and leadership of the audit committee and compensation committee matters.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representatives of Greenberg Traurig, LLP, on behalf of DXL, delivered a response letter to FBB rejecting the assertions set forth in FBB’s July 21, 2026 letter and disputing FBB’s contention that DXL had delayed the preparation or filing of the proxy statement or otherwise breached its obligations under the merger agreement. DXL further set forth its views regarding the proxy statement process and the parties’ respective obligations under the merger agreement, including its view that FBB had breached the merger agreement, reserved all rights and remedies available under the merger agreement and advised FBB that the DXL Board had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2026, FBB provided DXL with draft unaudited financial information for the quarter ended July 4, 2026. Later that day, Mr. Stratton, DXL’s chief financial officer, distributed a summary of the preliminary results to the DXL Board and noted that FBB’s reported revenue performance for the second quarter of fiscal 2026 appeared materially weaker than DXL management had expected. Mr. Stratton further advised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based on his preliminary review of the draft financial information, FBB’s full-year fiscal 2026 operating performance could be materially below prior expectations and below the levels contemplated by analyses previously reviewed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amending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Mr. Fogarty contacted Mr. Conacher to advise him that FBB and the private placement investors had agreed to increase the size of the private placement, and to describe the additional debt-for-equity conversion and its expected effect on the indebtedness of the combined company. Mr. Fogarty indicated that the amendment represented the amount of additional debt-for-equity conversion that FBB was able to secure from the participating investors, notwithstanding FBB’s efforts to obtain a larger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2026, representatives of DXL received an executed copy of an omnibus amendment to the commitment and subscription agreements, dated August 21, 2026, entered into by FBB and the private placement investors. The amendment increased the aggregate purchase price of the private placement from approximately $92 million to approximately $107 million as a result of certain Charlesbank- and Deutsche Bank-affiliated investors agreeing to convert an additional $15.0 million of indebtedness under FBB’s term loan facility into equity through the debt-for-equity exchange.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Zodiac Partners filed Amendment No. 6 to its Tender Offer Statement on Schedule TO with the SEC reporting the final results of its tender offer for DXL common stock. The filing disclosed that approximately 23% of DXL’s outstanding shares had been validly tendered and not withdrawn prior to the expiration of the tender offer. The filing further disclosed that the tender offer expired on August 21, 2026 without the purchase of any shares and that Zodiac had elected not to extend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2026, the DXL Board met, together with representatives of Greenberg Traurig, to discuss the proxy statement and developments relating to FBB’s financial condition. The DXL Board reviewed FBB’s financial results for the second fiscal quarter of 2026 and discussed the continued deterioration in FBB’s operating performance, including lower-than-expected sales and financial results. The DXL Board also focused extensively on FBB’s increased indebtedness since execution of the merger agreement, including the significant increase in borrowings under FBB’s asset-based lending facility and the resulting impact on the anticipated post-closing leverage profile of the combined company. The DXL Board acknowledged the additional $15 million debt-for-equity conversion reflected in the amendment to the private placement commitments that occurred in August 2026; however, the DXL Board expressed the view that the additional debt conversion was substantially outweighed by FBB’s continued increase in indebtedness and did not materially improve the DXL Board’s assessment of FBB’s leverage, liquidity position or the anticipated post-closing financial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DXL management also provided an update regarding the Combined ABL Facility contemplated by the Bank of America Commitment Letter, including that the commitments thereunder are scheduled to expire on October 14, 2026 (unless earlier terminated in accordance with their terms) and that, if the merger is not completed and the Combined ABL Facility is not established before the applicable expiration date, the commitments would expire unless extended or renewed by Bank of America. DXL management further discussed the risks associated with obtaining any extension, renewal or replacement financing, particularly in light of FBB’s continued deterioration in operating performance and financial condition, its increased indebtedness since execution of the merger agreement and the possibility that any replacement financing could be less favorable than the financing currently contemplated by the Bank of America Commitment Letter. The DXL Board discussed the potential impact that the expiration of the commitments, or the inability to obtain comparable financing, could have on the completion of the merger and the anticipated post-closing liquidity, financial flexibility and financial profile of the combined company. The DXL Board further discussed that, notwithstanding the additional debt conversion, FBB’s operating performance, financial condition and indebtedness had continued to deteriorate since the DXL Board’s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 2026 determination to change its recommendation with respect to the issuance proposal. The DXL Board concluded that the developments reviewed at the meeting reinforced, and in certain respects heightened, the concerns that had led to its determination that the merger was no longer advisable or in the best interests of DXL and its stockholders. </w:t>
      </w:r>
    </w:p>
    <w:p>
      <w:pPr>
        <w:pStyle w:val="TextBody"/>
        <w:bidi w:val="0"/>
        <w:spacing w:before="360" w:after="0"/>
        <w:jc w:val="left"/>
        <w:rPr>
          <w:rFonts w:ascii="Times New Roman" w:hAnsi="Times New Roman"/>
          <w:b/>
          <w:sz w:val="20"/>
        </w:rPr>
      </w:pPr>
      <w:bookmarkStart w:id="18" w:name="tx76201_16"/>
      <w:bookmarkEnd w:id="18"/>
      <w:r>
        <w:rPr>
          <w:rFonts w:ascii="Times New Roman" w:hAnsi="Times New Roman"/>
          <w:b/>
          <w:sz w:val="2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rPr>
      </w:pPr>
      <w:r>
        <w:rPr>
          <w:rFonts w:ascii="Times New Roman" w:hAnsi="Times New Roman"/>
          <w:sz w:val="2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rPr>
      </w:pPr>
      <w:r>
        <w:rPr>
          <w:rFonts w:ascii="Times New Roman" w:hAnsi="Times New Roman"/>
          <w:sz w:val="2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DXL Board unanimously recommends that DXL stockholders vote “AGAINST” the issuance proposal, “FOR” the reverse stock split proposal, “FOR” the 2016 plan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As described above in “—</w:t>
      </w:r>
      <w:r>
        <w:rPr>
          <w:rFonts w:ascii="Times New Roman" w:hAnsi="Times New Roman"/>
          <w:i/>
          <w:sz w:val="20"/>
        </w:rPr>
        <w:t>Background of the Merger</w:t>
      </w:r>
      <w:r>
        <w:rPr>
          <w:rFonts w:ascii="Times New Roman" w:hAnsi="Times New Roman"/>
          <w:sz w:val="20"/>
        </w:rPr>
        <w:t xml:space="preserve">,” the DXL Transaction Committee was reconstituted on January 17, 2025 to include all members of the DXL Board, and accordingly all references to the DXL Transaction Committee in the Background of the Merger section refer to the full DXL Board from that date forward. In reaching its decision in December 2025 to approve the merger agreement, the merger and the other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considerations associated with combining the businesses, operations and assets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of the combined company following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May 2026 Supplemental Financial Analyses</w:t>
            </w:r>
            <w:r>
              <w:rPr>
                <w:rFonts w:ascii="Times New Roman" w:hAnsi="Times New Roman"/>
                <w:b/>
                <w:sz w:val="20"/>
              </w:rPr>
              <w:t>, 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The DXL Board’s concerns regarding FBB’s financial condition, operating performance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rPr>
      </w:pPr>
      <w:r>
        <w:rPr>
          <w:rFonts w:ascii="Times New Roman" w:hAnsi="Times New Roman"/>
          <w:b/>
          <w:sz w:val="20"/>
        </w:rPr>
        <w:t>The DXL Board determined that, taken together, the risks and uncertainties associated with the merger, including those described above and in the section entitled “</w:t>
      </w:r>
      <w:r>
        <w:rPr>
          <w:rFonts w:ascii="Times New Roman" w:hAnsi="Times New Roman"/>
          <w:b/>
          <w:i/>
          <w:sz w:val="20"/>
        </w:rPr>
        <w:t>Risk Factors</w:t>
      </w:r>
      <w:r>
        <w:rPr>
          <w:rFonts w:ascii="Times New Roman" w:hAnsi="Times New Roman"/>
          <w:b/>
          <w:sz w:val="2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the risks and uncertainties associated with the merger and concluded that, in light of developments since the execution of the merger agreement, those risks now outweigh the benefits of pursuing the merger on its current terms. These risks and uncertainties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existing terms of the merger agreement do not adequately address the deteriorating consumer environment, FBB’s continuing decline in operating performance and financial results,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including the risk that continued deterioration in FBB’s financial condition and further increases in indebtedness could materially reduce the anticipated benefits of the merger, adversely affect the combined company’s financial flexibility and leverage profile, and result in a post-closing financial condition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if the merger is not completed and the Combined ABL Facility is not established by October 14, 2026, the commitments under the Bank of America Commitment Letter will expire, and that any extension, renewal or replacement financing may be unavailable or materially less favorable in light of FBB’s deteriorating financial condition, operating performance and increased indebtedness, which could materially delay or prevent the merger and result in a post-closing financial profile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execution and integration challenges, leverage and market conditions could adversely affect DXL and, if the merger is consummated, the combined company and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advice from Guggenheim Securities to the DXL Board that based upon the updated information provided to Guggenheim Securities and current circumstances, the DXL Board should no longer rely on the December 2025 Opinion expressed in Guggenheim Securities’ December 10, 2025 letter to the DXL Board, or on the analyses Guggenheim Securities reviewed with the DXL Board at the December 10, 2025 DXL Board meeting in connection with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and resources and uncertainty affecting employees, customers and suppliers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 will not be completed, despite the expenditure of time and resources and notwithstanding deal protection provisions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anticipated benefits of the transaction would not be realized when expected, or at all, including as a result of the impact of, or difficulties arising from, the integration of the two companies or as a result of the strength of the economy, general market conditions and competitive factors in the areas where DXL and FBB operate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losing key employees during the pendency of the merger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DXL’s business during the period between execution of the merger agreement and the consummation of the merger, which could potentially delay or prevent DXL from undertaking business opportunities that might arise or certain other actions it might otherwise take with respect to its operations absent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merger on DXL’s overall business, including its relationships with customers, employees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 stockholders would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encountering difficulties in achieving anticipated cost savings and operating synergies in the amounts currently estimated or within the time frame currently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anticipated merger-related costs, which could be higher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contains certain restrictions on the ability of DXL to solicit proposals for alternative transactions or engage in discussions regarding such proposals, including the requirement for DXL to pay FBB a termination fee of $2.5 million and reimburse FBB’s expenses up to $950,000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claims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combined efforts of DXL and FBB or that completion may be unduly delayed, including as a result of delays in obtaining the requisite approvals;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risks described under the sections entitled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risks and factors considered by the DXL Board is not intended to be exhaustive but includes the material factors and risks considered by the DXL Board. In reaching its decision to approve the merger agreement and the transactions contemplated thereby, and following its ongoing evaluation and determination to withdraw its prior recommendation and recommend that stockholders vote against the issuance proposal, the DXL Board did not quantify or assign any relative weights to the factors considered, and individual directors may have given different weights to different factors. The DXL Board considered all these factors as a whole in its continued evaluation of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set forth above, the DXL Board has determined that the merger and the transactions contemplated by the merger agreement, including the issuance proposal, are not in the best interests of DXL and its stockholders and has withdrawn its prior recommendation in favor of the merger and the issuance proposal. </w:t>
      </w:r>
    </w:p>
    <w:p>
      <w:pPr>
        <w:pStyle w:val="TextBody"/>
        <w:bidi w:val="0"/>
        <w:spacing w:before="240" w:after="0"/>
        <w:jc w:val="left"/>
        <w:rPr>
          <w:rFonts w:ascii="Times New Roman" w:hAnsi="Times New Roman"/>
          <w:sz w:val="20"/>
        </w:rPr>
      </w:pPr>
      <w:r>
        <w:rPr>
          <w:rFonts w:ascii="Times New Roman" w:hAnsi="Times New Roman"/>
          <w:sz w:val="20"/>
        </w:rPr>
        <w:t>In considering the recommendation of the DXL Board, you should be aware that certain directors and executive officers of DXL may have interests in the merger that are different from, or in addition to, interests of DXL stockholders generally and may create potential conflicts of interest. The DXL Board was aware of these interests and considered them when evaluating and negotiating the merger agreement and the transactions contemplated thereby, and in making its recommendation to DXL stockholders. See “—</w:t>
      </w:r>
      <w:r>
        <w:rPr>
          <w:rFonts w:ascii="Times New Roman" w:hAnsi="Times New Roman"/>
          <w:i/>
          <w:sz w:val="20"/>
        </w:rPr>
        <w:t>Interests of DXL’s Directors and Executive Officers in the Merger</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REASONS SET FORTH ABOVE, THE DXL BOARD UNANIMOUSLY RECOMMENDS THAT THE DXL STOCKHOLDERS VOTE (I) “AGAINST” THE ISSUANCE PROPOSAL, (II) “FOR” THE REVERSE STOCK SPLIT PROPOSAL, (III) “FOR” THE 2016 PLAN PROPOSAL AND (IV) “FOR” THE ADJOURNMENT PROPOSAL TO BE CONSIDERED AT THE SPECIAL MEETING. </w:t>
      </w:r>
    </w:p>
    <w:p>
      <w:pPr>
        <w:pStyle w:val="TextBody"/>
        <w:bidi w:val="0"/>
        <w:spacing w:before="360" w:after="0"/>
        <w:jc w:val="left"/>
        <w:rPr>
          <w:rFonts w:ascii="Times New Roman" w:hAnsi="Times New Roman"/>
          <w:b/>
          <w:sz w:val="20"/>
        </w:rPr>
      </w:pPr>
      <w:bookmarkStart w:id="19" w:name="tx76201_17"/>
      <w:bookmarkEnd w:id="19"/>
      <w:r>
        <w:rPr>
          <w:rFonts w:ascii="Times New Roman" w:hAnsi="Times New Roman"/>
          <w:b/>
          <w:sz w:val="20"/>
        </w:rPr>
        <w:t xml:space="preserve">December 2025 Opinion of Guggenheim Securities, Financial Advisor to DXL </w:t>
      </w:r>
    </w:p>
    <w:p>
      <w:pPr>
        <w:pStyle w:val="TextBody"/>
        <w:bidi w:val="0"/>
        <w:spacing w:before="120" w:after="0"/>
        <w:jc w:val="left"/>
        <w:rPr>
          <w:rFonts w:ascii="Times New Roman" w:hAnsi="Times New Roman"/>
          <w:sz w:val="20"/>
        </w:rPr>
      </w:pP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selecting Guggenheim Securities as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advisor, the DXL Board considered that, among other things, Guggenheim Securities has had a long-standing investment banking relationship with DXL and is an internationally recognized investment banking, financial advisory and securities firm whose senior professionals have substantial experience advising companies in, among other industries, the retail and apparel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December 10, 2025 meeting of the DXL Board, Guggenheim Securities rendered an oral opinion, which was confirmed by delivery of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w:t>
      </w:r>
    </w:p>
    <w:p>
      <w:pPr>
        <w:pStyle w:val="TextBody"/>
        <w:bidi w:val="0"/>
        <w:spacing w:before="240" w:after="0"/>
        <w:jc w:val="left"/>
        <w:rPr>
          <w:rFonts w:ascii="Times New Roman" w:hAnsi="Times New Roman"/>
          <w:sz w:val="20"/>
        </w:rPr>
      </w:pPr>
      <w:r>
        <w:rPr>
          <w:rFonts w:ascii="Times New Roman" w:hAnsi="Times New Roman"/>
          <w:sz w:val="20"/>
        </w:rPr>
        <w:t>This description of the December 2025 Opinion is qualified in its entirety by the full text of the December 2025 Opinion, which was rendered only on and as of December 10, 2025, and has not been and will not be updated, is attached as Annex B to this proxy statement and which you should read carefully and in its entirety, together with the May 2026 Supplemental Financial Analyses, as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The December 2025 Opinion sets forth the matters considered, the procedures followed, the assumptions made and various limitations of and qualifications to the review undertaken by Guggenheim Securities. The December 2025 Opinion, which was authorized for issuance by the Fairness Opinion and Valuation Committee of Guggenheim Securities,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the December 2025 Opinion set forth below, you should be aware that such opinion (and, as applicable, any materials provided in connection therewith or the summary of Guggenheim Securities’ underlying financial analyses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DXL Board (in its capacity as such) for its information and assistance in connection with its evaluation of the merger consideration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DXL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DXL stockholder as to how any DXL stockholder should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DXL’s underlying business or financial decision to pursue or effect the merger, the relative merits of the merger as compared to any alternative business or financial strategies that might exist for DXL or the effects of any other transaction in which DXL might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merger consideration to the extent expressly specified in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(x) the merger (including, without limitation, the form or structure of the merger) or the merger agreement or (y) any other agreement, transaction document or instrument contemplated by the merger agreement or to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or amended in connection with the merger or (ii) the fairness, financial or otherwise, of the merger to, or of any consideration to be paid to or received by, the holders of any class of securities (other than as expressly specified in such opinion), creditors or other constituencies of DXL or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DXL’s or FBB’s directors, officers or employees, or any class of such persons, in connection with the merger relative to the merger consideration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DXL and FBB and their respective businesses and future prospects (including (i) certain financial projections for DXL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DXL and (iv) certain estimates as to potentially realizable benefits under Section 163(j) of the Code available and expected to be utilized by FBB (together, (i) through (iv), the “December 2025 DXL-Provided Financial Projections”) and certain other estimates and other forward-looking information), all as prepared by, discussed with and approved for Guggenheim Securities’ use by DXL’s senior management (collectively with the December 2025 Synergy Estimates (as defined below), the “December 2025 DXL-Provided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“December 2025 FBB-Provided Financial Projections,” and together with the December 2025 DXL-Provided Financial Projections, the “December 2025 Financial Projections”) and certain other estimates and other forward-looking information), all as prepared by and discussed with FBB’s senior management and reviewed by, discussed with and approved for Guggenheim Securities’ use by DXL’s senior management (collectively, the “December 2025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“December 2025 Synergy Estimates” or the “December 2025 Synergies”), all as prepared by and discussed with DXL’s and FBB’s respective senior management and approved for Guggenheim Securities’ use by DXL’s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strategic and financial rationale for the merger as well as their then-current views regarding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DXL, FBB and the December 2025 Synergies based on the December 2025 DXL-Provided Financial Projections and the December 2025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DXL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financial results, financial condition and capitalization of DXL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the December 2025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December 2025 DXL-Provided Information and the December 2025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December 2025 DXL-Provided Information or the December 2025 FBB-Provided Information), (ii) expressed no view or opinion regarding the reasonableness or achievability of the December 2025 Financial Projections, the December 2025 Synergy Estimates, any other estimates or any other forward-looking information provided by DXL or FBB or the assumptions upon which any of the foregoing were based and (iii) relied upon the assurances of DXL’s senior management that they were (in the case of the December 2025 DXL-Provided Information) and assumed that FBB’s senior management were (in the case of the December 2025 FBB-Provided Information) unaware of any facts or circumstances that had made the December 2025 DXL-Provided Information or the December 2025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December 2025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rendering its opinion, (ii) was advised by DXL’s senior management, and assumed, that the December 2025 Synergy Estimates had been (y) reasonably prepared on bases reflecting the then-best currently available estimates and judgments of DXL’s and FBB’s respective senior management as to the expected amounts and realization of the December 2025 Synergies and (z) reviewed by the DXL Board with the understanding that such information would be used and relied upon by Guggenheim Securities in connection with rendering its opinion, (iii) assumed that the December 2025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Guggenheim Securities’ engagement, Guggenheim Securities was asked by the DXL Board to solicit indications of interest from various potential third-party transaction counterparties regarding a potential extraordinary corporate transaction with or involving DXL,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considered the results of such solicitation process in rendering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DXL, FBB or any other entity or the solvency or fair value of DXL, FBB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accounting, appraisal or actuarial experts and the December 2025 Opinion should not be construed as constituting advice with respect to such matters; accordingly, Guggenheim Securities relied on the assessments of DXL’s senior management, FBB’s senior management and DXL’s other professional advisors with respect to such matters. Guggenheim Securities assumed that the merger will qualify, for U.S. federal income tax purposes, as a “reorganization” within the meaning of Section 368(a) of the Code. Guggenheim Securities did not express any view or render any opinion regarding the tax consequences of the merger to DXL, FBB or their respective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further assumed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DXL, FBB and merger subsidiary will comply with all terms and provisions of the merger agreement and (iii) the representations and warranties of DXL, FBB and merger subsidiary contained in the merger agreement were true and correct and all conditions to the obligations of each party to the merger agreement to consummate the merger would be satisfied without any waiver, amendment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DXL, FBB or the merger (including its contemplated benefits) in any way meaningful to Guggenheim Securities’ analyses and the December 2025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but immediately prior to, the merger, those certain commitment and subscription agreements by and between FBB and the private placement investors will be consummated on the terms and subject to the conditions set forth in such commitment and subscription agreements, such that the aggregate amount of indebtedness of FBB upon consummation of the merger shall be as reflected in the December 2025 DXL-Provided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in Connection with the December 2025 Opinion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w:t>
      </w:r>
      <w:r>
        <w:rPr>
          <w:rFonts w:ascii="Times New Roman" w:hAnsi="Times New Roman"/>
          <w:sz w:val="20"/>
        </w:rPr>
        <w:t xml:space="preserve">” presents a summary of the principal financial analyses performed by Guggenheim Securities and presented to the DXL Board in connection with Guggenheim Securities’ rendering of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the December 2025 Opinion, which was rendered only on and as of December 10, 2025 and has not been and will not be updated.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DXL, FBB and Guggenheim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the December 2025 Opinion based on the results of all its financial analyses assessed as a whole and believes that the totality of the factors considered and the various financial analyses performed by Guggenheim Securities in connection with the December 2025 Opinion operated collectively to support its determination as to the fairness, from a financial point of view and as of the date of such opinion, of the merger consideration,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financial analyses, particularly those based on estimates and projections, are not necessarily indicative of actual values or actual future results, which may be significantly more or less favorable than suggested by these analyses, including as set forth in the financial analyses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DXL or FBB. However, such companies were selected by Guggenheim Securities, among other reasons, because they represented publicly traded companies which may be considered broadly similar, for purposes of Guggenheim Securities’ financial analyses, to DXL or FBB based on Guggenheim Securities’ familiarity with the retail and apparel sector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is not mathematical. Rather, such analysis involves complex considerations and professional judgments concerning the differences in business, operating, financial and capital markets-related characteristics and other factors regarding the selected publicly traded companies to which DXL and FBB were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(i) all of Guggenheim Securities’ financial analyses regarding FBB reflect the $92 million debt/equitization that FBB is obligated to effect under the terms and conditions of the merger agreement and (ii) all stock price data is as of December 9,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Certain Definitions in Connection with the December 2025 Opinion and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Throughout 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 and the section entitled “—May 2026 Supplemental Financial Analyses Prepared by Guggenheim Securities, Financial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Advisor to DXL,</w:t>
      </w:r>
      <w:r>
        <w:rPr>
          <w:rFonts w:ascii="Times New Roman" w:hAnsi="Times New Roman"/>
          <w:sz w:val="20"/>
        </w:rPr>
        <w:t xml:space="preserve">”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(as defined below) divided by its historical or projected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or EV: represents the relevant company’s Equity Value (as defined below) plus (i) the principal or face amount of total debt and certain other debt-like items and (ii) the principal or face amount of any non-controlling/minority interests less (iii) excess cash, cash equivalents, and short- and long-term marketable investments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common shares,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19"/>
        <w:gridCol w:w="325"/>
        <w:gridCol w:w="183"/>
        <w:gridCol w:w="579"/>
        <w:gridCol w:w="78"/>
        <w:gridCol w:w="358"/>
        <w:gridCol w:w="183"/>
        <w:gridCol w:w="583"/>
        <w:gridCol w:w="64"/>
      </w:tblGrid>
      <w:tr>
        <w:trPr/>
        <w:tc>
          <w:tcPr>
            <w:tcW w:w="62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2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DXL on</w:t>
            </w:r>
            <w:r>
              <w:rPr/>
              <w:br/>
            </w:r>
            <w:r>
              <w:rPr>
                <w:b/>
              </w:rP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2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Tax Benefit</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1.58</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1.88</w:t>
            </w:r>
          </w:p>
        </w:tc>
        <w:tc>
          <w:tcPr>
            <w:tcW w:w="64" w:type="dxa"/>
            <w:tcBorders/>
            <w:vAlign w:val="bottom"/>
          </w:tcPr>
          <w:p>
            <w:pPr>
              <w:pStyle w:val="TableContents"/>
              <w:bidi w:val="0"/>
              <w:spacing w:before="0" w:after="283"/>
              <w:jc w:val="left"/>
              <w:rPr/>
            </w:pPr>
            <w:r>
              <w:rPr/>
              <w:t> </w:t>
            </w:r>
          </w:p>
        </w:tc>
      </w:tr>
      <w:tr>
        <w:trPr>
          <w:trHeight w:val="240" w:hRule="atLeast"/>
        </w:trPr>
        <w:tc>
          <w:tcPr>
            <w:tcW w:w="6219"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88" w:type="dxa"/>
            <w:gridSpan w:val="4"/>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25"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1.10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DXL Standalone Public Market Trading Valuation Based on the December 2025 DXL-Provided Financial Projections for DXL </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0.79</w:t>
            </w:r>
          </w:p>
        </w:tc>
        <w:tc>
          <w:tcPr>
            <w:tcW w:w="78"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December 2025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15.0% – 17.0%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$1.50 – $1.79 per share for purposes of evaluating DXL common stock on a standalone intrinsic-value basis and (ii) $1.58 – $1.88 per share for purposes of evaluating DXL common stock on an intrinsic-value basis including the net present value of expected net operating loss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77"/>
        <w:gridCol w:w="267"/>
        <w:gridCol w:w="61"/>
        <w:gridCol w:w="728"/>
        <w:gridCol w:w="159"/>
        <w:gridCol w:w="270"/>
        <w:gridCol w:w="148"/>
        <w:gridCol w:w="597"/>
        <w:gridCol w:w="65"/>
      </w:tblGrid>
      <w:tr>
        <w:trPr/>
        <w:tc>
          <w:tcPr>
            <w:tcW w:w="62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65"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FBB on</w:t>
            </w:r>
            <w:r>
              <w:rPr/>
              <w:br/>
            </w:r>
            <w:r>
              <w:rPr>
                <w:b/>
              </w:rPr>
              <w:t>a Standalone</w:t>
            </w:r>
            <w:r>
              <w:rPr/>
              <w:br/>
            </w:r>
            <w:r>
              <w:rPr>
                <w:b/>
              </w:rPr>
              <w:t>Basis</w:t>
            </w:r>
            <w:r>
              <w:rPr/>
              <w:br/>
            </w:r>
            <w:r>
              <w:rPr>
                <w:i/>
              </w:rPr>
              <w:t>($ in millions)</w:t>
            </w:r>
          </w:p>
        </w:tc>
        <w:tc>
          <w:tcPr>
            <w:tcW w:w="65" w:type="dxa"/>
            <w:tcBorders/>
            <w:vAlign w:val="bottom"/>
          </w:tcPr>
          <w:p>
            <w:pPr>
              <w:pStyle w:val="TableContents"/>
              <w:bidi w:val="0"/>
              <w:spacing w:before="0" w:after="283"/>
              <w:jc w:val="left"/>
              <w:rPr/>
            </w:pPr>
            <w:r>
              <w:rPr/>
              <w:t> </w:t>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267"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$97.3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144.8</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$107.0</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155.3</w:t>
            </w:r>
          </w:p>
        </w:tc>
        <w:tc>
          <w:tcPr>
            <w:tcW w:w="65" w:type="dxa"/>
            <w:tcBorders/>
            <w:vAlign w:val="bottom"/>
          </w:tcPr>
          <w:p>
            <w:pPr>
              <w:pStyle w:val="TableContents"/>
              <w:bidi w:val="0"/>
              <w:spacing w:before="0" w:after="283"/>
              <w:jc w:val="left"/>
              <w:rPr/>
            </w:pPr>
            <w:r>
              <w:rPr/>
              <w:t> </w:t>
            </w:r>
          </w:p>
        </w:tc>
      </w:tr>
      <w:tr>
        <w:trPr>
          <w:trHeight w:val="240" w:hRule="atLeast"/>
        </w:trPr>
        <w:tc>
          <w:tcPr>
            <w:tcW w:w="6277"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267"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($48.3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December 2025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14.5% – 16.5%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$97.3 million – $144.8 million for purposes of evaluating FBB’s common stock on a standalone intrinsic-value basis and (ii) $107.0 million – $155.3 million for purposes of evaluating FBB’s common stock on an intrinsic-value basis including the net present value of expected §163(j)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merger consideration in connection with rendering the December 2025 Opinion,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December 2025 DXL DCF Analysis</w:t>
      </w:r>
      <w:r>
        <w:rPr>
          <w:rFonts w:ascii="Times New Roman" w:hAnsi="Times New Roman"/>
          <w:sz w:val="20"/>
        </w:rPr>
        <w:t>” and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705"/>
        <w:gridCol w:w="121"/>
        <w:gridCol w:w="654"/>
        <w:gridCol w:w="257"/>
        <w:gridCol w:w="835"/>
      </w:tblGrid>
      <w:tr>
        <w:trPr/>
        <w:tc>
          <w:tcPr>
            <w:tcW w:w="6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121" w:type="dxa"/>
            <w:tcBorders/>
            <w:shd w:fill="CCEEFF" w:val="clear"/>
            <w:vAlign w:val="bottom"/>
          </w:tcPr>
          <w:p>
            <w:pPr>
              <w:pStyle w:val="TableContents"/>
              <w:bidi w:val="0"/>
              <w:spacing w:before="0" w:after="283"/>
              <w:jc w:val="left"/>
              <w:rPr/>
            </w:pPr>
            <w:r>
              <w:rPr/>
              <w:t>  </w:t>
            </w:r>
          </w:p>
        </w:tc>
        <w:tc>
          <w:tcPr>
            <w:tcW w:w="1746"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1867" w:type="dxa"/>
            <w:gridSpan w:val="4"/>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46" w:type="dxa"/>
            <w:gridSpan w:val="3"/>
            <w:tcBorders>
              <w:bottom w:val="single" w:sz="8" w:space="0" w:color="000000"/>
            </w:tcBorders>
            <w:tcMar>
              <w:bottom w:w="28" w:type="dxa"/>
            </w:tcMar>
            <w:vAlign w:val="bottom"/>
          </w:tcPr>
          <w:p>
            <w:pPr>
              <w:pStyle w:val="TableContents"/>
              <w:bidi w:val="0"/>
              <w:spacing w:before="0" w:after="283"/>
              <w:jc w:val="center"/>
              <w:rPr>
                <w:b/>
              </w:rPr>
            </w:pPr>
            <w:r>
              <w:rPr>
                <w:b/>
              </w:rPr>
              <w:t>Implied DXL</w:t>
              <w:br/>
              <w:t>Ownership</w:t>
              <w:br/>
              <w:t>Percentage</w:t>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121" w:type="dxa"/>
            <w:tcBorders/>
            <w:vAlign w:val="bottom"/>
          </w:tcPr>
          <w:p>
            <w:pPr>
              <w:pStyle w:val="TableContents"/>
              <w:bidi w:val="0"/>
              <w:spacing w:before="0" w:after="283"/>
              <w:jc w:val="left"/>
              <w:rPr/>
            </w:pPr>
            <w:r>
              <w:rPr/>
              <w:t>  </w:t>
            </w:r>
          </w:p>
        </w:tc>
        <w:tc>
          <w:tcPr>
            <w:tcW w:w="654" w:type="dxa"/>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57"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83"/>
              <w:jc w:val="center"/>
              <w:rPr>
                <w:b/>
              </w:rPr>
            </w:pPr>
            <w:r>
              <w:rPr>
                <w:b/>
              </w:rPr>
              <w:t>High</w:t>
            </w:r>
          </w:p>
        </w:tc>
      </w:tr>
      <w:tr>
        <w:trPr/>
        <w:tc>
          <w:tcPr>
            <w:tcW w:w="67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37%</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51%</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775"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5.2x CY2026E EV / EBITDA)</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center"/>
              <w:rPr/>
            </w:pPr>
            <w:r>
              <w:rPr/>
              <w:t>66%</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center"/>
              <w:rPr/>
            </w:pPr>
            <w:r>
              <w:rPr/>
              <w:t>100%</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December 2025 DXL-Provided Financial Projections (DXL and FBB at 3.1x – 5.2x CY2026E EV / EBITDA)</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58%</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analysis resulted in an implied ownership percentage reference range of 37% – 51%, as compared to the merger-implied ownership percentage by DXL stockholders of 45%. </w:t>
      </w:r>
    </w:p>
    <w:p>
      <w:pPr>
        <w:pStyle w:val="TextBody"/>
        <w:bidi w:val="0"/>
        <w:spacing w:before="240" w:after="0"/>
        <w:jc w:val="left"/>
        <w:rPr>
          <w:rFonts w:ascii="Times New Roman" w:hAnsi="Times New Roman"/>
          <w:sz w:val="20"/>
        </w:rPr>
      </w:pPr>
      <w:r>
        <w:rPr>
          <w:rFonts w:ascii="Times New Roman" w:hAnsi="Times New Roman"/>
          <w:i/>
          <w:sz w:val="20"/>
        </w:rPr>
        <w:t>Contribution Analysis</w:t>
      </w:r>
      <w:r>
        <w:rPr>
          <w:rFonts w:ascii="Times New Roman" w:hAnsi="Times New Roman"/>
          <w:sz w:val="20"/>
        </w:rPr>
        <w:t xml:space="preserve">. Guggenheim Securities compared (i) certain of DXL’s and FBB’s respective Equity Value contribution percentages and (ii) the net diluted merger-implied ownership splits for DXL’s stockholders and FBB’s stockholders (in each case as implied by the exchange ratio). In order to facilitate the comparability of such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contribution percentages with the merger-related equity ownership splits, Guggenheim Securities leverage adjusted FBB’s market-implied Enterprise Value based on FBB’s standalone net debt balance. The results of such contribution analysis, both with and without synergy estimates, are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2"/>
        <w:gridCol w:w="375"/>
        <w:gridCol w:w="65"/>
        <w:gridCol w:w="499"/>
        <w:gridCol w:w="320"/>
        <w:gridCol w:w="284"/>
        <w:gridCol w:w="119"/>
        <w:gridCol w:w="886"/>
        <w:gridCol w:w="280"/>
        <w:gridCol w:w="284"/>
        <w:gridCol w:w="60"/>
        <w:gridCol w:w="713"/>
        <w:gridCol w:w="65"/>
      </w:tblGrid>
      <w:tr>
        <w:trPr/>
        <w:tc>
          <w:tcPr>
            <w:tcW w:w="462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12"/>
            <w:tcBorders/>
            <w:vAlign w:val="bottom"/>
          </w:tcPr>
          <w:p>
            <w:pPr>
              <w:pStyle w:val="TableContents"/>
              <w:bidi w:val="0"/>
              <w:spacing w:before="0" w:after="283"/>
              <w:jc w:val="center"/>
              <w:rPr>
                <w:b/>
                <w:sz w:val="20"/>
              </w:rPr>
            </w:pPr>
            <w:r>
              <w:rPr>
                <w:b/>
                <w:sz w:val="20"/>
              </w:rPr>
              <w:t>DXL and FBB Contribution Analysis</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Merger-Implied Equity Ownership Splits (DXL and FBB Stockholders, Respectively)</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45.0</w:t>
            </w:r>
          </w:p>
        </w:tc>
        <w:tc>
          <w:tcPr>
            <w:tcW w:w="320"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Equity Value Contribution</w:t>
            </w:r>
          </w:p>
        </w:tc>
        <w:tc>
          <w:tcPr>
            <w:tcW w:w="375"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DXL</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Synergies</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DCF Equity Value:</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56.3%</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23.5</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46.1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30.3%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283"/>
              <w:jc w:val="left"/>
              <w:rPr/>
            </w:pPr>
            <w:r>
              <w:rPr/>
              <w:t>Market-Implied Equity Value (FBB at 3.1x CY2026E EV / EBITDA):</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N/A</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N/A </w:t>
            </w:r>
          </w:p>
        </w:tc>
        <w:tc>
          <w:tcPr>
            <w:tcW w:w="65" w:type="dxa"/>
            <w:tcBorders/>
            <w:shd w:fill="CCEEFF" w:val="clear"/>
            <w:vAlign w:val="bottom"/>
          </w:tcPr>
          <w:p>
            <w:pPr>
              <w:pStyle w:val="TableContents"/>
              <w:bidi w:val="0"/>
              <w:spacing w:before="0" w:after="283"/>
              <w:jc w:val="left"/>
              <w:rPr/>
            </w:pPr>
            <w:r>
              <w:rPr/>
              <w:t> </w:t>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 </w:t>
            </w:r>
          </w:p>
        </w:tc>
        <w:tc>
          <w:tcPr>
            <w:tcW w:w="65" w:type="dxa"/>
            <w:tcBorders/>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283"/>
              <w:jc w:val="left"/>
              <w:rPr/>
            </w:pPr>
            <w:r>
              <w:rPr/>
              <w:t>Market-Implied Equity Value (FBB at 5.2x CY2026E EV / EBITDA):</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65.9</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34.1%</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53.0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16.0%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December 2025 DXL-Provided Financial Projections for DXL and FBB and the December 2025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15.00% – 17.00%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weighted average cost of capital) and (ii) 13.25% – 15.25%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89"/>
        <w:gridCol w:w="437"/>
        <w:gridCol w:w="183"/>
        <w:gridCol w:w="586"/>
        <w:gridCol w:w="78"/>
        <w:gridCol w:w="468"/>
        <w:gridCol w:w="183"/>
        <w:gridCol w:w="591"/>
        <w:gridCol w:w="60"/>
        <w:gridCol w:w="437"/>
        <w:gridCol w:w="141"/>
        <w:gridCol w:w="934"/>
        <w:gridCol w:w="285"/>
      </w:tblGrid>
      <w:tr>
        <w:trPr/>
        <w:tc>
          <w:tcPr>
            <w:tcW w:w="4189"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287" w:type="dxa"/>
            <w:gridSpan w:val="12"/>
            <w:tcBorders/>
            <w:vAlign w:val="bottom"/>
          </w:tcPr>
          <w:p>
            <w:pPr>
              <w:pStyle w:val="TableContents"/>
              <w:bidi w:val="0"/>
              <w:spacing w:before="0" w:after="283"/>
              <w:jc w:val="center"/>
              <w:rPr>
                <w:b/>
                <w:sz w:val="20"/>
              </w:rPr>
            </w:pPr>
            <w:r>
              <w:rPr>
                <w:b/>
                <w:sz w:val="20"/>
              </w:rPr>
              <w:t>DXL DCF Accretion/(Dilution) Analysis</w:t>
            </w:r>
          </w:p>
        </w:tc>
        <w:tc>
          <w:tcPr>
            <w:tcW w:w="285" w:type="dxa"/>
            <w:tcBorders/>
            <w:vAlign w:val="bottom"/>
          </w:tcPr>
          <w:p>
            <w:pPr>
              <w:pStyle w:val="TableContents"/>
              <w:bidi w:val="0"/>
              <w:spacing w:before="0" w:after="283"/>
              <w:jc w:val="left"/>
              <w:rPr/>
            </w:pPr>
            <w:r>
              <w:rPr/>
              <w:t> </w:t>
            </w:r>
          </w:p>
        </w:tc>
      </w:tr>
      <w:tr>
        <w:trPr/>
        <w:tc>
          <w:tcPr>
            <w:tcW w:w="418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 DCF</w:t>
              <w:br/>
              <w:t>Accretion/</w:t>
            </w:r>
            <w:r>
              <w:rPr/>
              <w:br/>
            </w:r>
            <w:r>
              <w:rPr>
                <w:b/>
              </w:rPr>
              <w:t>(Dilution)</w:t>
            </w:r>
          </w:p>
        </w:tc>
        <w:tc>
          <w:tcPr>
            <w:tcW w:w="285" w:type="dxa"/>
            <w:tcBorders/>
            <w:vAlign w:val="bottom"/>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bottom"/>
          </w:tcPr>
          <w:p>
            <w:pPr>
              <w:pStyle w:val="TableContents"/>
              <w:bidi w:val="0"/>
              <w:spacing w:before="0" w:after="20"/>
              <w:jc w:val="left"/>
              <w:rPr/>
            </w:pPr>
            <w:r>
              <w:rPr/>
              <w:t> </w:t>
            </w:r>
          </w:p>
        </w:tc>
        <w:tc>
          <w:tcPr>
            <w:tcW w:w="437"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w:t>
            </w:r>
          </w:p>
        </w:tc>
        <w:tc>
          <w:tcPr>
            <w:tcW w:w="285" w:type="dxa"/>
            <w:tcBorders/>
            <w:vAlign w:val="bottom"/>
          </w:tcPr>
          <w:p>
            <w:pPr>
              <w:pStyle w:val="TableContents"/>
              <w:bidi w:val="0"/>
              <w:spacing w:before="0" w:after="283"/>
              <w:jc w:val="left"/>
              <w:rPr/>
            </w:pPr>
            <w:r>
              <w:rPr/>
              <w:t> </w:t>
            </w:r>
          </w:p>
        </w:tc>
      </w:tr>
      <w:tr>
        <w:trPr/>
        <w:tc>
          <w:tcPr>
            <w:tcW w:w="4189"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43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1.58</w:t>
            </w:r>
          </w:p>
        </w:tc>
        <w:tc>
          <w:tcPr>
            <w:tcW w:w="78"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189"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c>
          <w:tcPr>
            <w:tcW w:w="1797" w:type="dxa"/>
            <w:gridSpan w:val="4"/>
            <w:tcBorders/>
            <w:vAlign w:val="center"/>
          </w:tcPr>
          <w:p>
            <w:pPr>
              <w:pStyle w:val="TableContents"/>
              <w:bidi w:val="0"/>
              <w:spacing w:before="0" w:after="283"/>
              <w:jc w:val="left"/>
              <w:rPr>
                <w:sz w:val="4"/>
                <w:szCs w:val="4"/>
              </w:rPr>
            </w:pPr>
            <w:r>
              <w:rPr>
                <w:sz w:val="4"/>
                <w:szCs w:val="4"/>
              </w:rPr>
            </w:r>
          </w:p>
        </w:tc>
      </w:tr>
      <w:tr>
        <w:trPr/>
        <w:tc>
          <w:tcPr>
            <w:tcW w:w="4189" w:type="dxa"/>
            <w:tcBorders/>
          </w:tcPr>
          <w:p>
            <w:pPr>
              <w:pStyle w:val="TableContents"/>
              <w:bidi w:val="0"/>
              <w:spacing w:before="0" w:after="283"/>
              <w:jc w:val="left"/>
              <w:rPr/>
            </w:pPr>
            <w:r>
              <w:rPr>
                <w:i/>
              </w:rPr>
              <w:t>Pro Forma</w:t>
            </w:r>
            <w:r>
              <w:rPr/>
              <w:t xml:space="preserve"> Combined Company DCF Valuation with $30 million of Synergies</w:t>
            </w:r>
          </w:p>
        </w:tc>
        <w:tc>
          <w:tcPr>
            <w:tcW w:w="43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2.84</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+87</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$1.58 – $1.88 per share for purposes of evaluating DXL common stock on a </w:t>
      </w:r>
      <w:r>
        <w:rPr>
          <w:rFonts w:ascii="Times New Roman" w:hAnsi="Times New Roman"/>
          <w:i/>
          <w:sz w:val="20"/>
        </w:rPr>
        <w:t xml:space="preserve">status quo </w:t>
      </w:r>
      <w:r>
        <w:rPr>
          <w:rFonts w:ascii="Times New Roman" w:hAnsi="Times New Roman"/>
          <w:sz w:val="20"/>
        </w:rPr>
        <w:t xml:space="preserve">standalone intrinsic value basis and (ii)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December 2025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84"/>
        <w:gridCol w:w="132"/>
        <w:gridCol w:w="972"/>
        <w:gridCol w:w="62"/>
      </w:tblGrid>
      <w:tr>
        <w:trPr/>
        <w:tc>
          <w:tcPr>
            <w:tcW w:w="498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2" w:type="dxa"/>
            <w:tcBorders/>
            <w:vAlign w:val="bottom"/>
          </w:tcPr>
          <w:p>
            <w:pPr>
              <w:pStyle w:val="TableContents"/>
              <w:bidi w:val="0"/>
              <w:spacing w:before="0" w:after="283"/>
              <w:jc w:val="left"/>
              <w:rPr/>
            </w:pPr>
            <w:r>
              <w:rPr/>
              <w:t> </w:t>
            </w:r>
          </w:p>
        </w:tc>
      </w:tr>
      <w:tr>
        <w:trPr/>
        <w:tc>
          <w:tcPr>
            <w:tcW w:w="498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Trading</w:t>
            </w:r>
            <w:r>
              <w:rPr/>
              <w:br/>
            </w:r>
            <w:r>
              <w:rPr>
                <w:b/>
              </w:rPr>
              <w:t>Enterprise</w:t>
            </w:r>
            <w:r>
              <w:rPr/>
              <w:br/>
            </w:r>
            <w:r>
              <w:rPr>
                <w:b/>
              </w:rPr>
              <w:t>Value /</w:t>
            </w:r>
            <w:r>
              <w:rPr/>
              <w:br/>
            </w:r>
            <w:r>
              <w:rPr>
                <w:b/>
              </w:rPr>
              <w:t>CY2026E</w:t>
            </w:r>
            <w:r>
              <w:rPr/>
              <w:br/>
            </w:r>
            <w:r>
              <w:rPr>
                <w:b/>
              </w:rPr>
              <w:t>EBITDA</w:t>
            </w:r>
          </w:p>
        </w:tc>
        <w:tc>
          <w:tcPr>
            <w:tcW w:w="62" w:type="dxa"/>
            <w:tcBorders/>
            <w:vAlign w:val="bottom"/>
          </w:tcPr>
          <w:p>
            <w:pPr>
              <w:pStyle w:val="TableContents"/>
              <w:bidi w:val="0"/>
              <w:spacing w:before="0" w:after="283"/>
              <w:jc w:val="left"/>
              <w:rPr/>
            </w:pPr>
            <w:r>
              <w:rPr/>
              <w:t> </w:t>
            </w:r>
          </w:p>
        </w:tc>
      </w:tr>
      <w:tr>
        <w:trPr/>
        <w:tc>
          <w:tcPr>
            <w:tcW w:w="4989" w:type="dxa"/>
            <w:tcBorders>
              <w:bottom w:val="single" w:sz="8" w:space="0" w:color="000000"/>
            </w:tcBorders>
            <w:shd w:fill="CCEEFF" w:val="clear"/>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3.6x</w:t>
            </w:r>
          </w:p>
        </w:tc>
        <w:tc>
          <w:tcPr>
            <w:tcW w:w="62"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4.8x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5.2x</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4989" w:type="dxa"/>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r>
      <w:tr>
        <w:trPr/>
        <w:tc>
          <w:tcPr>
            <w:tcW w:w="4989"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5.2x and applied such trading multiples to the December 2025 DXL-Provided Financial Projections for DXL.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$0.79 – $1.00 per share for purposes of evaluating DXL common stock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($48.3) million – $33.1 million for purposes of evaluating FBB’s common stock on a standalone basis.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December 9, 2024 through December 9, 2025 (the last trading day prior to the announcement of the merger), and Guggenheim Securities noted that DXL common stock generally had traded in a range of approximately $0.88 – $3.10 per share.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December 9, 2025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trading day prior to the announcement of the merger) and Guggenheim Securities noted that such Wall Street equity research analyst stock price targets for DXL common stock were $1.30 – $2.00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its financial analyses or providing the December 2025 Opinion. The type and amount of consideration payable in the merger were determined through negotiations between DXL and FBB and were approved by the DXL Board. The decision to enter into the merger agreement was solely that of the DXL Board. The December 2025 Opinion, which was rendered only on and as of December 10, 2025 and has not been and will not be updated, was just one of the many factors taken into consideration by the DXL Board. DXL stockholders should not rely on the December 2025 Opinion and it does not constitute advice or a recommendation to any DXL stockholder as to how any DXL stockholder should vote or act in connection with the merger or otherwise. Consequently, Guggenheim Securities’ financial analyses should not be viewed as determinative of the decision of the DXL Board with respect to the fairness, from a financial point of view, to DXL’s stockholders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rendering of the December 2025 Opinion to provide financial advisory or investment banking services for which Guggenheim Securities received fees. Guggenheim Securities has not been previously engaged by FBB during the two years prior to the rendering of the December 2025 Opinion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other participants in the merger or their respective affiliates. Furthermore, Guggenheim Securities and its affiliates and related entities and its or their respective directors, officers, employees, consultants and agents may have investments in DXL, FBB, other participants in the merger or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other participants in the merger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0" w:name="tx76201_17a"/>
      <w:bookmarkEnd w:id="20"/>
      <w:r>
        <w:rPr>
          <w:rFonts w:ascii="Times New Roman" w:hAnsi="Times New Roman"/>
          <w:b/>
          <w:sz w:val="20"/>
        </w:rPr>
        <w:t xml:space="preserve">May 2026 Supplemental Financial Analyses Prepared by Guggenheim Securities, Financial Advisor to DXL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of the May 2026 Supplemental Financial Analyses </w:t>
      </w:r>
    </w:p>
    <w:p>
      <w:pPr>
        <w:pStyle w:val="TextBody"/>
        <w:bidi w:val="0"/>
        <w:spacing w:before="120" w:after="0"/>
        <w:jc w:val="left"/>
        <w:rPr>
          <w:rFonts w:ascii="Times New Roman" w:hAnsi="Times New Roman"/>
          <w:b/>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b/>
          <w:sz w:val="20"/>
        </w:rPr>
      </w:pPr>
      <w:r>
        <w:rPr>
          <w:rFonts w:ascii="Times New Roman" w:hAnsi="Times New Roman"/>
          <w:b/>
          <w:sz w:val="20"/>
        </w:rPr>
        <w:t xml:space="preserve">The December 2025 Opinion was rendered only on and as of December 10, 2025 and has not been and will not be updated. DXL stockholders should not rely on the December 2025 Opinion and it does not constitute advice or a recommendation to any DXL stockholder as to how any DXL stockholder should vote or act in connection with the merger or otherwise. Similarly, the May 2026 Supplemental Financial Analyses do not constitute advice or a recommendation to any DXL stockholder as to how any DXL stockholder should vote or act in connection with the merger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May 2026 Supplemental Financial Analyses were provided to the DXL Board (in its capacity as such) for its information and assistance in connection with its ongoing evaluation of the merger. The May 2026 Supplemental Financial Analyses do not constitute an opinion, view, report 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DXL Board’s ongoing evaluation of the merger, DXL’s senior management updated (i) the December 2025 DXL-Provided Financial Projections (comprised of (w) certain updated financial projections for DXL on a standalone basis for the fiscal years ending January 31, 2027 through January 31, 2035, (x) certain updated financial projections for FBB on a standalone basis for the calendar years ending December 31, 2026 through December 31, 2034, (y) certain updated estimates as to potentially realizable existing net operating loss carry-forwards expected to be utilized by DXL and (z) certain updated estimates as to potentially realizable benefits under Section 163(j) of the Code available and expected to be utilized by FBB) and (ii) the December 2025 Synergy Estimates, all as prepared by, discussed with and approved for Guggenheim Securities’ use by DXL’s senior management (each of the foregoing as so updated, the “May 2026 DXL-Provided Financial Projections” and the “May 2026 Synergy Estimates” or the “May 2026 Synergies”). In addition, FBB’s senior management updated the December 2025 FBB-Provided Financial Projections, as prepared by FBB’s senior management and discussed with DXL’s and FBB’s respective senior management (as so updated, the “May 2026 FBB-Provided Financial Projections”). Guggenheim Securities was directed by the DXL Board to rely upon the May 2026 DXL-Provided Financial Projections and the May 2026 Synergy Estimates in connection with the preparation of the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DXL Board’s ongoing evaluation of the merger following DXL senior management’s updates to the December 2025 DXL-Provided Financial Projections, representatives of Guggenheim Securities prepared and reviewed with the DXL Board certain financial analyses,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Discounted cash flow analyses with respect to DXL, FBB and the May 2026 Synergies based on the May 2026 DXL-Provided Financial Projections and the May 2026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selected public company trading analysis that 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certain Wall Street equity research price targets for the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the historical prices, certain trading multiples and the trading activity of DXL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studies, analyses, inquiries and investigations as Guggenheim Securities deemed appropriate (the foregoing, collectively, the “May 2026 Supplemental Financial Analyses”).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recent and projected financial results, liquidity, funding needs, access to capital and future prospects and the commercial and competitive dynamics in the consumer sector;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views regarding FBB’s business, operations, projected financial results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together with DXL’s senior management and Guggenheim Securities, discussed the limitations of the May 2026 Supplemental Financial Analyses, including,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DXL-Provided Financial Projections and the May 2026 Synergy Estimates were not prepared with a view toward public disclosure, were inherently subject to significant judgment and uncertainty and were necessarily based on numerous variables and assumptions that were beyond DXL’s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the May 2026 Supplemental Financial Analyses should be assessed as a whole rather than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particularly those based on estimates and projections, were not necessarily indicative of actual values or actual future results, which may be significantly more or less favorable than suggested by such financial analyses;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did not purport to be appraisals or reflect the prices at which the DXL common stock may trade at the present time or at any time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conducting the May 2026 Supplemental Financial Analyses,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discussed with DXL or FBB (including, without limitation, the May 2026 DXL-Provided Financial Projections, the May 2026 Synergy Estimates and the May 2026 FBB-Provided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May 2026 DXL-Provided Financial Projections, the May 2026 Synergy Estimates and the May 2026 FBB-Provided Financial Projections), (ii) expressed no view or opinion regarding the reasonableness or achievability of the May 2026 DXL-Provided Financial Projections, the May 2026 Synergy Estimates or the May 2026 FBB-Provided Financial Projections, any other estimates or any other forward-looking information provided by DXL or FBB or the assumptions upon which any of the foregoing were based and (iii) relied upon the assurances of DXL’s senior management that they were (in the case of the May 2026 DXL-Provided Financial Projections and the May 2026 Synergy Estimates) and assumed that FBB’s senior management were (in the case of the May 2026 FBB-Provided Financial Projections) unaware of any facts or circumstances that had made such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May 2026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performing the May 2026 Supplemental Financial Analyses, (ii) was advised by DXL’s senior management, and assumed, that the May 2026 Synergy Estimates had been (y) reasonably prepared on bases reflecting the then-best currently available estimates and judgments of DXL’s senior management as to the expected amounts and realization of the May 2026 Synergies and (z) reviewed by the DXL Board with the understanding that such information would be used and relied upon by Guggenheim Securities in connection with performing the May 2026 Supplemental Financial Analyses, (iii) assumed that the May 2026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perform or obtain any independent appraisal of the assets or liabilities (including any contingent, derivative or off-balance sheet assets and liabilities) of DXL, FBB or any other entity, or the solvency or fair value of DXL, FBB or any other entity. Guggenheim Securities’ professionals are not legal, regulatory, tax, consulting, accounting, appraisal or actuarial experts, and the May 2026 Supplemental Financial Analyses should not be construed as constituting advice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below, all of Guggenheim Securities’ financial analyses regarding FBB reflect the $92 million debt/equitization that FBB is obligated to effect under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conducting the May 2026 Supplemental Financial Analyses, Guggenheim Securities performed various financial analyses which are summarized in the table below and described in more detail elsewhere herein, including discounted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6"/>
        <w:gridCol w:w="362"/>
        <w:gridCol w:w="183"/>
        <w:gridCol w:w="579"/>
        <w:gridCol w:w="78"/>
        <w:gridCol w:w="394"/>
        <w:gridCol w:w="183"/>
        <w:gridCol w:w="583"/>
        <w:gridCol w:w="64"/>
      </w:tblGrid>
      <w:tr>
        <w:trPr/>
        <w:tc>
          <w:tcPr>
            <w:tcW w:w="61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14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 on</w:t>
              <w:b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2"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1.21</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 Net Operating Loss Tax Benefit</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1.53</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6146" w:type="dxa"/>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0.48</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0.73</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the May 2026 DXL-Provided Financial Projections for DXL</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0.63</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May 2026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15.25% – 17.25%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$1.21 – $1.42 per share for purposes of evaluating DXL common stock on a standalone intrinsic-value basis and (ii) $1.30 – $1.53 per share for purposes of evaluating DXL common stock on an intrinsic-value basis including the net present value of expected net operating loss tax benefits, as compared to (a) $1.50 – $1.79 per share and (b) $1.58 – $1.88 per share,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conducting the May 2026 Supplemental Financial Analyses, Guggenheim Securities performed various financial analyses which are summarized in the table below and described in more detail elsewhere herein, including discounted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030"/>
        <w:gridCol w:w="364"/>
        <w:gridCol w:w="245"/>
        <w:gridCol w:w="499"/>
        <w:gridCol w:w="176"/>
        <w:gridCol w:w="378"/>
        <w:gridCol w:w="68"/>
        <w:gridCol w:w="654"/>
        <w:gridCol w:w="158"/>
      </w:tblGrid>
      <w:tr>
        <w:trPr/>
        <w:tc>
          <w:tcPr>
            <w:tcW w:w="60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14"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158" w:type="dxa"/>
            <w:tcBorders/>
            <w:vAlign w:val="bottom"/>
          </w:tcPr>
          <w:p>
            <w:pPr>
              <w:pStyle w:val="TableContents"/>
              <w:bidi w:val="0"/>
              <w:spacing w:before="0" w:after="283"/>
              <w:jc w:val="left"/>
              <w:rPr/>
            </w:pPr>
            <w:r>
              <w:rPr/>
              <w:t> </w:t>
            </w:r>
          </w:p>
        </w:tc>
      </w:tr>
      <w:tr>
        <w:trPr/>
        <w:tc>
          <w:tcPr>
            <w:tcW w:w="60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FBB on</w:t>
              <w:br/>
              <w:t>a Standalone</w:t>
              <w:br/>
              <w:t>Basis</w:t>
            </w:r>
            <w:r>
              <w:rPr/>
              <w:br/>
            </w:r>
            <w:r>
              <w:rPr>
                <w:i/>
              </w:rPr>
              <w:t>($ in millions)</w:t>
            </w:r>
          </w:p>
        </w:tc>
        <w:tc>
          <w:tcPr>
            <w:tcW w:w="158" w:type="dxa"/>
            <w:tcBorders/>
            <w:vAlign w:val="bottom"/>
          </w:tcPr>
          <w:p>
            <w:pPr>
              <w:pStyle w:val="TableContents"/>
              <w:bidi w:val="0"/>
              <w:spacing w:before="0" w:after="283"/>
              <w:jc w:val="left"/>
              <w:rPr/>
            </w:pPr>
            <w:r>
              <w:rPr/>
              <w:t> </w:t>
            </w:r>
          </w:p>
        </w:tc>
      </w:tr>
      <w:tr>
        <w:trPr/>
        <w:tc>
          <w:tcPr>
            <w:tcW w:w="60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rHeight w:val="240" w:hRule="atLeast"/>
        </w:trPr>
        <w:tc>
          <w:tcPr>
            <w:tcW w:w="6030"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bottom w:val="single" w:sz="8" w:space="0" w:color="000000"/>
            </w:tcBorders>
            <w:shd w:fill="CCEEFF" w:val="clear"/>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61.8</w:t>
            </w:r>
          </w:p>
        </w:tc>
        <w:tc>
          <w:tcPr>
            <w:tcW w:w="17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May 2026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14.75% – 16.75%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($22.5) million – ($3.5) million for purposes of evaluating FBB’s common stock on a standalone intrinsic-value basis and (ii) ($22.5) million – ($3.5) million for purposes of evaluating FBB’s common stock on an intrinsic-value basis including the net present value of expected §163(j) tax benefits, as compared to overall reference ranges of (a) $97.3 million – $144.8 million and (b) $107.0 million – $155.3 million,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value of DXL and FBB in connection with the May 2026 Supplemental Financial Analyses,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May</w:t>
      </w:r>
      <w:r>
        <w:rPr>
          <w:rFonts w:ascii="Times New Roman" w:hAnsi="Times New Roman"/>
          <w:sz w:val="20"/>
        </w:rPr>
        <w:t xml:space="preserve"> 2026 </w:t>
      </w:r>
      <w:r>
        <w:rPr>
          <w:rFonts w:ascii="Times New Roman" w:hAnsi="Times New Roman"/>
          <w:i/>
          <w:sz w:val="20"/>
        </w:rPr>
        <w:t>DXL DCF Analysis</w:t>
      </w:r>
      <w:r>
        <w:rPr>
          <w:rFonts w:ascii="Times New Roman" w:hAnsi="Times New Roman"/>
          <w:sz w:val="20"/>
        </w:rPr>
        <w:t>” and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3"/>
        <w:gridCol w:w="85"/>
        <w:gridCol w:w="599"/>
        <w:gridCol w:w="85"/>
        <w:gridCol w:w="600"/>
      </w:tblGrid>
      <w:tr>
        <w:trPr/>
        <w:tc>
          <w:tcPr>
            <w:tcW w:w="720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85" w:type="dxa"/>
            <w:tcBorders/>
            <w:shd w:fill="CCEEFF" w:val="clear"/>
            <w:vAlign w:val="bottom"/>
          </w:tcPr>
          <w:p>
            <w:pPr>
              <w:pStyle w:val="TableContents"/>
              <w:bidi w:val="0"/>
              <w:spacing w:before="0" w:after="283"/>
              <w:jc w:val="left"/>
              <w:rPr/>
            </w:pPr>
            <w:r>
              <w:rPr/>
              <w:t> </w:t>
            </w:r>
          </w:p>
        </w:tc>
        <w:tc>
          <w:tcPr>
            <w:tcW w:w="1284"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20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Implied DXL</w:t>
              <w:br/>
              <w:t>Ownership</w:t>
              <w:br/>
              <w:t>Percentage</w:t>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85"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Low</w:t>
            </w:r>
          </w:p>
        </w:tc>
        <w:tc>
          <w:tcPr>
            <w:tcW w:w="85"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High</w:t>
            </w:r>
          </w:p>
        </w:tc>
      </w:tr>
      <w:tr>
        <w:trPr/>
        <w:tc>
          <w:tcPr>
            <w:tcW w:w="7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100%</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684"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r>
      <w:tr>
        <w:trPr/>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7.0x CY2026E EV / EBITDA)</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24%</w:t>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100%</w:t>
            </w:r>
          </w:p>
        </w:tc>
      </w:tr>
      <w:tr>
        <w:trPr/>
        <w:tc>
          <w:tcPr>
            <w:tcW w:w="7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May 2026 DXL-Provided Financial Projections (DXL and FBB at 3.1x – 7.0x CY2026E EV / EBITDA)</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29%</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analyses resulted in an implied ownership percentage of 100%, as compared to the merger-implied ownership percentage by DXL stockholders of 45%, and an implied ownership percentage reference range of 37% – 51%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May 2026 DXL-Provided Financial Projections for DXL and FBB and the May 2026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15.25% – 17.25%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standalone weighted average cost of capital) and (ii) 13.50% – 15.50%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8"/>
        <w:gridCol w:w="368"/>
        <w:gridCol w:w="183"/>
        <w:gridCol w:w="583"/>
        <w:gridCol w:w="78"/>
        <w:gridCol w:w="399"/>
        <w:gridCol w:w="183"/>
        <w:gridCol w:w="587"/>
        <w:gridCol w:w="60"/>
        <w:gridCol w:w="368"/>
        <w:gridCol w:w="1295"/>
      </w:tblGrid>
      <w:tr>
        <w:trPr/>
        <w:tc>
          <w:tcPr>
            <w:tcW w:w="446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72" w:type="dxa"/>
            <w:gridSpan w:val="11"/>
            <w:tcBorders/>
            <w:vAlign w:val="bottom"/>
          </w:tcPr>
          <w:p>
            <w:pPr>
              <w:pStyle w:val="TableContents"/>
              <w:bidi w:val="0"/>
              <w:spacing w:before="0" w:after="283"/>
              <w:jc w:val="center"/>
              <w:rPr>
                <w:b/>
                <w:sz w:val="20"/>
              </w:rPr>
            </w:pPr>
            <w:r>
              <w:rPr>
                <w:b/>
                <w:sz w:val="20"/>
              </w:rPr>
              <w:t>DXL DCF Accretion/(Dilution) Analysis</w:t>
            </w:r>
          </w:p>
        </w:tc>
      </w:tr>
      <w:tr>
        <w:trPr/>
        <w:tc>
          <w:tcPr>
            <w:tcW w:w="446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DCF</w:t>
              <w:br/>
              <w:t>Accretion/</w:t>
            </w:r>
          </w:p>
          <w:p>
            <w:pPr>
              <w:pStyle w:val="TableContents"/>
              <w:bidi w:val="0"/>
              <w:spacing w:before="0" w:after="20"/>
              <w:jc w:val="center"/>
              <w:rPr>
                <w:rFonts w:ascii="Times New Roman" w:hAnsi="Times New Roman"/>
                <w:b/>
                <w:sz w:val="20"/>
              </w:rPr>
            </w:pPr>
            <w:r>
              <w:rPr>
                <w:rFonts w:ascii="Times New Roman" w:hAnsi="Times New Roman"/>
                <w:b/>
                <w:sz w:val="20"/>
              </w:rPr>
              <w:t>(Dilution)</w:t>
            </w:r>
          </w:p>
        </w:tc>
      </w:tr>
      <w:tr>
        <w:trPr/>
        <w:tc>
          <w:tcPr>
            <w:tcW w:w="4468" w:type="dxa"/>
            <w:tcBorders>
              <w:bottom w:val="single" w:sz="8" w:space="0" w:color="000000"/>
            </w:tcBorders>
            <w:tcMar>
              <w:bottom w:w="28" w:type="dxa"/>
            </w:tcMar>
            <w:vAlign w:val="bottom"/>
          </w:tcPr>
          <w:p>
            <w:pPr>
              <w:pStyle w:val="TableContents"/>
              <w:bidi w:val="0"/>
              <w:spacing w:before="0" w:after="20"/>
              <w:jc w:val="left"/>
              <w:rPr/>
            </w:pPr>
            <w:r>
              <w:rPr/>
              <w:t> </w:t>
            </w:r>
          </w:p>
        </w:tc>
        <w:tc>
          <w:tcPr>
            <w:tcW w:w="36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Midpoint</w:t>
            </w:r>
          </w:p>
        </w:tc>
      </w:tr>
      <w:tr>
        <w:trPr/>
        <w:tc>
          <w:tcPr>
            <w:tcW w:w="4468"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bidi w:val="0"/>
              <w:spacing w:before="0" w:after="283"/>
              <w:jc w:val="left"/>
              <w:rPr/>
            </w:pPr>
            <w:r>
              <w:rPr>
                <w:i/>
              </w:rPr>
              <w:t>Pro Forma</w:t>
            </w:r>
            <w:r>
              <w:rPr/>
              <w:t xml:space="preserve"> Combined Company DCF Valuation with $20 million of Synergies</w:t>
            </w:r>
          </w:p>
        </w:tc>
        <w:tc>
          <w:tcPr>
            <w:tcW w:w="3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1.18</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w:t>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shd w:fill="CCEEFF" w:val="clear"/>
          </w:tcPr>
          <w:p>
            <w:pPr>
              <w:pStyle w:val="TableContents"/>
              <w:bidi w:val="0"/>
              <w:spacing w:before="0" w:after="283"/>
              <w:jc w:val="left"/>
              <w:rPr/>
            </w:pPr>
            <w:r>
              <w:rPr>
                <w:i/>
              </w:rPr>
              <w:t>Pro Forma</w:t>
            </w:r>
            <w:r>
              <w:rPr/>
              <w:t xml:space="preserve"> Combined Company DCF Valuation with $25 million of Synergies</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1.34</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center"/>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$1.30 – $1.53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(ii) $1.18 – $1.63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$20 million of synergies from the May 2026 Synergy Estimates and (iii) $1.34 – $1.82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$25 million of synergies from the May 2026 Synergy Estimates, as compared to (a) $1.58 – $1.88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and (b)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in each case of (a) and (b)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In Guggenheim Securities’ view, this updated DCF accretion/(dilution) analysis indicated that the existing economic terms of the merger would have to be significantly restructured to maintain the value proposition for DXL’s stockholders as implied by Guggenheim Securities’ financial analyses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Debt/Equitization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To further assist the DXL Board in connection with its ongoing evaluation of the merger, Guggenheim Securities performed a debt/equitization analysis to assess the required incremental debt reduction that would be needed by FBB in light of (i) DXL stockholders’ </w:t>
      </w:r>
      <w:r>
        <w:rPr>
          <w:rFonts w:ascii="Times New Roman" w:hAnsi="Times New Roman"/>
          <w:i/>
          <w:sz w:val="20"/>
        </w:rPr>
        <w:t>pro forma</w:t>
      </w:r>
      <w:r>
        <w:rPr>
          <w:rFonts w:ascii="Times New Roman" w:hAnsi="Times New Roman"/>
          <w:sz w:val="20"/>
        </w:rPr>
        <w:t xml:space="preserve"> 45% economic ownership of the combined company and (ii) DXL’s contributed DCF-based equity value. Such debt/equitization analysis was performed based on DCF analyses for each of DXL and FBB on a standalone basis utilizing (i) the May 2026 DXL-Provided Financial Projections for DXL and FBB and (ii) solely for informational reference purposes, the May 2026 DXL-Provided Financial Projections for DXL and the May 2026 FBB-Provided Financial Projections. In each case, DXL’s contributed DCF-based equity value was grossed up (i.e., divided by DXL stockholders’ </w:t>
      </w:r>
      <w:r>
        <w:rPr>
          <w:rFonts w:ascii="Times New Roman" w:hAnsi="Times New Roman"/>
          <w:i/>
          <w:sz w:val="20"/>
        </w:rPr>
        <w:t>pro forma</w:t>
      </w:r>
      <w:r>
        <w:rPr>
          <w:rFonts w:ascii="Times New Roman" w:hAnsi="Times New Roman"/>
          <w:sz w:val="20"/>
        </w:rPr>
        <w:t xml:space="preserve"> 45% economic ownership) and then multiplied by 55% (based on FBB stockholders’ </w:t>
      </w:r>
      <w:r>
        <w:rPr>
          <w:rFonts w:ascii="Times New Roman" w:hAnsi="Times New Roman"/>
          <w:i/>
          <w:sz w:val="20"/>
        </w:rPr>
        <w:t>pro forma</w:t>
      </w:r>
      <w:r>
        <w:rPr>
          <w:rFonts w:ascii="Times New Roman" w:hAnsi="Times New Roman"/>
          <w:sz w:val="20"/>
        </w:rPr>
        <w:t xml:space="preserve"> 55% economic ownership) to determine FBB’s required contributed DCF-based equity value, with the required incremental debt reduction by FBB being back solved to achieve FBB’s required contributed DCF-based equity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midpoints of its DCF analysis, Guggenheim Securities’ debt/equitization analysis indicated that FBB would be required to further reduce its indebtedness — beyond FBB’s $92 million debt/equitization that FBB is obligated to effect under the terms and conditions of the merger agreement — as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43"/>
        <w:gridCol w:w="92"/>
        <w:gridCol w:w="1187"/>
        <w:gridCol w:w="155"/>
        <w:gridCol w:w="343"/>
        <w:gridCol w:w="296"/>
        <w:gridCol w:w="785"/>
        <w:gridCol w:w="160"/>
      </w:tblGrid>
      <w:tr>
        <w:trPr/>
        <w:tc>
          <w:tcPr>
            <w:tcW w:w="521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2" w:type="dxa"/>
            <w:gridSpan w:val="8"/>
            <w:tcBorders/>
            <w:vAlign w:val="bottom"/>
          </w:tcPr>
          <w:p>
            <w:pPr>
              <w:pStyle w:val="TableContents"/>
              <w:bidi w:val="0"/>
              <w:spacing w:before="0" w:after="283"/>
              <w:jc w:val="center"/>
              <w:rPr>
                <w:b/>
                <w:sz w:val="20"/>
              </w:rPr>
            </w:pPr>
            <w:r>
              <w:rPr>
                <w:b/>
                <w:sz w:val="20"/>
              </w:rPr>
              <w:t>Debt/Equitization Analysis ($ in millions)</w:t>
            </w:r>
          </w:p>
        </w:tc>
        <w:tc>
          <w:tcPr>
            <w:tcW w:w="160" w:type="dxa"/>
            <w:tcBorders/>
            <w:vAlign w:val="bottom"/>
          </w:tcPr>
          <w:p>
            <w:pPr>
              <w:pStyle w:val="TableContents"/>
              <w:bidi w:val="0"/>
              <w:spacing w:before="0" w:after="283"/>
              <w:jc w:val="left"/>
              <w:rPr/>
            </w:pPr>
            <w:r>
              <w:rPr/>
              <w:t> </w:t>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Primary Analysis</w:t>
            </w:r>
          </w:p>
        </w:tc>
        <w:tc>
          <w:tcPr>
            <w:tcW w:w="3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Incremental</w:t>
              <w:br/>
              <w:t>Debt</w:t>
              <w:br/>
              <w:t>Reduction</w:t>
              <w:br/>
              <w:t>by FBB</w:t>
              <w:br/>
              <w:t>(Beyond</w:t>
              <w:br/>
              <w:t>$92 Million)</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Total</w:t>
              <w:br/>
              <w:t>Debt</w:t>
              <w:br/>
              <w:t>Reduction</w:t>
              <w:br/>
              <w:t>by FBB</w:t>
            </w:r>
          </w:p>
        </w:tc>
        <w:tc>
          <w:tcPr>
            <w:tcW w:w="160"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283"/>
              <w:jc w:val="left"/>
              <w:rPr/>
            </w:pPr>
            <w:r>
              <w:rPr/>
              <w:t>May 2026 DXL-Provided Financial Projections for DXL and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203.8</w:t>
            </w:r>
          </w:p>
        </w:tc>
        <w:tc>
          <w:tcPr>
            <w:tcW w:w="160" w:type="dxa"/>
            <w:tcBorders/>
            <w:shd w:fill="CCEEFF" w:val="clear"/>
            <w:vAlign w:val="bottom"/>
          </w:tcPr>
          <w:p>
            <w:pPr>
              <w:pStyle w:val="TableContents"/>
              <w:bidi w:val="0"/>
              <w:spacing w:before="0" w:after="283"/>
              <w:jc w:val="left"/>
              <w:rPr/>
            </w:pPr>
            <w:r>
              <w:rPr/>
              <w:t>) </w:t>
            </w:r>
          </w:p>
        </w:tc>
      </w:tr>
      <w:tr>
        <w:trPr>
          <w:trHeight w:val="240" w:hRule="atLeast"/>
        </w:trPr>
        <w:tc>
          <w:tcPr>
            <w:tcW w:w="5211" w:type="dxa"/>
            <w:tcBorders/>
            <w:vAlign w:val="center"/>
          </w:tcPr>
          <w:p>
            <w:pPr>
              <w:pStyle w:val="TableContents"/>
              <w:bidi w:val="0"/>
              <w:spacing w:before="0" w:after="283"/>
              <w:jc w:val="left"/>
              <w:rPr>
                <w:sz w:val="4"/>
                <w:szCs w:val="4"/>
              </w:rPr>
            </w:pPr>
            <w:r>
              <w:rPr>
                <w:sz w:val="4"/>
                <w:szCs w:val="4"/>
              </w:rPr>
            </w:r>
          </w:p>
        </w:tc>
        <w:tc>
          <w:tcPr>
            <w:tcW w:w="1777"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1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May 2026 DXL-Provided Financial Projections for DXL and May 2026 FBB-Provided Financial Projections </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129.9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May 2026 Supplemental Financial Analyses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analyses.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5"/>
        <w:gridCol w:w="527"/>
        <w:gridCol w:w="132"/>
        <w:gridCol w:w="972"/>
        <w:gridCol w:w="63"/>
      </w:tblGrid>
      <w:tr>
        <w:trPr/>
        <w:tc>
          <w:tcPr>
            <w:tcW w:w="5245"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3" w:type="dxa"/>
            <w:tcBorders/>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CY2026E</w:t>
              <w:br/>
              <w:t>EBITDA</w:t>
            </w:r>
          </w:p>
        </w:tc>
        <w:tc>
          <w:tcPr>
            <w:tcW w:w="63" w:type="dxa"/>
            <w:tcBorders/>
            <w:vAlign w:val="bottom"/>
          </w:tcPr>
          <w:p>
            <w:pPr>
              <w:pStyle w:val="TableContents"/>
              <w:bidi w:val="0"/>
              <w:spacing w:before="0" w:after="283"/>
              <w:jc w:val="left"/>
              <w:rPr/>
            </w:pPr>
            <w:r>
              <w:rPr/>
              <w:t> </w:t>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4.9x</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7.0x</w:t>
            </w:r>
          </w:p>
        </w:tc>
        <w:tc>
          <w:tcPr>
            <w:tcW w:w="63" w:type="dxa"/>
            <w:tcBorders/>
            <w:vAlign w:val="bottom"/>
          </w:tcPr>
          <w:p>
            <w:pPr>
              <w:pStyle w:val="TableContents"/>
              <w:bidi w:val="0"/>
              <w:spacing w:before="0" w:after="283"/>
              <w:jc w:val="left"/>
              <w:rPr/>
            </w:pPr>
            <w:r>
              <w:rPr/>
              <w:t> </w:t>
            </w:r>
          </w:p>
        </w:tc>
      </w:tr>
      <w:tr>
        <w:trPr>
          <w:trHeight w:val="240" w:hRule="atLeast"/>
        </w:trPr>
        <w:tc>
          <w:tcPr>
            <w:tcW w:w="5245" w:type="dxa"/>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7.0x and applied such trading multiples to the May 2026 DXL-Provided Financial Projections for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$0.63 – $1.06 per share for purposes of evaluating DXL common stock on a standalone basis, as compared to an overall reference range of $0.79 – $1.00 per share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($61.8) million – $86.4 million for purposes of evaluating FBB’s common stock on a standalone basis, as compared to an overall reference range of ($48.3) million – $33.1 million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May 11, 2025 through May 11, 2026 (the last trading day prior to the Zodiac tender offer), and Guggenheim Securities noted that DXL common stock generally had traded in a range of approximately $0.44 – $1.69 per share, as compared to a range of approximately $0.88 – $3.10 per share from December 9, 2024 through December 9, 2025 (the last trading day prior to the announcement of the merger)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May 11, 2026 (the last trading day prior to the Zodiac tender offer) and Guggenheim Securities noted that such Wall Street equity research analyst stock price targets for DXL common stock were $1.00 – $1.50 per share, as compared to a range of $1.30 – $2.00 per share as published prior to December 9, 2025 (the last trading day prior to the announcement of the merger) in connection with the December 2025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or providing the May 2026 Supplemental Financial Analyses. The decision to enter into and, conduct an ongoing evaluation of, the merger agreement was solely that of the DXL Board. The December 2025 Opinion, which was rendered only on and as of December 10, 2025 and has not been and will not be updated, was just one of the many factors taken into consideration by the DXL Board in December 2025 in entering into the merger agreement and the May 2026 Supplemental Financial Analyses was just one of many factors taken into consideration by the DXL Board in May 2026 in determining that the merger is not in the best interests of DXL stockholders. Consequently, Guggenheim Securities’ financial analyses in December of 2025, and subsequently in May 2026, should not be viewed as determinative of the decision of the DXL Board with respect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DXL stockholders should not rely on the December 2025 Opinion and it does not constitute advice or a recommendation to any DXL stockholder as to how any DXL stockholder should vote or act in connection with the merger or otherwise, and should be read only together with the May 2026 Supplemental Financial Analyses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delivery of the May 2026 Supplemental Financial Analyses to provide financial advisory or investment banking services for which Guggenheim Securities received fees. Guggenheim Securities has not been previously engaged by FBB during the two years prior to the delivery of the May 2026 Supplemental Financial Analyses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Zodiac Partners, other participants in the merger or the Zodiac tender offer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Zodiac Partners, other participants in the merger or the Zodiac tender offer or their respective affiliates. Furthermore, Guggenheim Securities and its affiliates and related entities and its or their respective directors, officers, employees, consultants and agents may have investments in DXL, FBB, Zodiac Partners, other participants in the merger or the Zodiac tender offer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Zodiac Partners, other participants in the merger or the Zodiac tender offer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1" w:name="tx76201_18"/>
      <w:bookmarkEnd w:id="21"/>
      <w:r>
        <w:rPr>
          <w:rFonts w:ascii="Times New Roman" w:hAnsi="Times New Roman"/>
          <w:b/>
          <w:sz w:val="20"/>
        </w:rPr>
        <w:t xml:space="preserve">Certain Financial Projections </w:t>
      </w:r>
    </w:p>
    <w:p>
      <w:pPr>
        <w:pStyle w:val="TextBody"/>
        <w:bidi w:val="0"/>
        <w:spacing w:before="120" w:after="0"/>
        <w:jc w:val="left"/>
        <w:rPr>
          <w:rFonts w:ascii="Times New Roman" w:hAnsi="Times New Roman"/>
          <w:sz w:val="20"/>
        </w:rPr>
      </w:pPr>
      <w:r>
        <w:rPr>
          <w:rFonts w:ascii="Times New Roman" w:hAnsi="Times New Roman"/>
          <w:sz w:val="20"/>
        </w:rPr>
        <w:t>DXL does not, as a matter of course, publicly disclose long-term projections of future financial results due to the inherent unpredictability, uncertainty and subjectivity of underlying assumptions and estimates. However, DXL is including in this proxy statement certain unaudited prospective financial information for DXL and FBB that was made available to the DXL Board in connection with its evaluation of the merger as well as Guggenheim Securities for purposes of performing its financial analyses, as described above under “</w:t>
      </w:r>
      <w:r>
        <w:rPr>
          <w:rFonts w:ascii="Times New Roman" w:hAnsi="Times New Roman"/>
          <w:i/>
          <w:sz w:val="20"/>
        </w:rPr>
        <w:t>Summary</w:t>
      </w:r>
      <w:r>
        <w:rPr>
          <w:rFonts w:ascii="Times New Roman" w:hAnsi="Times New Roman"/>
          <w:sz w:val="20"/>
        </w:rPr>
        <w:t>—</w:t>
      </w:r>
      <w:r>
        <w:rPr>
          <w:rFonts w:ascii="Times New Roman" w:hAnsi="Times New Roman"/>
          <w:i/>
          <w:sz w:val="20"/>
        </w:rPr>
        <w:t xml:space="preserve">Summary Comparison of Key Analytical Results </w:t>
      </w:r>
      <w:r>
        <w:rPr>
          <w:rFonts w:ascii="Times New Roman" w:hAnsi="Times New Roman"/>
          <w:sz w:val="20"/>
        </w:rPr>
        <w:t xml:space="preserve">— </w:t>
      </w:r>
      <w:r>
        <w:rPr>
          <w:rFonts w:ascii="Times New Roman" w:hAnsi="Times New Roman"/>
          <w:i/>
          <w:sz w:val="20"/>
        </w:rPr>
        <w:t>May 2026 Supplemental Financial Analyses versus December 2025</w:t>
      </w:r>
      <w:r>
        <w:rPr>
          <w:rFonts w:ascii="Times New Roman" w:hAnsi="Times New Roman"/>
          <w:sz w:val="20"/>
        </w:rPr>
        <w:t xml:space="preserve"> </w:t>
      </w:r>
      <w:r>
        <w:rPr>
          <w:rFonts w:ascii="Times New Roman" w:hAnsi="Times New Roman"/>
          <w:i/>
          <w:sz w:val="20"/>
        </w:rPr>
        <w:t>Opinion,” “—December 2025 Opinion of Guggenheim Securities, Financial Advisor to DXL” and “—May 2026 Supplemental Financial Analyses Prepared by Guggenheim Securities, Financial Advisor to DXL.</w:t>
      </w:r>
      <w:r>
        <w:rPr>
          <w:rFonts w:ascii="Times New Roman" w:hAnsi="Times New Roman"/>
          <w:sz w:val="20"/>
        </w:rPr>
        <w:t xml:space="preserve">” We refer to this information as the “Financial Projections.” A summary of certain significant elements of this information is included in this proxy statement for the purpose of providing DXL stockholders access to certain nonpublic information made available to DXL, the DXL Board and Guggenheim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Projections should not be deemed an admission or representation by DXL, Guggenheim Securities, FBB or any of their respective officers, directors, affiliates, advisors, or other representatives with respect to such Financial Projections. The Financial Projections are not included to influence your views on the merger and the information from the Financial Projections should be evaluated, if at all, in conjunction with the historical financial statements and other information regarding FBB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Projections contained in this section were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Neither DXL’s nor FBB’s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KPMG LLP reports incorporated by reference in this proxy statement relate to the previously issued financial statements of DXL. These reports, as well as the reports related to FBB included herein, do not extend to the Financial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Projections do not take into account the effect of any possible failure of the merger to occur. No assurances can be given that the estimates and assumptions made in preparing the Financial Projections will prove accurate or that any of the Financial Projections will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10-year December 2025 DXL-Provided Financial Projections for DXL provided to Guggenheim Securities and approved for Guggenheim Securities’ use by DXL’s senior management, in the financial analyses performed in connection with the December 2025 Opinion as described in </w:t>
      </w:r>
      <w:r>
        <w:rPr>
          <w:rFonts w:ascii="Times New Roman" w:hAnsi="Times New Roman"/>
          <w:i/>
          <w:sz w:val="20"/>
        </w:rPr>
        <w:t>the section titled “—December 2025 Opinion of Guggenheim Securities, Financial Advisor to DXL</w:t>
      </w:r>
      <w:r>
        <w:rPr>
          <w:rFonts w:ascii="Times New Roman" w:hAnsi="Times New Roman"/>
          <w:sz w:val="20"/>
        </w:rPr>
        <w:t xml:space="preserve">.” </w:t>
      </w: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described in the section entitled </w:t>
      </w:r>
      <w:r>
        <w:rPr>
          <w:rFonts w:ascii="Times New Roman" w:hAnsi="Times New Roman"/>
          <w:sz w:val="20"/>
        </w:rPr>
        <w:t>“—</w:t>
      </w:r>
      <w:r>
        <w:rPr>
          <w:rFonts w:ascii="Times New Roman" w:hAnsi="Times New Roman"/>
          <w:b/>
          <w:i/>
          <w:sz w:val="20"/>
        </w:rPr>
        <w:t>May 2026 Supplemental Financial Analyses Prepared by Guggenheim Securities, Financial Advisor to DXL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1414"/>
        <w:gridCol w:w="142"/>
        <w:gridCol w:w="240"/>
        <w:gridCol w:w="426"/>
        <w:gridCol w:w="155"/>
        <w:gridCol w:w="83"/>
        <w:gridCol w:w="240"/>
        <w:gridCol w:w="426"/>
        <w:gridCol w:w="155"/>
        <w:gridCol w:w="83"/>
        <w:gridCol w:w="240"/>
        <w:gridCol w:w="426"/>
        <w:gridCol w:w="155"/>
        <w:gridCol w:w="83"/>
        <w:gridCol w:w="179"/>
        <w:gridCol w:w="486"/>
        <w:gridCol w:w="59"/>
        <w:gridCol w:w="142"/>
        <w:gridCol w:w="179"/>
        <w:gridCol w:w="486"/>
        <w:gridCol w:w="60"/>
        <w:gridCol w:w="142"/>
        <w:gridCol w:w="179"/>
        <w:gridCol w:w="486"/>
        <w:gridCol w:w="60"/>
        <w:gridCol w:w="142"/>
        <w:gridCol w:w="179"/>
        <w:gridCol w:w="486"/>
        <w:gridCol w:w="60"/>
        <w:gridCol w:w="141"/>
        <w:gridCol w:w="179"/>
        <w:gridCol w:w="486"/>
        <w:gridCol w:w="60"/>
        <w:gridCol w:w="142"/>
        <w:gridCol w:w="179"/>
        <w:gridCol w:w="486"/>
        <w:gridCol w:w="60"/>
        <w:gridCol w:w="142"/>
        <w:gridCol w:w="179"/>
        <w:gridCol w:w="486"/>
        <w:gridCol w:w="72"/>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577" w:type="dxa"/>
            <w:gridSpan w:val="38"/>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507</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611</w:t>
            </w:r>
          </w:p>
        </w:tc>
        <w:tc>
          <w:tcPr>
            <w:tcW w:w="72" w:type="dxa"/>
            <w:tcBorders/>
            <w:shd w:fill="CCEEFF" w:val="clear"/>
            <w:vAlign w:val="bottom"/>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10-year December 2025 DXL-Provided Financial Projections for FBB provided to Guggenheim Securities, and approved for Guggenheim Securities’ use by DXL’s senior management, in the financial analyses performed in connection with the December 2025 Opinion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DXL was provided the December 2025 FBB-Provided Financial Projections for the years ending December 31, 2025 through December 31, 2029 by the management of FBB, and management of DXL prepared the December 2025 DXL-Provided Financial Projections for FBB for the years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1521"/>
        <w:gridCol w:w="143"/>
        <w:gridCol w:w="179"/>
        <w:gridCol w:w="486"/>
        <w:gridCol w:w="60"/>
        <w:gridCol w:w="143"/>
        <w:gridCol w:w="179"/>
        <w:gridCol w:w="486"/>
        <w:gridCol w:w="60"/>
        <w:gridCol w:w="143"/>
        <w:gridCol w:w="179"/>
        <w:gridCol w:w="486"/>
        <w:gridCol w:w="60"/>
        <w:gridCol w:w="143"/>
        <w:gridCol w:w="179"/>
        <w:gridCol w:w="486"/>
        <w:gridCol w:w="60"/>
        <w:gridCol w:w="143"/>
        <w:gridCol w:w="179"/>
        <w:gridCol w:w="486"/>
        <w:gridCol w:w="60"/>
        <w:gridCol w:w="143"/>
        <w:gridCol w:w="178"/>
        <w:gridCol w:w="486"/>
        <w:gridCol w:w="60"/>
        <w:gridCol w:w="143"/>
        <w:gridCol w:w="179"/>
        <w:gridCol w:w="486"/>
        <w:gridCol w:w="60"/>
        <w:gridCol w:w="143"/>
        <w:gridCol w:w="179"/>
        <w:gridCol w:w="486"/>
        <w:gridCol w:w="60"/>
        <w:gridCol w:w="143"/>
        <w:gridCol w:w="179"/>
        <w:gridCol w:w="486"/>
        <w:gridCol w:w="60"/>
        <w:gridCol w:w="143"/>
        <w:gridCol w:w="179"/>
        <w:gridCol w:w="486"/>
        <w:gridCol w:w="65"/>
      </w:tblGrid>
      <w:tr>
        <w:trPr/>
        <w:tc>
          <w:tcPr>
            <w:tcW w:w="15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76" w:type="dxa"/>
            <w:gridSpan w:val="38"/>
            <w:tcBorders/>
            <w:vAlign w:val="bottom"/>
          </w:tcPr>
          <w:p>
            <w:pPr>
              <w:pStyle w:val="TableContents"/>
              <w:bidi w:val="0"/>
              <w:spacing w:before="0" w:after="283"/>
              <w:jc w:val="center"/>
              <w:rPr>
                <w:b/>
              </w:rPr>
            </w:pPr>
            <w:r>
              <w:rPr>
                <w:b/>
              </w:rPr>
              <w:t>Fiscal Year Ending December</w:t>
            </w:r>
          </w:p>
        </w:tc>
        <w:tc>
          <w:tcPr>
            <w:tcW w:w="65"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911</w:t>
            </w:r>
          </w:p>
        </w:tc>
        <w:tc>
          <w:tcPr>
            <w:tcW w:w="65"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DXL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w:t>
      </w:r>
      <w:r>
        <w:rPr>
          <w:rFonts w:ascii="Times New Roman" w:hAnsi="Times New Roman"/>
          <w:sz w:val="20"/>
        </w:rPr>
        <w:t xml:space="preserve"> </w:t>
      </w:r>
      <w:r>
        <w:rPr>
          <w:rFonts w:ascii="Times New Roman" w:hAnsi="Times New Roman"/>
          <w:i/>
          <w:sz w:val="20"/>
        </w:rPr>
        <w:t>Financial Advisor to DXL</w:t>
      </w:r>
      <w:r>
        <w:rPr>
          <w:rFonts w:ascii="Times New Roman" w:hAnsi="Times New Roman"/>
          <w:sz w:val="20"/>
        </w:rPr>
        <w:t xml:space="preserve">.” </w:t>
      </w:r>
      <w:r>
        <w:rPr>
          <w:rFonts w:ascii="Times New Roman" w:hAnsi="Times New Roman"/>
          <w:b/>
          <w:sz w:val="20"/>
        </w:rPr>
        <w:t>The May 2026 Supplemental Financial Analyses were provided to the DXL Board (in its capacity as such) for its information and assistance in connection with its ongoing evaluation</w:t>
      </w:r>
      <w:r>
        <w:rPr>
          <w:rFonts w:ascii="Times New Roman" w:hAnsi="Times New Roman"/>
          <w:sz w:val="20"/>
        </w:rPr>
        <w:t xml:space="preserve"> </w:t>
      </w:r>
      <w:r>
        <w:rPr>
          <w:rFonts w:ascii="Times New Roman" w:hAnsi="Times New Roman"/>
          <w:b/>
          <w:sz w:val="20"/>
        </w:rPr>
        <w:t>of the merger. The May 2026 Supplemental Financial Analyses do not constitute an opinion, view, report</w:t>
      </w:r>
      <w:r>
        <w:rPr>
          <w:rFonts w:ascii="Times New Roman" w:hAnsi="Times New Roman"/>
          <w:sz w:val="20"/>
        </w:rPr>
        <w:t xml:space="preserve"> </w:t>
      </w:r>
      <w:r>
        <w:rPr>
          <w:rFonts w:ascii="Times New Roman" w:hAnsi="Times New Roman"/>
          <w:b/>
          <w:sz w:val="20"/>
        </w:rPr>
        <w:t>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2152"/>
        <w:gridCol w:w="164"/>
        <w:gridCol w:w="179"/>
        <w:gridCol w:w="486"/>
        <w:gridCol w:w="60"/>
        <w:gridCol w:w="164"/>
        <w:gridCol w:w="179"/>
        <w:gridCol w:w="486"/>
        <w:gridCol w:w="60"/>
        <w:gridCol w:w="164"/>
        <w:gridCol w:w="240"/>
        <w:gridCol w:w="428"/>
        <w:gridCol w:w="155"/>
        <w:gridCol w:w="107"/>
        <w:gridCol w:w="179"/>
        <w:gridCol w:w="486"/>
        <w:gridCol w:w="60"/>
        <w:gridCol w:w="164"/>
        <w:gridCol w:w="179"/>
        <w:gridCol w:w="486"/>
        <w:gridCol w:w="60"/>
        <w:gridCol w:w="164"/>
        <w:gridCol w:w="179"/>
        <w:gridCol w:w="486"/>
        <w:gridCol w:w="59"/>
        <w:gridCol w:w="164"/>
        <w:gridCol w:w="179"/>
        <w:gridCol w:w="486"/>
        <w:gridCol w:w="60"/>
        <w:gridCol w:w="164"/>
        <w:gridCol w:w="179"/>
        <w:gridCol w:w="486"/>
        <w:gridCol w:w="60"/>
        <w:gridCol w:w="164"/>
        <w:gridCol w:w="179"/>
        <w:gridCol w:w="486"/>
        <w:gridCol w:w="72"/>
      </w:tblGrid>
      <w:tr>
        <w:trPr/>
        <w:tc>
          <w:tcPr>
            <w:tcW w:w="21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817" w:type="dxa"/>
            <w:gridSpan w:val="34"/>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491</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72"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24</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35</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Provided by FBB as of May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updated four-year May 2026 FBB-Provided Financial Projections for the years ending December 31, 2026 through December 31, 2029, provided to DXL’s senior management, and used by DXL’s senior management to prepare the May 2026 DXL-Provided Financial Projections. FBB’s management prepared these financial projections based on its judgment and experience in the industry and its analysis of FBB and its business. The May 2026 FBB-Provided Financial Projections were provided by FBB or its representatives and reflect FBB’s views. Accordingly, the May 2026 FBB-Provided Financial Projections may differ from, and in certain cases may be inconsistent with, the current views of the DXL Board. DXL stockholders should not view the inclusion of the May 2026 FBB-Provided Financial Projections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 by the DXL Board or as an indication that the DXL Board believes such projections will be realized, and should not place undue reliance on such projections.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344"/>
        <w:gridCol w:w="238"/>
        <w:gridCol w:w="179"/>
        <w:gridCol w:w="487"/>
        <w:gridCol w:w="60"/>
        <w:gridCol w:w="238"/>
        <w:gridCol w:w="179"/>
        <w:gridCol w:w="487"/>
        <w:gridCol w:w="60"/>
        <w:gridCol w:w="238"/>
        <w:gridCol w:w="179"/>
        <w:gridCol w:w="487"/>
        <w:gridCol w:w="60"/>
        <w:gridCol w:w="238"/>
        <w:gridCol w:w="178"/>
        <w:gridCol w:w="487"/>
        <w:gridCol w:w="66"/>
      </w:tblGrid>
      <w:tr>
        <w:trPr/>
        <w:tc>
          <w:tcPr>
            <w:tcW w:w="634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55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710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767</w:t>
            </w:r>
          </w:p>
        </w:tc>
        <w:tc>
          <w:tcPr>
            <w:tcW w:w="66"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EBITDA(1)(2)</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20"/>
              <w:jc w:val="left"/>
              <w:rPr>
                <w:rFonts w:ascii="Times New Roman" w:hAnsi="Times New Roman"/>
                <w:sz w:val="18"/>
              </w:rPr>
            </w:pPr>
            <w:r>
              <w:rPr>
                <w:rFonts w:ascii="Times New Roman" w:hAnsi="Times New Roman"/>
                <w:b/>
                <w:sz w:val="18"/>
              </w:rPr>
              <w:t xml:space="preserve">Adj. EBITDA </w:t>
            </w:r>
            <w:r>
              <w:rPr>
                <w:rFonts w:ascii="Times New Roman" w:hAnsi="Times New Roman"/>
                <w:b/>
                <w:i/>
                <w:sz w:val="18"/>
              </w:rPr>
              <w:t>less</w:t>
            </w:r>
            <w:r>
              <w:rPr>
                <w:rFonts w:ascii="Times New Roman" w:hAnsi="Times New Roman"/>
                <w:sz w:val="18"/>
              </w:rPr>
              <w:t xml:space="preserve"> </w:t>
            </w:r>
            <w:r>
              <w:rPr>
                <w:rFonts w:ascii="Times New Roman" w:hAnsi="Times New Roman"/>
                <w:b/>
                <w:sz w:val="18"/>
              </w:rPr>
              <w:t>Capital Expenditures(1)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May 2026 FBB-Provided Financial Projections furnished to DXL by FBB included estimates of Revenue and Adjusted EBITDA attributable to potential future acquisitions. The amounts presented in this table have been adjusted to exclude those acquisition-related estimates.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FBB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was provided the May 2026 FBB-Provided Financial Projections for the years ending December 31, 2026 through December 31, 2029 by the management of FBB, and management of DXL prepared the May 2026 DXL-Provided Financial Projections for FBB for the years ending December 31, 2026 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2217"/>
        <w:gridCol w:w="161"/>
        <w:gridCol w:w="179"/>
        <w:gridCol w:w="486"/>
        <w:gridCol w:w="60"/>
        <w:gridCol w:w="161"/>
        <w:gridCol w:w="179"/>
        <w:gridCol w:w="486"/>
        <w:gridCol w:w="60"/>
        <w:gridCol w:w="161"/>
        <w:gridCol w:w="179"/>
        <w:gridCol w:w="486"/>
        <w:gridCol w:w="60"/>
        <w:gridCol w:w="160"/>
        <w:gridCol w:w="179"/>
        <w:gridCol w:w="486"/>
        <w:gridCol w:w="60"/>
        <w:gridCol w:w="161"/>
        <w:gridCol w:w="179"/>
        <w:gridCol w:w="486"/>
        <w:gridCol w:w="60"/>
        <w:gridCol w:w="161"/>
        <w:gridCol w:w="179"/>
        <w:gridCol w:w="486"/>
        <w:gridCol w:w="60"/>
        <w:gridCol w:w="161"/>
        <w:gridCol w:w="179"/>
        <w:gridCol w:w="486"/>
        <w:gridCol w:w="59"/>
        <w:gridCol w:w="161"/>
        <w:gridCol w:w="179"/>
        <w:gridCol w:w="486"/>
        <w:gridCol w:w="60"/>
        <w:gridCol w:w="161"/>
        <w:gridCol w:w="179"/>
        <w:gridCol w:w="486"/>
        <w:gridCol w:w="76"/>
      </w:tblGrid>
      <w:tr>
        <w:trPr/>
        <w:tc>
          <w:tcPr>
            <w:tcW w:w="221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51" w:type="dxa"/>
            <w:gridSpan w:val="34"/>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Fiscal Year Ending December</w:t>
            </w:r>
          </w:p>
        </w:tc>
        <w:tc>
          <w:tcPr>
            <w:tcW w:w="76"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771</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76" w:type="dxa"/>
            <w:tcBorders/>
            <w:shd w:fill="CCEEFF" w:val="clear"/>
            <w:vAlign w:val="bottom"/>
          </w:tcPr>
          <w:p>
            <w:pPr>
              <w:pStyle w:val="TableContents"/>
              <w:bidi w:val="0"/>
              <w:spacing w:before="0" w:after="283"/>
              <w:jc w:val="left"/>
              <w:rPr/>
            </w:pPr>
            <w:r>
              <w:rPr/>
              <w:t> </w:t>
            </w:r>
          </w:p>
        </w:tc>
      </w:tr>
      <w:tr>
        <w:trPr/>
        <w:tc>
          <w:tcPr>
            <w:tcW w:w="2217"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17</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Unlevered Free Cash Flow for FBB was not provided by FBB as part of the May 2026 FBB-Provided Financial Projections. Accordingly, Unlevered Free Cash Flow for FBB was calculated by DXL, with the assistance of Guggenheim Securities, using a methodology consistent with that used to calculate Unlevered Free Cash Flow in the May 2026 DXL-Provided Financial Projections for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068"/>
        <w:gridCol w:w="304"/>
        <w:gridCol w:w="232"/>
        <w:gridCol w:w="437"/>
        <w:gridCol w:w="60"/>
        <w:gridCol w:w="304"/>
        <w:gridCol w:w="232"/>
        <w:gridCol w:w="437"/>
        <w:gridCol w:w="60"/>
        <w:gridCol w:w="304"/>
        <w:gridCol w:w="232"/>
        <w:gridCol w:w="437"/>
        <w:gridCol w:w="60"/>
        <w:gridCol w:w="304"/>
        <w:gridCol w:w="231"/>
        <w:gridCol w:w="437"/>
        <w:gridCol w:w="66"/>
      </w:tblGrid>
      <w:tr>
        <w:trPr/>
        <w:tc>
          <w:tcPr>
            <w:tcW w:w="606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6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06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Flow(1)</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standalone Financial Projections for DXL and FBB were prepared separately using, in some cases, different assumptions, and are not intended to be added together. Adding the financial forecasts together for the two companies is not intended to represent the results DXL will achieve if the merger is completed and is not intended to represent forecasted financial information for DXL if the merger is completed. By including in this proxy statement a summary of the Financial Projections, none of DXL, FBB or any of their respective representatives has made or makes any representation to any person regarding the ultimate performance of DXL or FBB compared to the information contained in the Financial Projections. Neither DXL nor FBB undertakes any obligation to update or otherwise revise the Financial Projections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The Financial Projections summarized in this section are not included in this proxy statement in order to induce any holder of DXL common stock to vote in favor of the issuance proposal or any of the other proposals to be voted on at the special meeting. </w:t>
      </w:r>
    </w:p>
    <w:p>
      <w:pPr>
        <w:pStyle w:val="TextBody"/>
        <w:bidi w:val="0"/>
        <w:spacing w:before="240" w:after="0"/>
        <w:jc w:val="left"/>
        <w:rPr>
          <w:rFonts w:ascii="Times New Roman" w:hAnsi="Times New Roman"/>
          <w:sz w:val="20"/>
        </w:rPr>
      </w:pPr>
      <w:r>
        <w:rPr>
          <w:rFonts w:ascii="Times New Roman" w:hAnsi="Times New Roman"/>
          <w:sz w:val="20"/>
        </w:rPr>
        <w:t>Certain of the Financial Projections were not prepared in accordance with GAAP, including Adjusted EBITDA and Unlevered Free Cash Flow (collectively, the “non-GAAP financial measures”). DXL believes that the use of these non-GAAP financial measures is useful in analyzing the financial forecasts and that they enhance investors’ understanding of DXL and FBB financial projections. The presentation of these non-GAAP financial measures is not in accordance with GAAP and should not be considered superior to, or as a substitute for, net income (loss), cash provided by operations or any other measure of performance derived in accordance with GAAP. In addition, not all companies calculate Adjusted EBITDA and Unlevered Free Cash Flow in the same manner and, accordingly, the non-GAAP financial measures presented in the Financial Projections may not be comparable to similar Adjusted EBITDA and Unlevered Free Cash Flow measures used by other companies. Reconciliations of non-GAAP financial measures were not relied upon by Guggenheim Securities for purposes of the December 2025 Opinion or the May 2026 Supplemental Financial Analyses, each as described in the sections entitled “—</w:t>
      </w:r>
      <w:r>
        <w:rPr>
          <w:rFonts w:ascii="Times New Roman" w:hAnsi="Times New Roman"/>
          <w:i/>
          <w:sz w:val="20"/>
        </w:rPr>
        <w:t>December 2025</w:t>
      </w:r>
      <w:r>
        <w:rPr>
          <w:rFonts w:ascii="Times New Roman" w:hAnsi="Times New Roman"/>
          <w:sz w:val="20"/>
        </w:rPr>
        <w:t xml:space="preserve"> </w:t>
      </w:r>
      <w:r>
        <w:rPr>
          <w:rFonts w:ascii="Times New Roman" w:hAnsi="Times New Roman"/>
          <w:i/>
          <w:sz w:val="20"/>
        </w:rPr>
        <w:t>Opinion of Guggenheim Securities, Financial Advisor to DXL</w:t>
      </w:r>
      <w:r>
        <w:rPr>
          <w:rFonts w:ascii="Times New Roman" w:hAnsi="Times New Roman"/>
          <w:sz w:val="20"/>
        </w:rPr>
        <w:t>” and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or by the DXL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DXL has not provided a reconciliation of the financial measures included in the Financial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2" w:name="tx76201_19"/>
      <w:bookmarkEnd w:id="22"/>
      <w:r>
        <w:rPr>
          <w:rFonts w:ascii="Times New Roman" w:hAnsi="Times New Roman"/>
          <w:b/>
          <w:sz w:val="20"/>
        </w:rPr>
        <w:t xml:space="preserve">Interests of DXL’s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As described below, some of DXL’s directors and executive officers have interests in the merger that are different from, or in addition to, those of other DXL stockholders generally. Members of the DXL Board were aware of and considered these interests, among other matters, in reaching its decision to approve the merger agreement in December 2025, and in evaluating and negotiating the merger agreement and the merger. In light of developments since the execution of the merger agreement, the DXL Board now recommends that DXL stockholders vote against the issuance proposal that is necessary for the merger.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DXL stockholders should take these interests into account in deciding whether to vote against the issuance proposal and in favor of the reverse stock split proposal and the 2016 plan proposal. These interests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In conducting its ongoing evaluation of the merger, the DXL Board was aware that the current directors (including DXL’s interim chief executive officer), DXL’s chief financial officer, and the former chief executive officer and former director of DXL had entered into voting agreements in connection with the merger agreement, pursuant to which they agreed to vote in favor of the issuance proposal. The DXL Board was also aware that certain current directors and executive officers of DXL would be expected to continue serving as directors or executive officers of the combined company if the merger were consummated, as described below. The directors participated in the DXL Board’s review of updated information and analyses and in the DXL Board’s consideration of its recommendation with respect to the issuance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Continued Board of Directors Service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is consummated, it is expected that four of DXL’s current directors, Lionel F. Conacher, Carmen R. Bauza, Jack Boyle, and Willem Mesdag, would continue to serve on the board of directors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if consummated, would constitute a “change in control” (a “CIC”) pursuant to the DXL agreements and plans applicable to the executive officers described herein. A description of potential payments to executive officers of DXL are detailed below. The information set forth in the table below is intended to comply with Item 402(t) of the SEC’s Regulation S-K, which requires disclosure of information about compensation paid to DXL’s named executive officers that is based on, or otherwise relates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Harvey S. Kanter Retirement </w:t>
      </w:r>
    </w:p>
    <w:p>
      <w:pPr>
        <w:pStyle w:val="TextBody"/>
        <w:bidi w:val="0"/>
        <w:spacing w:before="12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In accordance with the notice requirements in his employment agreement, Mr. Kanter was provided notice on May 11, 2026 that his employment with DXL would not continue past the end of the term of his current employment agreement. Accordingly, Mr. Kanter retired on August 11, 2026. In connection with his retirement, all outstanding unvested equity awards held by Mr. Kanter were forfeited and, as a result, Mr. Kanter is not entitled to any accelerated equity vesting or other benefits in connection with a CIC. </w:t>
      </w:r>
    </w:p>
    <w:p>
      <w:pPr>
        <w:pStyle w:val="TextBody"/>
        <w:bidi w:val="0"/>
        <w:spacing w:before="360" w:after="0"/>
        <w:jc w:val="left"/>
        <w:rPr>
          <w:rFonts w:ascii="Times New Roman" w:hAnsi="Times New Roman"/>
          <w:i/>
          <w:sz w:val="20"/>
        </w:rPr>
      </w:pPr>
      <w:r>
        <w:rPr>
          <w:rFonts w:ascii="Times New Roman" w:hAnsi="Times New Roman"/>
          <w:i/>
          <w:sz w:val="20"/>
        </w:rPr>
        <w:t xml:space="preserve">Lionel F. Conacher Offer Letter </w:t>
      </w:r>
    </w:p>
    <w:p>
      <w:pPr>
        <w:pStyle w:val="TextBody"/>
        <w:bidi w:val="0"/>
        <w:spacing w:before="120" w:after="0"/>
        <w:jc w:val="left"/>
        <w:rPr>
          <w:rFonts w:ascii="Times New Roman" w:hAnsi="Times New Roman"/>
          <w:sz w:val="20"/>
        </w:rPr>
      </w:pPr>
      <w:r>
        <w:rPr>
          <w:rFonts w:ascii="Times New Roman" w:hAnsi="Times New Roman"/>
          <w:sz w:val="20"/>
        </w:rPr>
        <w:t xml:space="preserve">DXL offered Mr. Conacher the position of interim chief executive officer and principal executive officer on August 5, 2026 to which he accepted. Mr. Conacher has served as a member of the DXL Board since June 2018 and he remains eligible to continue with his Board service during his employment as interim chief executive officer. However, Mr. Conacher will not receive any additional compensation for his Board service while he is employed as interim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offer letter, Mr. Conacher will receive a base salary of $80,000 per month, prorated for any partial month of employment. In addition, he will receive an additional monthly payment of $15,000 per month paid in the form of fully vested Shares (as defined in the Destination XL Group, Inc. Second Amended and Restated 2016 Incentive Compensation Plan) issued pursuant to, and subject to the terms of, the plan. The number of Shares is calculated by dividing $15,000 by the closing price of the Shares on the business day immediately prior to the grant date,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Mr. Conacher will also be eligible for benefits that are made available to other executive officers. Mr. Conacher is not eligible to participate in the AIP or the LTIP. Additionally, Mr. Conacher will not receive any CIC payments. Mr. Conacher’s employment is at will and may be terminated at any time. If Mr. Conacher’s employment is terminated other than by DXL with “justifiable cause”, each party must provide thirty (30) days’ advance notice of termination.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Named Executive Officers (Other than the CEO) </w:t>
      </w:r>
    </w:p>
    <w:p>
      <w:pPr>
        <w:pStyle w:val="TextBody"/>
        <w:bidi w:val="0"/>
        <w:spacing w:before="120" w:after="0"/>
        <w:jc w:val="left"/>
        <w:rPr>
          <w:rFonts w:ascii="Times New Roman" w:hAnsi="Times New Roman"/>
          <w:sz w:val="20"/>
        </w:rPr>
      </w:pPr>
      <w:r>
        <w:rPr>
          <w:rFonts w:ascii="Times New Roman" w:hAnsi="Times New Roman"/>
          <w:sz w:val="20"/>
        </w:rPr>
        <w:t xml:space="preserve">DXL has employment agreements with each of Messrs. Stratton, Gaeta, and Molloy and Ms. Surette (collectively, the “NEO Employment Agreements”). In accordance with the NEO Employment Agreements, if any of the executive officers experiences a termination without “justifiable cause” or for “good reason” (each, a “Qualifying Termination”) within one (1) year following a CIC, the named executive officer will receive twelve (12) months of the executive’s base salary. For Mr. Stratton and Mr. Molloy, this is the highest base salary in effect at any time during the six-month period ending on a CIC, for Mr. Gaeta and Ms. Surette, this is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NEO Employment Agreements and the LTIP. For an estimate of the value of the severance payments and benefits that would be payable to Messrs. Stratton, Gaeta, and Molloy and Ms. Surette upon a Qualifying Termination in connection with a CIC under the NEO Employment Agreements,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Executive Officers who are not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DXL entered into employment agreements with Stacey Jones as Chief Human Resources Officer on February 21, 2021 and with John F. Cooney as Senior Vice President, Finance, Chief Accounting Officer and Corporate Controller on March 6, 2022 (together, the “Executive Officer Employment Agreements”). The Executive Officer Employment Agreements provide that the term of the agreements will continue until otherwise terminated by either party. Pursuant to the Executive Officer Employment Agreements, base salaries are subject to periodic review and adjustments. Ms. Jones currently receives an annual base salary of $377,500 and Mr. Cooney currently receives an annual base salary of $320,000. Both Ms. Jones and Mr. Cooney receive an annual $8,400 car allowance.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Executive Officer Employment Agreements, Ms. Jones and Mr. Cooney are eligible to participate in the AIP. Ms. Jones and Mr. Cooney are also eligible to participate in the LTIP at a target bonus equal to a specific percentage of their annual base salary in effect on their effective date of participation, which is 70% for Ms. Jones and 50% for Mr. Cooney. Pursuant to the terms of the LTIP, 50% of any award will be time-based compensation and 50% will be performance-based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Executive Officer Employment Agreements, if either Ms. Jones or Mr. Cooney experiences a Qualifying Termination within one (1) year following a CIC, each will receive twelve (12) months of their base salary in effect at the time of termination, in each case generally paid in a single payment within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would constitute a CIC under the Executive Officer Employment Agreements and the LTIP. The estimated aggregate amount that would be realized by Ms. Jones and Mr. Cooney, who are not named executive officers, upon a Qualifying Termination in connection with a CIC under the Executive Officer Employment Agreements is $697,500. </w:t>
      </w:r>
    </w:p>
    <w:p>
      <w:pPr>
        <w:pStyle w:val="TextBody"/>
        <w:bidi w:val="0"/>
        <w:spacing w:before="360" w:after="0"/>
        <w:jc w:val="left"/>
        <w:rPr>
          <w:rFonts w:ascii="Times New Roman" w:hAnsi="Times New Roman"/>
          <w:i/>
          <w:sz w:val="20"/>
        </w:rPr>
      </w:pPr>
      <w:r>
        <w:rPr>
          <w:rFonts w:ascii="Times New Roman" w:hAnsi="Times New Roman"/>
          <w:i/>
          <w:sz w:val="20"/>
        </w:rPr>
        <w:t xml:space="preserve">DXL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LTIP consists of a combination of time-based and performance-based awards (collectively, the “LTIP Awards”) for which payouts may consist of cash or equity or both. All LTIP Awards have been granted under the 2016 plan. Participants in the LTIPs are eligible to receive awards based on their “Target Cash Value,” which is defined as the participant’s annual base salary multiplied by his or her LTIP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time-based portion of the LTIP (the “Time-Based LTIP Awards”), which represents 50% of the potential target payout, is made in a combination of cash and equity, which has historically consisted of restricted stock units (“RSUs”) or stock options. The Time-Based LTIP Awards vest equally over a four (4)-year period where the first tranche vests on the later of (i) April 1 immediately following the end of the first year of the performance period to which the award relates or (ii) the first anniversary of the date of grant (whichever applicable, the “Time-Vesting Date”) and then the second, third and fourth tranches vest on the second, third and fourth anniversaries of the Time Vesting Date,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portion of the LTIP (the “Performance-Based LTIP Awards”), which represents the remaining 50% of the potential target payout, are awards that vest based on financial metric(s) measured over a three (3)-year performance cycle. The current outstanding Performance-Based LTIP Awards under the 2024-2026 LTIP and the 2025-2027 LTIP, each of which approximate $1.7 million at target, will be granted at the end of the respective performance periods if the performance targets are achieved. Through the end of the first quarter of fiscal 2026, there was no accrual for performance under either LTIP. In the event the merger is consummated, the Performance-Based LTIP Awards under the 2024-2026 LTIP and the 2025-2027 LTIP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will be issued in shares of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Time-Based LTIP Awards that are issued and outstanding immediately prior to a CIC will remain in place after a CIC and continue to vest in accordance with their terms. If the merger is consummated, upon the CIC, the executive officers will have Time-Based LTIP Awards outstanding in the 2023-2025 LTIP, 2024- 2026 LTIP and the 2025 –2027 LTIP (the “Current LTIP Awards”). </w:t>
      </w:r>
    </w:p>
    <w:p>
      <w:pPr>
        <w:pStyle w:val="TextBody"/>
        <w:bidi w:val="0"/>
        <w:spacing w:before="240" w:after="0"/>
        <w:jc w:val="left"/>
        <w:rPr>
          <w:rFonts w:ascii="Times New Roman" w:hAnsi="Times New Roman"/>
          <w:sz w:val="20"/>
        </w:rPr>
      </w:pPr>
      <w:r>
        <w:rPr>
          <w:rFonts w:ascii="Times New Roman" w:hAnsi="Times New Roman"/>
          <w:sz w:val="20"/>
        </w:rPr>
        <w:t xml:space="preserve">The LTIPs include a “Structured Retirement” provision, which provides an opportunity for greater vesting upon retirement where the executive officer assists DXL in ensuring the succession of the executive’s position within DXL prior to the executive’s retirement. In order to be eligible to participate in a Structured Retirement, (i) the executive must terminate employment after meeting the age and service requirements set forth in the LTIP (which requires, at minimum, that the executive has attained age 59 and completed at least three (3) years of service in the case of the CEO, or five (5) years of service for other executives), (ii) the Compensation Committee must confirm through proper corporate action that the executive has met all of the succession planning objectives set by the Compensation Committee, (iii) the executive must continue to work until the date required by the Compensation Committee (which may not be more than sixty (60) days after the Compensation Committee confirms that the objectives have been met), and (iv) the executive must execute a release of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favor of DXL. The final determination as to whether the requirements of a Structured Retirement have been met is in the sole discretion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Time-Based LTIP Awards, if an executive officer experiences a Qualifying Termination within six (6) months before or eighteen (18) months after a CIC, if (i) the respective LTIP performance period has ended on or before the potential CIC, any unvested equity and cash awards shall immediately vest, and to the extent the portion of the Participant’s Award(s) that is attributable to a Time-Based LTIP Award for a performance period that ended on or before such CIC had not yet vested or been paid to the Participant shall immediately vest; (ii) the respective LTIP performance period has not ended on or before the potential CIC and if such portion of the Time-Based LTIP Award is not assumed by the acquirer or converted into a new award, a pro-rata vesting of any unvested equity and cash awards shall immediately vest, based on the number of days from the start of the respective performance period to a CIC over the total days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if consummated, would constitute a CIC for purposes of the LTIP. </w:t>
      </w:r>
    </w:p>
    <w:p>
      <w:pPr>
        <w:pStyle w:val="TextBody"/>
        <w:bidi w:val="0"/>
        <w:spacing w:before="240" w:after="0"/>
        <w:jc w:val="left"/>
        <w:rPr>
          <w:rFonts w:ascii="Times New Roman" w:hAnsi="Times New Roman"/>
          <w:sz w:val="20"/>
        </w:rPr>
      </w:pPr>
      <w:r>
        <w:rPr>
          <w:rFonts w:ascii="Times New Roman" w:hAnsi="Times New Roman"/>
          <w:sz w:val="20"/>
        </w:rPr>
        <w:t xml:space="preserve">The estimated value, if target is met, of the Performance-Based LTIP Awards to be cancelled and paid out with respect to each of Messrs. Stratton, Gaeta, and Molloy and Ms. Surette is included in the table below. Additionally, the estimated value of the Time-Based LTIP Awards, which would be paid on a Qualifying Termination, is also included in the table below. </w:t>
      </w:r>
    </w:p>
    <w:p>
      <w:pPr>
        <w:pStyle w:val="TextBody"/>
        <w:bidi w:val="0"/>
        <w:spacing w:before="240" w:after="0"/>
        <w:jc w:val="left"/>
        <w:rPr>
          <w:rFonts w:ascii="Times New Roman" w:hAnsi="Times New Roman"/>
          <w:sz w:val="20"/>
        </w:rPr>
      </w:pPr>
      <w:r>
        <w:rPr>
          <w:rFonts w:ascii="Times New Roman" w:hAnsi="Times New Roman"/>
          <w:sz w:val="20"/>
        </w:rPr>
        <w:t>The estimated aggregate value, if target is met, of the Performance-Based LTIP Awards to be cancelled and paid out with respect to the two DXL executive officers who are not named executive officers is $269,588, assuming target. Additionally, the estimated aggregate value of the Time-Based LTIP Awards, which would be paid on a Qualifying Termination with respect to the two DXL executive officers who are not named executive officers is $83,224 in cash and $35,463 in RSUs. These amounts were determined using the assumptions set forth in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As a result of such assumptions, which may or may not actually occur or be accurate on the relevant date, the actual amounts to be received by DXL executive officers who are not named executive officers may materially differ from the amounts set forth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Payments and Benefits to DXL’s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estimates of single trigger and double trigger CIC payments to the DXL named executive officers if the merger is consummated. The “CIC Payment” is a single trigger payment that would be made if the CIC is consummated. The amounts shown below assume, if the merger occurs, (i) the CIC occurred on August 21, 2026, (ii) a stock price of $1.08 (the average closing price per share of DXL common stock during the first five (5) days following the merger announcement), (iii) performance through the CIC as described herein, and (iv) continued employment through the CIC unless otherwise noted. All amounts are estimates. The calculations in the table do not include amounts that DXL’s named executive officers were already vested in as of the date of this proxy statement.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this disclosure, “single trigger” refers to payments and benefits that arise solely as a result of the completion of the merger and “double trigger” refers to payments and benefits that require two conditions, which are the completion of the merger and a qualifying termination of employment.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274"/>
        <w:gridCol w:w="161"/>
        <w:gridCol w:w="941"/>
        <w:gridCol w:w="169"/>
        <w:gridCol w:w="338"/>
        <w:gridCol w:w="210"/>
        <w:gridCol w:w="1162"/>
        <w:gridCol w:w="232"/>
        <w:gridCol w:w="338"/>
        <w:gridCol w:w="140"/>
        <w:gridCol w:w="876"/>
        <w:gridCol w:w="239"/>
      </w:tblGrid>
      <w:tr>
        <w:trPr/>
        <w:tc>
          <w:tcPr>
            <w:tcW w:w="4308"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818,505</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33,682</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852,187</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664,254</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24,940</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689,194</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644,172</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24,846</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669,018</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624,721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23,868</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648,589</w:t>
            </w:r>
          </w:p>
        </w:tc>
        <w:tc>
          <w:tcPr>
            <w:tcW w:w="23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column includes, for each named executive officer and as further detailed in the table below, the (i) the estimated value of the unvested cash Performance-Based LTIP Awards, assuming target, that will be cancelled and paid out, on a pro-rata basis, based on actual achievement through the potential CIC (which amounts are “single-trigger”), (ii) a cash severance payment equal to one (1) times base salary, which amounts are “double-trigger”, and (iii) a cash payment for the pro rata vesting of unvested cash Time-Based LTIP Cash Awards, which amounts are “double-trigger”. For purposes of this table, we are assuming the actual achievement of the performance targets under the Performance-based LTIP Awards will be at target; however, based on current performance it is unlikely that the respective performance targets under either LTIP will be achieved.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22"/>
        <w:gridCol w:w="207"/>
        <w:gridCol w:w="396"/>
        <w:gridCol w:w="2299"/>
        <w:gridCol w:w="60"/>
        <w:gridCol w:w="207"/>
        <w:gridCol w:w="244"/>
        <w:gridCol w:w="1412"/>
        <w:gridCol w:w="60"/>
        <w:gridCol w:w="207"/>
        <w:gridCol w:w="320"/>
        <w:gridCol w:w="1569"/>
        <w:gridCol w:w="59"/>
        <w:gridCol w:w="207"/>
        <w:gridCol w:w="140"/>
        <w:gridCol w:w="810"/>
        <w:gridCol w:w="69"/>
      </w:tblGrid>
      <w:tr>
        <w:trPr/>
        <w:tc>
          <w:tcPr>
            <w:tcW w:w="112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7" w:type="dxa"/>
            <w:tcBorders/>
            <w:vAlign w:val="bottom"/>
          </w:tcPr>
          <w:p>
            <w:pPr>
              <w:pStyle w:val="TableContents"/>
              <w:bidi w:val="0"/>
              <w:spacing w:before="0" w:after="283"/>
              <w:jc w:val="left"/>
              <w:rPr/>
            </w:pPr>
            <w:r>
              <w:rPr/>
              <w:t>  </w:t>
            </w:r>
          </w:p>
        </w:tc>
        <w:tc>
          <w:tcPr>
            <w:tcW w:w="2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LTIP</w:t>
              <w:br/>
              <w:t>Award</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Severance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Time-Based LTIP</w:t>
              <w:br/>
              <w:t>Cash Awards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Cash</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0</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0</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253,846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484,210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80,449</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818,505</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194,040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412,000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58,214</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664,254</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187,249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397,580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59,343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644,172</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181,913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386,250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56,558</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624,721</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column includes the estimated value of the unvested equity-based Time-Based LTIP Awards under DXL’s 2023-2025 LTIP, 2024-2026 LTIP and 2025-2027 LTIP that will vest, on a pro rata basis, in accordance with the terms of the LTIP, as described above, if an executive officer experiences a Qualifying Termination within six (6) months prior or eighteen (18) months following a CIC. Such amounts are “double-trigger”.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w:t>
            </w:r>
          </w:p>
        </w:tc>
      </w:tr>
    </w:tbl>
    <w:p>
      <w:pPr>
        <w:pStyle w:val="TextBody"/>
        <w:bidi w:val="0"/>
        <w:spacing w:before="360" w:after="0"/>
        <w:jc w:val="left"/>
        <w:rPr>
          <w:rFonts w:ascii="Times New Roman" w:hAnsi="Times New Roman"/>
          <w:b/>
          <w:sz w:val="20"/>
        </w:rPr>
      </w:pPr>
      <w:bookmarkStart w:id="23" w:name="tx76201_20"/>
      <w:bookmarkEnd w:id="2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merger would be treated by DXL as a reverse acquisition under U.S. generally accepted accounting principles (“GAAP”). For accounting purposes, FBB would be considered to be the accounting acquirer in this transaction even though DXL would be the legal acquirer. </w:t>
      </w:r>
    </w:p>
    <w:p>
      <w:pPr>
        <w:pStyle w:val="TextBody"/>
        <w:bidi w:val="0"/>
        <w:spacing w:before="360" w:after="0"/>
        <w:jc w:val="left"/>
        <w:rPr>
          <w:rFonts w:ascii="Times New Roman" w:hAnsi="Times New Roman"/>
          <w:b/>
          <w:sz w:val="20"/>
        </w:rPr>
      </w:pPr>
      <w:bookmarkStart w:id="24" w:name="tx76201_21"/>
      <w:bookmarkEnd w:id="24"/>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Act. FBB represented and warranted to DXL in the merger agreement provides that the number of unaccredited investors is less than thirty (30).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5" w:name="tx76201_22"/>
      <w:bookmarkEnd w:id="25"/>
      <w:r>
        <w:rPr>
          <w:rFonts w:ascii="Times New Roman" w:hAnsi="Times New Roman"/>
          <w:b/>
          <w:sz w:val="20"/>
        </w:rPr>
        <w:t xml:space="preserve">Material U.S. Federal Income Tax Consequences of the Merger and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of the merger and the reverse stock split that would be expected to apply generally to U.S. Holders (as defined below) of DXL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DXL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required under Section 451(b) of the Code to conform the timing of their income to their financial statements; or (ix) who acquired their shares of DXL common stock through the exercise of convertible securities or in a transaction subject to the gain rollover provisions of Section 1045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state, local or non-U.S. tax consequences of the merger or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DXL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(or is treated as)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HOLDERS OF DXL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 </w:t>
      </w:r>
    </w:p>
    <w:p>
      <w:pPr>
        <w:pStyle w:val="TextBody"/>
        <w:bidi w:val="0"/>
        <w:spacing w:before="120" w:after="0"/>
        <w:jc w:val="left"/>
        <w:rPr>
          <w:rFonts w:ascii="Times New Roman" w:hAnsi="Times New Roman"/>
          <w:i/>
          <w:sz w:val="20"/>
        </w:rPr>
      </w:pPr>
      <w:r>
        <w:rPr>
          <w:rFonts w:ascii="Times New Roman" w:hAnsi="Times New Roman"/>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form of the merger, U.S. Holders of DXL common stock, as of immediately prior to the merger, would not sell, exchange or dispose of any shares of DXL common stock as a result of the merger. Thus, there would be no material U.S. federal income tax consequences to DXL stockholders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should not recognize gain or loss as a result of the reverse stock split. The aggregate adjusted tax basis in the shares of DXL common stock received pursuant to the reverse stock split should equal the aggregate adjusted tax basis of the shares of DXL common stock exchanged therefor, and each DXL stockholder’s holding period for the shares of DXL common stock received pursuant to the reverse stock split will include the holding period in the shares of DXL common stock exchanged therefor. DXL stockholders that acquired DXL common stock on different dates or at different prices should consult their tax advisors regarding the allocation of the tax basis and holding period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01_23"/>
      <w:bookmarkEnd w:id="2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27" w:name="tx76201_24"/>
      <w:bookmarkEnd w:id="27"/>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DXL stockholders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360" w:after="0"/>
        <w:jc w:val="left"/>
        <w:rPr>
          <w:rFonts w:ascii="Times New Roman" w:hAnsi="Times New Roman"/>
          <w:b/>
          <w:sz w:val="20"/>
        </w:rPr>
      </w:pPr>
      <w:bookmarkStart w:id="28" w:name="tx76201_25"/>
      <w:bookmarkEnd w:id="2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unanimously recommends that DXL stockholders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issuance proposal is a condition to the completion of the merger. Although approval of the reverse stock split proposal is not expressly stated in the merger agreement as a condition to the completion of the merger, the merger agreement does include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x76201_26"/>
      <w:bookmarkEnd w:id="29"/>
      <w:r>
        <w:rPr>
          <w:rFonts w:ascii="Times New Roman" w:hAnsi="Times New Roman"/>
          <w:b/>
          <w:sz w:val="20"/>
        </w:rPr>
        <w:t xml:space="preserve">Record Date; Shares Outstanding and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fixed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stockholders entitled to notice of, and to vote at, the special meeting and any adjournment or postponement thereof. Only holders of record of shares of DXL common stock at the close of business on the record date are entitled to notice of, and to vote at, the special meeting. At the close of business on the record date, DXL had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outstanding and entitled to vote at the special meeting. Each holder of record of shares of common stock on the record date will be entitled to one vote for each share held on all matters to be voted upon at the special meeting. </w:t>
      </w:r>
    </w:p>
    <w:p>
      <w:pPr>
        <w:pStyle w:val="TextBody"/>
        <w:bidi w:val="0"/>
        <w:spacing w:before="360" w:after="0"/>
        <w:jc w:val="left"/>
        <w:rPr>
          <w:rFonts w:ascii="Times New Roman" w:hAnsi="Times New Roman"/>
          <w:b/>
          <w:sz w:val="20"/>
        </w:rPr>
      </w:pPr>
      <w:bookmarkStart w:id="30" w:name="tx76201_27"/>
      <w:bookmarkEnd w:id="3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Under the Fourth Amended and Restated By-Laws of DXL (the “By-Laws”), the holders of a majority of the shares of DXL common stock issued and outstanding and entitled to vote at the meeting, present in person or represented by proxy, shall constitute a quorum at any meeting of stockholders. If less than a quorum is present at a meeting, then the affirmative vote of a majority of the votes cast by DXL stockholders entitled to vote at the meeting, present in person or represented by proxy, shall have power to adjourn the meeting from time to time. The inspector of election appointed for the special meeting will determine whether a quorum is present. Abstentions and broker non-votes will be treated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 </w:t>
      </w:r>
    </w:p>
    <w:p>
      <w:pPr>
        <w:pStyle w:val="TextBody"/>
        <w:bidi w:val="0"/>
        <w:spacing w:before="360" w:after="0"/>
        <w:jc w:val="left"/>
        <w:rPr>
          <w:rFonts w:ascii="Times New Roman" w:hAnsi="Times New Roman"/>
          <w:b/>
          <w:sz w:val="20"/>
        </w:rPr>
      </w:pPr>
      <w:bookmarkStart w:id="31" w:name="tx76201_28"/>
      <w:bookmarkEnd w:id="31"/>
      <w:r>
        <w:rPr>
          <w:rFonts w:ascii="Times New Roman" w:hAnsi="Times New Roman"/>
          <w:b/>
          <w:sz w:val="20"/>
        </w:rPr>
        <w:t xml:space="preserve">How to Vote Your Shares </w:t>
      </w:r>
    </w:p>
    <w:p>
      <w:pPr>
        <w:pStyle w:val="TextBody"/>
        <w:bidi w:val="0"/>
        <w:spacing w:before="120" w:after="0"/>
        <w:jc w:val="left"/>
        <w:rPr>
          <w:rFonts w:ascii="Times New Roman" w:hAnsi="Times New Roman"/>
          <w:sz w:val="20"/>
        </w:rPr>
      </w:pPr>
      <w:r>
        <w:rPr>
          <w:rFonts w:ascii="Times New Roman" w:hAnsi="Times New Roman"/>
          <w:b/>
          <w:sz w:val="20"/>
        </w:rPr>
        <w:t xml:space="preserve">If you hold your shares in your own name, </w:t>
      </w:r>
      <w:r>
        <w:rPr>
          <w:rFonts w:ascii="Times New Roman" w:hAnsi="Times New Roman"/>
          <w:sz w:val="20"/>
        </w:rPr>
        <w:t xml:space="preserve">you may submit a proxy by telephone, via the internet or by mail or vote by attending the special meeting and voting during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by Telephone</w:t>
            </w:r>
            <w:r>
              <w:rPr>
                <w:rFonts w:ascii="Times New Roman" w:hAnsi="Times New Roman"/>
                <w:sz w:val="20"/>
              </w:rPr>
              <w:t xml:space="preserve">: You can submit a proxy for your shares by telephone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calling the toll-free telephone number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via the internet</w:t>
            </w:r>
            <w:r>
              <w:rPr>
                <w:rFonts w:ascii="Times New Roman" w:hAnsi="Times New Roman"/>
                <w:sz w:val="20"/>
              </w:rPr>
              <w:t xml:space="preserve">: You can submit a proxy via the internet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accessing the web site listed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Submitting a Proxy by Mail: </w:t>
            </w:r>
            <w:r>
              <w:rPr>
                <w:rFonts w:ascii="Times New Roman" w:hAnsi="Times New Roman"/>
                <w:sz w:val="20"/>
              </w:rPr>
              <w:t xml:space="preserve">If you choose to submit a proxy by mail, simply mark the enclosed proxy card, date and sign it, and return it in the postage paid envelope provided. The envelope requires no additional postage if mailed in the United States. If you intend to submit your proxy by mail, your completed proxy card must be received prior to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casting your vote in any of the three ways listed above, you are authorizing the individuals listed on the proxy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b/>
          <w:sz w:val="20"/>
        </w:rPr>
        <w:t xml:space="preserve">If your shares are held in the name of a bank, broker or other nominee, </w:t>
      </w:r>
      <w:r>
        <w:rPr>
          <w:rFonts w:ascii="Times New Roman" w:hAnsi="Times New Roman"/>
          <w:sz w:val="20"/>
        </w:rPr>
        <w:t xml:space="preserve">you will receive instructions from the holder of record that you must follow for your shares to be voted. Please follow the instructions from the holder of record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76201_29"/>
      <w:bookmarkEnd w:id="32"/>
      <w:r>
        <w:rPr>
          <w:rFonts w:ascii="Times New Roman" w:hAnsi="Times New Roman"/>
          <w:b/>
          <w:sz w:val="20"/>
        </w:rPr>
        <w:t xml:space="preserve">How to Change Your Vote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DXL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DXL stockholder of record voting by proxy, other than those DXL stockholders who have executed a voting agreement and irrevocable proxy, has the right to revoke the proxy at any time before the polls close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of DXL has instructed a broker to vote its shares of DXL common stock that are held in “street name,” the stockholder must follow directions received from its broker to change those instructions. </w:t>
      </w:r>
    </w:p>
    <w:p>
      <w:pPr>
        <w:pStyle w:val="TextBody"/>
        <w:bidi w:val="0"/>
        <w:spacing w:before="360" w:after="0"/>
        <w:jc w:val="left"/>
        <w:rPr>
          <w:rFonts w:ascii="Times New Roman" w:hAnsi="Times New Roman"/>
          <w:b/>
          <w:sz w:val="20"/>
        </w:rPr>
      </w:pPr>
      <w:bookmarkStart w:id="33" w:name="tx76201_30"/>
      <w:bookmarkEnd w:id="33"/>
      <w:r>
        <w:rPr>
          <w:rFonts w:ascii="Times New Roman" w:hAnsi="Times New Roman"/>
          <w:b/>
          <w:sz w:val="20"/>
        </w:rPr>
        <w:t xml:space="preserve">Proxies; Counting Your Vote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constitute a quorum at the special meeting. Abstentions and broker non-votes will be included in determining the number of shares present and entitled to vote at the meeting for the purpose of determining the presence of a quorum. Stockholders shall have one vote for each share of stock entitled to vote owned by them as of the record date. Assuming the presence of a quorum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issuance proposal requires the affirmative vote of a majority of the votes cast by DXL stockholders.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reverse stock split proposal requires the affirmative vote of a majority of the votes cast by DXL stockholders.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2016 plan proposal requires the affirmative vote of a majority of the votes cast by DXL stockholders.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DXL stockholders.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360" w:after="0"/>
        <w:jc w:val="left"/>
        <w:rPr>
          <w:rFonts w:ascii="Times New Roman" w:hAnsi="Times New Roman"/>
          <w:b/>
          <w:sz w:val="20"/>
        </w:rPr>
      </w:pPr>
      <w:bookmarkStart w:id="34" w:name="tx76201_31"/>
      <w:bookmarkEnd w:id="3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76201_32"/>
      <w:bookmarkEnd w:id="35"/>
      <w:r>
        <w:rPr>
          <w:rFonts w:ascii="Times New Roman" w:hAnsi="Times New Roman"/>
          <w:b/>
          <w:sz w:val="20"/>
        </w:rPr>
        <w:t xml:space="preserve">Voting by DXL’s Directors and Certain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As of the record date, such stockholders collectively beneficially owned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DXL’s outstanding common stock, including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which were beneficially owned by PLP.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240" w:after="0"/>
        <w:jc w:val="left"/>
        <w:rPr>
          <w:rFonts w:ascii="Times New Roman" w:hAnsi="Times New Roman"/>
          <w:sz w:val="20"/>
        </w:rPr>
      </w:pPr>
      <w:r>
        <w:rPr>
          <w:rFonts w:ascii="Times New Roman" w:hAnsi="Times New Roman"/>
          <w:sz w:val="20"/>
        </w:rPr>
        <w:t>Certain of the voting agreements also grant FBB designees an irrevocable proxy and power of attorney, exercisable in specified circumstances if a stockholder party fails to vote in accordance with the applicable voting agreement, to vote the covered shares in accordance with its terms. 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6" w:name="tx76201_33"/>
      <w:bookmarkEnd w:id="36"/>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DXL and FBB will equally share the cost of the printing and filing of this proxy statement and the fees paid to a financial printer or the SEC. DXL will pay any other fees and expenses incurred by it. DXL and FBB may use the services of its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76201_34"/>
      <w:bookmarkEnd w:id="37"/>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DXL urges you to carefully read the merger agreement in its entirety as it is the legal document governing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DXL and the merger subsidiary, on the one hand, and FBB,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DXL and FBB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DXL, FBB or the merger subsidiary, because they were made as of specific dates, may be intended merely as a risk allocation mechanism between DXL and the merger subsidiary, on the one hand, and FBB, on the other hand, and are modified by the disclosure schedules. </w:t>
      </w:r>
    </w:p>
    <w:p>
      <w:pPr>
        <w:pStyle w:val="TextBody"/>
        <w:bidi w:val="0"/>
        <w:spacing w:before="360" w:after="0"/>
        <w:jc w:val="left"/>
        <w:rPr>
          <w:rFonts w:ascii="Times New Roman" w:hAnsi="Times New Roman"/>
          <w:b/>
          <w:sz w:val="20"/>
        </w:rPr>
      </w:pPr>
      <w:bookmarkStart w:id="38" w:name="tx76201_35"/>
      <w:bookmarkEnd w:id="38"/>
      <w:r>
        <w:rPr>
          <w:rFonts w:ascii="Times New Roman" w:hAnsi="Times New Roman"/>
          <w:b/>
          <w:sz w:val="20"/>
        </w:rPr>
        <w:t xml:space="preserve">Structure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merger agreement, and in accordance with Delaware law, at the effective time of the merger, the merger subsidiary, a wholly owned direct subsidiary of DXL, would merge with and into FBB, with FBB continuing as the surviving corporation in the merger and a wholly owned subsidiary of DXL. </w:t>
      </w:r>
    </w:p>
    <w:p>
      <w:pPr>
        <w:pStyle w:val="TextBody"/>
        <w:bidi w:val="0"/>
        <w:spacing w:before="360" w:after="0"/>
        <w:jc w:val="left"/>
        <w:rPr>
          <w:rFonts w:ascii="Times New Roman" w:hAnsi="Times New Roman"/>
          <w:b/>
          <w:sz w:val="20"/>
        </w:rPr>
      </w:pPr>
      <w:bookmarkStart w:id="39" w:name="tx76201_36"/>
      <w:bookmarkEnd w:id="39"/>
      <w:r>
        <w:rPr>
          <w:rFonts w:ascii="Times New Roman" w:hAnsi="Times New Roman"/>
          <w:b/>
          <w:sz w:val="20"/>
        </w:rPr>
        <w:t xml:space="preserve">Effects of the Merger; Certificate of Incorporation; By-Laws </w:t>
      </w:r>
    </w:p>
    <w:p>
      <w:pPr>
        <w:pStyle w:val="TextBody"/>
        <w:bidi w:val="0"/>
        <w:spacing w:before="120" w:after="0"/>
        <w:jc w:val="left"/>
        <w:rPr>
          <w:rFonts w:ascii="Times New Roman" w:hAnsi="Times New Roman"/>
          <w:sz w:val="20"/>
        </w:rPr>
      </w:pPr>
      <w:r>
        <w:rPr>
          <w:rFonts w:ascii="Times New Roman" w:hAnsi="Times New Roman"/>
          <w:sz w:val="20"/>
        </w:rPr>
        <w:t xml:space="preserve">The merger would have the effects set forth in the merger agreement and as specified in the applicable provisions of Delaware law. From and after the effective time of the merger, all property, rights, privileges, immunities, powers, franchises, licenses and authority of FBB and the merger subsidiary would vest in FBB as the surviving corporation, and all debts, liabilities, obligations, restrictions and duties of FBB and the merger subsidiary would become the debts, liabilities, obligations, restrictions and duties of FBB as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of the merger, the certificate of incorporation of FBB would be amended and restated in its entirety and would be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bylaws of the surviving corporation would be amended and restated to conform to the bylaws of merger subsidiary that is in effect immediately prior to the effective time of the merger, which would conform with the rights and responsibilities of the surviving corporation under the merger agreement, including those rights and responsibilities related to director and officer indemnification and insurance. </w:t>
      </w:r>
    </w:p>
    <w:p>
      <w:pPr>
        <w:pStyle w:val="TextBody"/>
        <w:bidi w:val="0"/>
        <w:spacing w:before="360" w:after="0"/>
        <w:jc w:val="left"/>
        <w:rPr>
          <w:rFonts w:ascii="Times New Roman" w:hAnsi="Times New Roman"/>
          <w:b/>
          <w:sz w:val="20"/>
        </w:rPr>
      </w:pPr>
      <w:bookmarkStart w:id="40" w:name="tx76201_37"/>
      <w:bookmarkEnd w:id="40"/>
      <w:r>
        <w:rPr>
          <w:rFonts w:ascii="Times New Roman" w:hAnsi="Times New Roman"/>
          <w:b/>
          <w:sz w:val="20"/>
        </w:rPr>
        <w:t xml:space="preserve">Directors and Executive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the board of directors of the combined company would be composed of nine members, with four such members designated by DXL, four such members designated by FBB, and one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mutually agreed to by both DXL and FBB. Jim Fogarty would serve as the chief executive officer and Peter H. Stratton, Jr. would serve as the chief financial officer of the combined company. The other officers of DXL at the effective time would be those mutually agreed by DXL and FBB through a process overseen by Mr. Fogarty in consultation with the directors designated by each of DXL and FBB for the combined company. The directors and officers of the combined company would hold office in accordance with the restated certificate of incorporation, as amended, of the combined company until their earlier resignation or removal or until their respective successors are duly elected or appointed and qualified. </w:t>
      </w:r>
    </w:p>
    <w:p>
      <w:pPr>
        <w:pStyle w:val="TextBody"/>
        <w:bidi w:val="0"/>
        <w:spacing w:before="360" w:after="0"/>
        <w:jc w:val="left"/>
        <w:rPr>
          <w:rFonts w:ascii="Times New Roman" w:hAnsi="Times New Roman"/>
          <w:b/>
          <w:sz w:val="20"/>
        </w:rPr>
      </w:pPr>
      <w:bookmarkStart w:id="41" w:name="tx76201_38"/>
      <w:bookmarkEnd w:id="41"/>
      <w:r>
        <w:rPr>
          <w:rFonts w:ascii="Times New Roman" w:hAnsi="Times New Roman"/>
          <w:b/>
          <w:sz w:val="20"/>
        </w:rPr>
        <w:t xml:space="preserve">Closing of the Merger; Effective Time </w:t>
      </w:r>
    </w:p>
    <w:p>
      <w:pPr>
        <w:pStyle w:val="TextBody"/>
        <w:bidi w:val="0"/>
        <w:spacing w:before="0" w:after="0"/>
        <w:jc w:val="left"/>
        <w:rPr>
          <w:rFonts w:ascii="Times New Roman" w:hAnsi="Times New Roman"/>
          <w:sz w:val="20"/>
        </w:rPr>
      </w:pPr>
      <w:r>
        <w:rPr>
          <w:rFonts w:ascii="Times New Roman" w:hAnsi="Times New Roman"/>
          <w:sz w:val="20"/>
        </w:rPr>
        <w:t xml:space="preserve">Unless earlier terminated in accordance with the terms of the merger agreement, the closing of the merger would take place on the third (3rd) business day following the satisfaction or (to the extent permitted by law) waiver of all of the closing conditions set forth in the merger agreement (other than those conditions that by their nature are to be satisfied at the closing of the merger, but subject to the satisfaction or waiver of those conditions), or at such other place, time and date agreed to in writing by DXL and FBB,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would become effective upon the filing of a certificate of merger with the Secretary of State of the State of Delaware, or such later date and time as may be specified in the certificate of merger in accordance with Delaware law. </w:t>
      </w:r>
    </w:p>
    <w:p>
      <w:pPr>
        <w:pStyle w:val="TextBody"/>
        <w:bidi w:val="0"/>
        <w:spacing w:before="360" w:after="0"/>
        <w:jc w:val="left"/>
        <w:rPr>
          <w:rFonts w:ascii="Times New Roman" w:hAnsi="Times New Roman"/>
          <w:b/>
          <w:sz w:val="20"/>
        </w:rPr>
      </w:pPr>
      <w:bookmarkStart w:id="42" w:name="tx76201_39"/>
      <w:bookmarkEnd w:id="42"/>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FBB, DXL or merger subsidiary immediately prior to the effective time of the merger. At the effective time of the merger, all Excluded Shares would be cancelled and cease to exist, and no consideration would be delivered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At the effective time of the merger,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the cash consideration for the Unaccredited Investor Shares, without any interest thereon.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x76201_40"/>
      <w:bookmarkEnd w:id="43"/>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sz w:val="20"/>
        </w:rPr>
      </w:pPr>
      <w:bookmarkStart w:id="44" w:name="tx76201_41"/>
      <w:bookmarkEnd w:id="44"/>
      <w:r>
        <w:rPr>
          <w:rFonts w:ascii="Times New Roman" w:hAnsi="Times New Roman"/>
          <w:b/>
          <w:sz w:val="20"/>
        </w:rPr>
        <w:t xml:space="preserve">Treatment of Unaccredited Investor Shares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FBB common stock held immediately prior to the effective time by an FBB stockholder that is an unaccredited investor would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sz w:val="20"/>
        </w:rPr>
      </w:pPr>
      <w:bookmarkStart w:id="45" w:name="tx76201_42"/>
      <w:bookmarkEnd w:id="45"/>
      <w:r>
        <w:rPr>
          <w:rFonts w:ascii="Times New Roman" w:hAnsi="Times New Roman"/>
          <w:b/>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sz w:val="20"/>
        </w:rPr>
      </w:pPr>
      <w:bookmarkStart w:id="46" w:name="tx76201_43"/>
      <w:bookmarkEnd w:id="46"/>
      <w:r>
        <w:rPr>
          <w:rFonts w:ascii="Times New Roman" w:hAnsi="Times New Roman"/>
          <w:b/>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outstanding under the LTIP at the effective time of the merger (a) would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respective performance targets under either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sz w:val="20"/>
        </w:rPr>
      </w:pPr>
      <w:bookmarkStart w:id="47" w:name="tx76201_44"/>
      <w:bookmarkEnd w:id="47"/>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the effective time of the merger, DXL would cause the exchange agent to mail to each holder of record of FBB common stock entitled to receive the merger consideration a letter of transmittal which would include instructions for effecting the surrender of certificates or book-entry shares representing FBB common stock in exchange for the merger consideration. Upon proper surrender, the holder of the certificate or book-entry share would be entitled to receive either (i) the cash consideration for the Unaccredited Investor Shares or (ii) a physical certificate or uncertificated book entry representing the number of whole DXL common stock that such holder has the right to receive, together with a check representing any dividends or distributions that the holder has the right to receive, and the surrendered certificate or book-entry share would be immediately cancelled. No interest would be paid or would accrue on any cash payable upon surrender of any certificate or book entry-share.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merger consideration issued or paid upon surrender of such certificates or book-entry shares would be deemed to have been issued or paid in full satisfaction of all rights pertaining to the shares of FBB common stock. From and after the effective time of the merger, all holder of FBB common stock would cease to have any rights as stockholders of FBB, other than the right to receive the merger consideration and any dividends or other distributions that holders have the right to receive upon surrender of such certificates of book-entry shares (without interest) and the share registry of FBB would be closed with respect to all FBB common stock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From and after the effective time of the merger, there would be no further registration of transfers on the share registry of the surviving corporation of FBB common stock that were outstanding immediately prior to the effective time of the merger and FBB common stock outstanding immediately prior to the effective time of the merger would, from and after the effective time of the merger, be deemed to evidence only the right to receive the allocable merger consideration in accordance with the terms of the merger agreement. If, after the effective time of the merger, any certificates or book entry-shares formerly representing FBB common stock are presented to DXL, the surviving corporation or the exchange agent for any reason, such certificates or book entry-shares would be canceled and exchanged, as provided in the merger agreement.</w:t>
      </w:r>
    </w:p>
    <w:p>
      <w:pPr>
        <w:pStyle w:val="TextBody"/>
        <w:bidi w:val="0"/>
        <w:spacing w:before="240" w:after="0"/>
        <w:jc w:val="left"/>
        <w:rPr>
          <w:rFonts w:ascii="Times New Roman" w:hAnsi="Times New Roman"/>
          <w:sz w:val="20"/>
        </w:rPr>
      </w:pPr>
      <w:r>
        <w:rPr>
          <w:rFonts w:ascii="Times New Roman" w:hAnsi="Times New Roman"/>
          <w:sz w:val="20"/>
        </w:rPr>
        <w:t xml:space="preserve">None of DXL, merger subsidiary, FBB or the exchange agent would be liable to any person for any portion of the exchange fund or the merger consideration delivered to a public official pursuant to any applicable abandoned property, escheat or similar law. Each of DXL, the exchange agent, or anyone on their behalf would be entitled to deduct and withhold from any consideration otherwise payable or deliverable to any person pursuant to the merger agreement such amounts as may be required to be deducted and withheld with respect to the making of such payment under any applicable tax law. </w:t>
      </w:r>
    </w:p>
    <w:p>
      <w:pPr>
        <w:pStyle w:val="TextBody"/>
        <w:bidi w:val="0"/>
        <w:spacing w:before="360" w:after="0"/>
        <w:jc w:val="left"/>
        <w:rPr>
          <w:rFonts w:ascii="Times New Roman" w:hAnsi="Times New Roman"/>
          <w:b/>
          <w:sz w:val="20"/>
        </w:rPr>
      </w:pPr>
      <w:bookmarkStart w:id="48" w:name="tx76201_45"/>
      <w:bookmarkEnd w:id="48"/>
      <w:r>
        <w:rPr>
          <w:rFonts w:ascii="Times New Roman" w:hAnsi="Times New Roman"/>
          <w:b/>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DXL would deposit the DXL common stock (in certificated or book-entry form) with the exchange agent in the exchange fund, for the benefit of holders of FBB common stock certificates or book-entry shares, to be delivered as merger consideration. Any portion of the exchange fund that remains unclaimed or undistributed by the date that is twelve (12) months after the effective time of the merger would be delivered to DXL, upon demand. Any holder of FBB common stock certificates or book-entry shares would thereafter only look to DXL for satisfaction of its claim for the merger consideration and any cash in respect of dividends or distributions that the holder has the right to receive. </w:t>
      </w:r>
    </w:p>
    <w:p>
      <w:pPr>
        <w:pStyle w:val="TextBody"/>
        <w:bidi w:val="0"/>
        <w:spacing w:before="360" w:after="0"/>
        <w:jc w:val="left"/>
        <w:rPr>
          <w:rFonts w:ascii="Times New Roman" w:hAnsi="Times New Roman"/>
          <w:b/>
          <w:sz w:val="20"/>
        </w:rPr>
      </w:pPr>
      <w:bookmarkStart w:id="49" w:name="tx76201_46"/>
      <w:bookmarkEnd w:id="49"/>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representing FBB common stock have been lost, stolen or destroyed, upon making an affidavit by the person claiming such certificate to be lost, stolen or destroyed and, if reasonably required by the exchange agent, the posting of a bond (as indemnity against any claim that may be made against it with respect to such certificate), the exchange agent would deliver, in exchange for such lost, stolen or destroyed certificate, the merger consideration and any cash in respect of any dividends or distributions that the holder has the right to receive. </w:t>
      </w:r>
    </w:p>
    <w:p>
      <w:pPr>
        <w:pStyle w:val="TextBody"/>
        <w:bidi w:val="0"/>
        <w:spacing w:before="360" w:after="0"/>
        <w:jc w:val="left"/>
        <w:rPr>
          <w:rFonts w:ascii="Times New Roman" w:hAnsi="Times New Roman"/>
          <w:b/>
          <w:sz w:val="20"/>
        </w:rPr>
      </w:pPr>
      <w:bookmarkStart w:id="50" w:name="tx76201_47"/>
      <w:bookmarkEnd w:id="5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and substantially reciprocal representations and warranties of DXL and the merger subsidiary, on the one hand, and FBB, on the other, that are subject, in some cases, to specified exceptions and qualifications contained in confidential disclosure schedules and, in the case of the representations and warranties of DXL, are also qualified, in some cases, by certain reports, registrations, schedules, forms, statements and other documents filed by DXL before December 9, 2025 (excluding forward-looking disclosures contained in the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sections of such reports, and any other statements or disclosures that are similarly predictive or forward looking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reciprocal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and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representations or warranties;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and the merger subsidiary made additional representations and warranties to FBB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fairness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made additional representations and warranties to DXL and the merger subsidiary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pre-closing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would survive the effective time of the merger. </w:t>
      </w:r>
    </w:p>
    <w:p>
      <w:pPr>
        <w:pStyle w:val="TextBody"/>
        <w:bidi w:val="0"/>
        <w:spacing w:before="360" w:after="0"/>
        <w:jc w:val="left"/>
        <w:rPr>
          <w:rFonts w:ascii="Times New Roman" w:hAnsi="Times New Roman"/>
          <w:b/>
          <w:sz w:val="20"/>
        </w:rPr>
      </w:pPr>
      <w:bookmarkStart w:id="51" w:name="tx76201_48"/>
      <w:bookmarkEnd w:id="5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each of DXL and FBB agreed that, except (i) as required by law, (ii) as expressly contemplated or permitted by the merger agreement, (iii) as set forth in the confidential disclosure schedules, (iv) certain necessary corporate actions of FBB required under the merger agreement, or (v) as consented to in writing by the other party (such consent not to be unreasonably withheld, conditioned or delayed), that during the period from after the date of the merger agreement to the effective time of the merger or the earlier termination of the merger agreement, it will, and will cause each of their respective subsidiaries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solely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available the services of current officers and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preserve intact its business organization and advantageous business relationships.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agreed that, except (i) as required by law, (ii) as expressly contemplated by the merger agreement, (iii) as set forth in its confidential disclosure schedule, or (iv) consented to in writing by the other party (such consent not to be unreasonably withheld, conditioned or delayed), it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indebtedness in excess of $250,000 in the aggregate, or make any loan or advance to any person (other than advances of expenses to employees in the ordinary course of business) or enter into any swap or hedging transaction, subject to certain exceptions in the case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declare or pay any dividend, or make any other distribution (including interest) on, or directly or indirectly redeem, purchase or otherwise acquire, any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combine, split, subdivide or issue, deliver, sell, grant, pledge (other than equity interests that are required to be pledged in accordance with any existing loan document) or otherwise encumber or subject to any lien (i) any of its (or its subsidiaries’) equity interests or any of its voting debt or (ii) any rights that are linked in any way to the price of any share capital of, or to the value of or of any part of, or to any dividends or distributions paid on any share capital of, its (or its subsidiaries’)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benefit plan or contract that are in effect on the date of the merger agreement (i) materially increase the compensation or benefits of any of its directors, officers or employees, other than increases to current employees and officers (x) in connection with a promotion or change in responsibilities, (y) in the ordinary course of business consistent with past practice or (z) the payment of incentive compensation for completed performance periods, (ii) engage any independent contractor that is a natural person, subject to certain exceptions, (iii) enter into, establish, adopt, amend or terminate any benefit plan other than as required by applicable law or pursuant to the terms of such benefit plan as in effect on the date of the merger agreement, subject to certain exceptions, (iv) accelerate the time of payment or vesting of, or the lapsing of restrictions with respect to, or fund or otherwise secure the payment of, any compensation or benefits under any benefit plan, (v) terminate the employment or services of any restricted employee, other than for cause, (vi) hire or promote any individual who would be a restricted employee, other than as a replacement hire receiving substantially similar terms of employment as the departed employee, (vii) change any actuarial or other assumptions used to calculate funding obligations with respect to any benefit plan or change the manner in which contributions to such plans are made or the basis on which such contributions are determined, except as may be required by GAAP, (viii) pay, grant or award any equity awards or other incentive awards, or (ix) loan or advance any money or other property to any current or former employee or other service provider (other than advances for reimbursable employee expenses in the ordinary course of business and in accordance with its expense reimbursement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(i) a “plant closing” (as defined in WARN or any similar applicable law) affecting any site of employment of one or more facilities or operating units within any site of employment or facility, or (ii) a “mass layoff” or collective dismissal (as defined in WARN, or any similar applicable law) affecting any site of employment or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transfer, mortgage, encumber or otherwise dispose of any of its tangible properties or assets in any transaction or series of transactions to any person other than in the ordinary course of business consistent with past practice, or (ii) cancel, release or assign to any such person any material indebtedness or any material claim,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pledge, license, convey, subject to any lien (other than permitted liens) or otherwise dispose of any intellectual property rights, other than non-exclusive licenses granted to its (or its subsidiaries’) contractor or service provider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amend any of its (or its subsidiaries’) data privacy or information security policies or practices,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claim, action or proceeding requiring payment of an amount in excess of $100,000 individually or $250,000 in the aggregate, or would obligate it or its subsidiary to admit any wrongdoing, to grant any material rights, to take any material action or impose any material restrictions or material liabilities on the business, or would not provide a full release from any and all liability arising in connection with any such claim,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forth in the capex budget, make any capital expenditures in excess of $1,000,000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the charter, except as contemplated by the merger agreement, or (ii) in the case of DXL, otherwise take any action to exempt any person (other than FBB), or any action taken by any such person, from any takeover statute or similarly restrictive provisions of its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implement or adopt any material change in its tax accounting or financial accounting policies, practices or methods, other than as may be required by applicable law or GAAP or regulatory guidelines or to consummate the transactions contemplated by the merger agreement or (ii) make, change or revoke any material tax election, except,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keep or cause to be kept its material existing insurance policies (or substantial equivalents) in such amounts substantially as in force as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commit, resolve or propose to take any of the actions prohibited by any of the foregoing. </w:t>
            </w:r>
          </w:p>
        </w:tc>
      </w:tr>
    </w:tbl>
    <w:p>
      <w:pPr>
        <w:pStyle w:val="TextBody"/>
        <w:bidi w:val="0"/>
        <w:spacing w:before="360" w:after="0"/>
        <w:jc w:val="left"/>
        <w:rPr>
          <w:rFonts w:ascii="Times New Roman" w:hAnsi="Times New Roman"/>
          <w:b/>
          <w:sz w:val="20"/>
        </w:rPr>
      </w:pPr>
      <w:bookmarkStart w:id="52" w:name="tx76201_49"/>
      <w:bookmarkEnd w:id="52"/>
      <w:r>
        <w:rPr>
          <w:rFonts w:ascii="Times New Roman" w:hAnsi="Times New Roman"/>
          <w:b/>
          <w:sz w:val="20"/>
        </w:rPr>
        <w:t xml:space="preserve">Required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requires the affirmative vote of a majority of the votes cast by DXL stockholders at the special meeting. Approval of the issuance proposal is a condition to the completion of the merger. Although approval of the reverse stock split proposal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360" w:after="0"/>
        <w:jc w:val="left"/>
        <w:rPr>
          <w:rFonts w:ascii="Times New Roman" w:hAnsi="Times New Roman"/>
          <w:b/>
          <w:sz w:val="20"/>
        </w:rPr>
      </w:pPr>
      <w:bookmarkStart w:id="53" w:name="tx76201_50"/>
      <w:bookmarkEnd w:id="53"/>
      <w:r>
        <w:rPr>
          <w:rFonts w:ascii="Times New Roman" w:hAnsi="Times New Roman"/>
          <w:b/>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The merger agreement contains a representation by DXL that the DXL Board has determined to recommend, upon the terms and subject to the conditions set forth in the merger agreement, that DXL stockholders provide the required DXL stockholder vote. The merger agreement further provides that, subject to certain procedures set forth in the merger agreement and described below, neither the DXL Board nor any committee thereof will withhold, withdraw, amend, modify, change or propose or resolve to withhold, withdraw, amend, modify or change, in each case in a manner materially adverse to FBB or which would prevent or delay consummation of the merger, the recommendation of the DXL Board that DXL stockholders provide the required DXL stockholder vote. Please see the section entitled “—</w:t>
      </w:r>
      <w:r>
        <w:rPr>
          <w:rFonts w:ascii="Times New Roman" w:hAnsi="Times New Roman"/>
          <w:i/>
          <w:sz w:val="20"/>
        </w:rPr>
        <w:t>Non-Solicitation of Acquisition Proposals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However,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54" w:name="tx76201_51"/>
      <w:bookmarkEnd w:id="54"/>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an FBB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has agreed that it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FBB has agreed to promptly (but in any event within forty-eight (48) hours) (i) notify DXL in writing in the event that FBB or any of its subsidiaries or representatives receives an FBB Takeover Proposal and (ii) provide to DXL (x) an unredacted copy of any FBB Takeover Proposal made in writing and unredacted copies of all other material written materials exchanged between FBB (or any of its subsidiaries or representatives) and such person (or any of its affiliates or its or their representatives) or otherwise received by FBB (or any of its subsidiaries or representatives or any stockholder of FBB) and (y) a written summary of all material terms and conditions of any such FBB Takeover Proposal if not made in writing. From and after such notification, FBB has agreed to keep DXL informed on a prompt basis (and in any event within forty-eight (48) hours) of any material developments with respect to any such FBB Takeover Proposal or any material substantive discussions or negotiations. FBB has agreed to not, and will cause its subsidiaries not to, enter into any confidentiality or similar agreement with any person that prohibits FBB from providing to DXL any of the information required to be provided to DXL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“FBB Takeover Proposal” means, in each case other than an Excluded Transaction (as described below),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(ii) direct or indirect acquisition or sale of outstanding or newly issued FBB common stock or other securities of FBB representing (after giving effect to such acquisition) 20% or more of the outstanding FBB common stock or of the outstanding voting power of FBB, or any other direct or indirect acquisition of 20% or more of the outstanding voting power of FBB, (iii) tender offer or exchange offer that if consummated would result, directly or indirectly, in any person or group (or the stockholders of any person or group) beneficially owning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“Excluded Transaction” means any direct or indirect acquisition or sale of outstanding or newly issued FBB common stock by FBB, including pursuant to the pre-closing investment.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 DXL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which is referred to as a “DXL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to promptly (but in any event within forty-eight (48) hours) (i) notify FBB in writing in the event that DXL or any of its subsidiaries or representatives receives a DXL Takeover Proposal and (ii) provide to FBB (x) an unredacted copy of any DXL Takeover Proposal made in writing and unredacted copies of all other material written materials exchanged between DXL (or any of its subsidiaries or representatives) and such person (or any of its affiliates or its or their representatives) or otherwise received by DXL (or any of its subsidiaries or representatives or any stockholder of DXL) and (y) a written summary of all material terms and conditions of any such DXL Takeover Proposal if not made in writing. From and after such notification, DXL has agreed to keep FBB informed on a prompt basis (and in any event within forty-eight (48) hours) of any material developments with respect to any such DXL Takeover Proposal or any material substantive discussions or negotiations. DXL has agreed to not, and will cause its subsidiaries not to, enter into any confidentiality or similar agreement with any person that prohibits DXL from providing to FBB any of the information required to be provided to FBB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a “DXL Takeover Proposal”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(ii) direct or indirect acquisition or sale of outstanding or newly issued DXL common stock or other securities of DXL representing (after giving effect to such acquisition) 20% or more of the outstanding DXL common stock or of the outstanding voting power of DXL, or any other direct or indirect acquisition of 20% or more of the outstanding voting power of DXL, (iii) tender offer or exchange offer that if consummated would result, directly or indirectly, in any Person or group (or the stockholders of any person or group) beneficially owning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if at any time before obtaining the required DXL stockholder vote, the DXL stockholders, DXL or any of its subsidiaries or representatives receives a bona fide written DXL Takeover Proposal and the DXL Board determines in good faith (after consultation with its financial advisor and outside counsel) that such DXL Takeover Proposal constitutes or would reasonably likely lead to a DXL Superior Proposal (as described below) and the failure to take the actions in (x) or (y) below would reasonably be expected to violate the fiduciary duties of DXL’s directors under applicable law, then DXL, its subsidiaries and its representatives may, following written notice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enter into an acceptable confidentiality agreement with the person or group making the DXL Takeover Proposal and thereafter furnish information to the person or group making such DXL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Proposal; provided, that DXL agrees to promptly (but in any event within forty-eight (48) hours) provide to FBB any written information that is provided to any person or group which was not previously provided to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 engage in or otherwise participate in discussions or negotiations with the person or group making such DXL Takeover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“DXL Superior Proposal” means any bona fide written DXL Takeover Proposal made by a third party and which, if consummated, would result in such third party acquiring, directly or indirectly, more than 50% of the voting power of DXL and the issued and outstanding DXL capital stock or more than 50% of the consolidated assets of DXL and its subsidiaries (based on the fair market value), including through the acquisition of one or more DXL subsidiaries owning such assets, for consideration consisting of cash and/or securities that the DXL Board determines in good faith (after consultation with its financial advisor and outside counsel) would be more favorable from a financial point of view to DXL stockholders than the transactions contemplated in the merger agreement, taking into account (i) any changes to the terms of the merger transactions irrevocably and timely proposed by FBB in response to such offer, (ii) all legal, regulatory, financial and other aspects of such proposal and of the merger agreement deemed relevant by the DXL Board in good faith and (iii) the obligation to pay the applicable termination fee to DXL.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DXL has also agreed that the DXL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any of the following (each, individually, a “DXL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or modify in a manner adverse to FBB the recommendation to stockholders of DXL that they give the required DXL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 or approve the approval of, or publicly propose to recommend or approve the approval of, any DXL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recommending against any DXL Takeover Proposal that is a tender offer or exchange offer within ten (10) business days after the commencement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propose publicly to execute or enter into a DXL Acquisition Agreement (other than any acceptable confidentiality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before the required DXL stockholder vote is obtained, the DXL Board may (i) make a DXL Adverse Recommendation Change or (ii) cause DXL to enter into a DXL Acquisition Agreement with respect to a DXL Takeover Proposal, in either case if the DXL Board determines in good faith (after consultation with its financial advisor and outside counsel) that (x) to do otherwise would be reasonably expected to violate the fiduciary duties of DXL’s directors under applicable law, and (y) in the case of clause (i) where the DXL Adverse Recommendation Change is made in response to a DXL Takeover Proposal or in the case of both clauses (i) and (ii), such DXL Takeover Proposal constitutes a DXL Superior Proposal. The DXL Board has agreed to not, and will cause DXL not to, take any action set forth in clause (i) or clause (ii)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provided written notice to FBB advising FBB that the DXL Board intends to take such action and the reasons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such notice of DXL Takeover Proposal, such notice specifies the material terms and conditions of such DXL Takeover Proposal, and includes a copy of the most current version of the agreement or proposal and all material related documentation with respect to such DXL Takeover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for such proposed action will require a new notice and an additional four (4) business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FBB, DXL has negotiated, and has caused its subsidiaries and representatives to negotiate, in good faith with FBB during such five (5) business day period (as may be extended) with respect to any changes to the terms of the merger agreement proposed by FBB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into account any changes to the terms of the merger agreement irrevocably and timely proposed by FBB, the DXL Board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the merger agreement pursuant to this sentence will be void and of no force and effect unless the termination is in accordance with the termination provisions of the merger agreement and DXL pays the applicable termination fee to FBB. </w:t>
            </w:r>
          </w:p>
        </w:tc>
      </w:tr>
    </w:tbl>
    <w:p>
      <w:pPr>
        <w:pStyle w:val="TextBody"/>
        <w:bidi w:val="0"/>
        <w:spacing w:before="360" w:after="0"/>
        <w:jc w:val="left"/>
        <w:rPr>
          <w:rFonts w:ascii="Times New Roman" w:hAnsi="Times New Roman"/>
          <w:b/>
          <w:sz w:val="20"/>
        </w:rPr>
      </w:pPr>
      <w:bookmarkStart w:id="55" w:name="tx76201_52"/>
      <w:bookmarkEnd w:id="55"/>
      <w:r>
        <w:rPr>
          <w:rFonts w:ascii="Times New Roman" w:hAnsi="Times New Roman"/>
          <w:b/>
          <w:sz w:val="20"/>
        </w:rPr>
        <w:t xml:space="preserve">Employee Benefits Matters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time of the merger and thereafter during the periods specified below, unless otherwise mutually determined by FBB and DXL, DXL would provide, or would cause the DXL subsidiaries (including, without limitation, the surviving corporation) to provide to each DXL employee and each FBB employee who at the effective time of the merger are an employee of DXL or the DXL subsidiaries (including, without limitation, the surviving corporation) (each, a “continuing employee”) with the following compensation and benefits: (i) for the period commencing at the effective time of the merger and ending on the one-year anniversary of the closing date of the merger, (A) a base salary or base wage rate that is no less favorable than the base salary or base wage rate provided to such continuing employee immediately prior to the effective time of the merger, and (B) annual cash or other short-term incentive compensation opportunities that are no less favorable than the annual cash or other short-term incentive compensation opportunities provided to such continuing employee immediately prior to the effective time of the merger and (ii) for the period commencing on the effective time of the merger until the surviving corporation in the merger and DXL adopt the new benefit plans,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of the merger; provided that DXL may satisfy these obligations for a transitional period through the end of the year in which the closing of the merger occurs by providing (x) for continuing employees who were FBB employees immediately prior to the closing, employee benefits under the FBB benefit plans in effect as of the closing; and (y) for continuing employees who were DXL employees immediately prior to the closing, employee benefits under the DXL benefit plans in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FBB and DXL agree to cooperate in reviewing, evaluating and analyzing the DXL benefit plans and FBB benefit plans with a view towards developing appropriate new benefit plans with respect to continuing employees, which would, to the extent permitted by applicable law, and among other things, (A) treat similarly situated employees on a substantially equivalent basis, taking into account all relevant factors, and (B) not discriminate between employees who were covered by DXL benefit plans, on the one hand, and those covered by FBB benefit plans,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As of the closing date of the merger, DXL and DXL subsidiaries (including, without limitation, the surviving corporation) agree to recognize all service of each continuing employee prior to the closing date of the merger to the same extent such service was recognized by DXL and FBB, respectively, for purposes of eligibility, participation, vesting and level of benefits (other than benefit accrued under any defined benefit plan or vesting under any equity or equity-based compensation plan, or to the extent that such recognition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following the effective time, DXL has agreed to waive pre-existing condition exclusions, actively at work requirements and waiting periods under applicable welfare benefit plans and provide appropriate credit for deductibles and out-of-pocket expenses incurred prior to the effective time, in each case, to the extent provided in the merger agreement. </w:t>
      </w:r>
    </w:p>
    <w:p>
      <w:pPr>
        <w:pStyle w:val="TextBody"/>
        <w:bidi w:val="0"/>
        <w:spacing w:before="360" w:after="0"/>
        <w:jc w:val="left"/>
        <w:rPr>
          <w:rFonts w:ascii="Times New Roman" w:hAnsi="Times New Roman"/>
          <w:b/>
          <w:sz w:val="20"/>
        </w:rPr>
      </w:pPr>
      <w:bookmarkStart w:id="56" w:name="tx76201_53"/>
      <w:bookmarkEnd w:id="56"/>
      <w:r>
        <w:rPr>
          <w:rFonts w:ascii="Times New Roman" w:hAnsi="Times New Roman"/>
          <w:b/>
          <w:sz w:val="20"/>
        </w:rPr>
        <w:t xml:space="preserve">Directors’ and Officers’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DXL and the merger subsidiary agree that all rights to indemnification, advancement of expenses and exculpation from liabilities for acts or omissions occurring at or prior to the effective time of the merger in favor of any person who was or becomes prior to the effective time of the merger a current or former director, officer or employee of FBB (including any person who is or was serving at the request of FBB as a current or former officer, director or employee of a subsidiary of FBB) would survive the merger and would continue in full force and effect in accordance with their terms. For a period of six years from the effective time of the merger, the surviving corporation would, and DXL would cause the surviving corporation to, (i) cause the surviving corporation’s charter documents and the charter documents of any subsidiary of FBB to contain indemnification, exculpation and advancement of expenses provisions that are at least as favorable as those provisions contained in the charter documents of FBB and (ii) maintain any indemnification agreements of FBB and its subsidiaries with any such indemnified party existing prior to the date of the merger agreement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or prior to the effective time of the merger, FBB would, with DXL’s prior written consent (not to be unreasonably withheld), purchase a six year “tail” policy with terms, conditions, and coverage that are no less favorable than the terms, conditions and coverage provided to the indemnified parties under FBB’s existing policies as of the date of the merger agreement. The surviving corporation and DXL would cause the tail policy to be maintained in full force and effect, for its full term; provided that, if the tail policy becomes unavailable, DXL would cause the surviving corporation to obtain the greatest coverage available for a cost not exceeding an annual premium equal to the foregoing maximum premium. </w:t>
      </w:r>
    </w:p>
    <w:p>
      <w:pPr>
        <w:pStyle w:val="TextBody"/>
        <w:bidi w:val="0"/>
        <w:spacing w:before="360" w:after="0"/>
        <w:jc w:val="left"/>
        <w:rPr>
          <w:rFonts w:ascii="Times New Roman" w:hAnsi="Times New Roman"/>
          <w:b/>
          <w:sz w:val="20"/>
        </w:rPr>
      </w:pPr>
      <w:bookmarkStart w:id="57" w:name="tx76201_54"/>
      <w:bookmarkEnd w:id="57"/>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closing, FBB agrees to use its reasonable best efforts to take, or cause to be taken, all reasonable actions and do, or cause to be done, all things necessary, proper or advisable to consummate the pre-closing investment contemplated by the commitment and subscription agreements and use its reasonable best efforts to satisfy all conditions and covenants applicable to FBB and comply with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the combined company is expected to have a capital structure that includes (i) FBB’s existing term loan facility, which has been amended and restated pursuant to an executed amended and restated credit agreement that will become effective upon the occurrence of specified conditions at closing (the “A&amp;R Term Loan Facility”), and (ii) a new combined asset-based revolving credit facility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 amendment and restatement governing the A&amp;R Term Loan Facility has been executed and would become effective upon the satisfaction of specified closing conditions, including the consummation of the merger. Upon effectiveness, DXL and certain of its material domestic subsidiaries would become guarantors under the A&amp;R Term Loan Facility, and the obligations thereunder would be secured by substantially all assets of the combined company, including its material U.S. subsidiaries, subject to customary exceptions. The A&amp;R Term Loan Facility would mature in August 22, 2029 and would bear interest at a rate equal to term SOFR (subject to a 1.00% floor and a 0.15% credit spread adjustment) plus 7.50% per annum or, at the borrower’s option, an alternate base rate plus 6.50% per annum. The A&amp;R Term Loan Facility contains customary affirmative and negative covenants, including limitations on indebtedness, liens, restricted payments, investments and asset sales, and would include a financial maintenance covenant requiring compliance with a maximum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would use the proceeds from the transactions contemplated by the commitment and subscription agreements to reduce outstanding indebtedness under the A&amp;R Term Loan Facility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of the merger, DXL and FBB intend to establish the Combined ABL Facility for the surviving company and its subsidiaries, pursuant to the terms of the Bank of America Commitment Letter. The Combined ABL Facility is expected to provide revolving commitments subject to a borrowing base based primarily on eligible inventory and accounts receivable and to contain customary representations, covenants and events of default consistent with comparable asset-based revolving facilities for similarly situated retail companies, including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DXL and FBB has agreed, and has agreed to cause its respective subsidiaries, to use reasonable best efforts to cooperate with the other party in connection with (i) the effectiveness of the A&amp;R Term Loan Facility and (ii) the documentation and closing of the Combined ABL Facility for the surviving company and its subsidiaries on the closing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of DXL and FBB has further agreed, and has agreed to cause its respective subsidiaries, to use reasonable best efforts to (i) furnish the other party and debt financing sources with reasonably requested financial, corporate, organizational, and collateral information in connection with the preparation of the loan facilities, (ii) provide customary certificates, organizational documents, schedules, instruments and other deliverables reasonably requested by lenders, (iii) reasonably participate in customary diligence, (iv) all documentation and information reasonably requested in writing in connection with applicable “know-your-customer” and anti-money laundering rules and regulations, and (v) execute and deliver as of the closing of the merger any guarantee, pledge and security documents, other definitive financing documents, or other certificates or documents reasonably requested by the leading party or the debt financing sources. </w:t>
      </w:r>
    </w:p>
    <w:p>
      <w:pPr>
        <w:pStyle w:val="TextBody"/>
        <w:bidi w:val="0"/>
        <w:spacing w:before="360" w:after="0"/>
        <w:jc w:val="left"/>
        <w:rPr>
          <w:rFonts w:ascii="Times New Roman" w:hAnsi="Times New Roman"/>
          <w:b/>
          <w:sz w:val="20"/>
        </w:rPr>
      </w:pPr>
      <w:bookmarkStart w:id="58" w:name="tx76201_55"/>
      <w:bookmarkEnd w:id="58"/>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rPr>
      </w:pPr>
      <w:bookmarkStart w:id="59" w:name="tx76201_56"/>
      <w:bookmarkEnd w:id="59"/>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obligations to effect the merger is subject to the satisfaction or waiver by each of the parties,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by the holders of (i) a majority of the voting power of the outstanding FBB capital stock, (ii) a majority of the outstanding FBB preferred stock and (iii) a majority of the liquidation preference of all of the shares of FBB preferred stock, to approve and adopt the merger agreement, the merger, the amendment of the FBB charter and the amendment of the certificate of designation of the FBB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of a majority of the votes cast at a meeting of the holders of DXL common stock to approve the issuance of shares of DXL common stock as the merger consideration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common stock to be issued as merger consideration has been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investment has been consummated pursuant to, and in the amounts set forth in, the commitment and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preventing the consummation of the merger or any of the other transactions contemplated by the merger agreement has been in effect and no statute, rule, regulation or injunction has been enacted, entered, promulgated or enforced by any governmental entity that prohibits or makes the consummation of the merger illegal.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DXL’s obligation to effect the merger is subject to the satisfaction, or waiver by DXL,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FBB’s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FBB has delivered to DXL a certificate certifying the satisfaction of the conditions set forth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of the merger, FBB will have (i) amended the FBB charter to increase the total number of authorized shares sufficient to permit the consummation of the pre-closing investment, (ii) amended the certificate of designation of the FBB preferred stock to cause the conversion of all issued and outstanding shares of FBB preferred stock into shares of FBB common stock and (iii) taken all actions necessary to cause the conversion of all issued and outstanding shares of FBB preferred stock into shares of FBB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FBB’s obligation to effect the merger is subject to the satisfaction, or waiver by FBB,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DXL’s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DXL;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DXL has delivered to FBB a certificate certifying the satisfaction of the conditions set forth above. </w:t>
            </w:r>
          </w:p>
        </w:tc>
      </w:tr>
    </w:tbl>
    <w:p>
      <w:pPr>
        <w:pStyle w:val="TextBody"/>
        <w:bidi w:val="0"/>
        <w:spacing w:before="360" w:after="0"/>
        <w:jc w:val="left"/>
        <w:rPr>
          <w:rFonts w:ascii="Times New Roman" w:hAnsi="Times New Roman"/>
          <w:b/>
          <w:sz w:val="20"/>
        </w:rPr>
      </w:pPr>
      <w:bookmarkStart w:id="60" w:name="tx76201_57"/>
      <w:bookmarkEnd w:id="6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of the merger, whether before or after receipt of the FBB stockholder approval or the required DXL stockholder vote, by action taken or authorized by the board of directors of the terminating party or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consent of DXL and FBB in a written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DXL 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governmental entity of competent jurisdiction has issued a final and non-appealable order permanently enjoining or otherwise prohibiting the consummation of the merger or the other transactions contemplated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required DXL stockholder vote has not been obtained at the DXL stockholders meeting or any adjournment or postponement;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FBB stockholder approval has not been obtained within five (5) calendar days of the date of the merger agreement;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on or before October 30, 2026, subject to extension in accordance with the provisions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any of its representations and warranties or failed to perform any of its covenants or agreements such that the conditions to DXL’s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or failed to perform any of its covenants and agreements to consummate the pre-closing investment and take the necessary corporate actions with respect thereto, such that the conditions to DXL’s obligation to consummate the merger would not be satisfied, and such breach has not been cured within the specified cure period or is incapable of being 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connection with accepting a DXL Superior Proposal and entering into a DXL Acquisition Agreement; provided, that DXL concurrently pays FBB the applicable termination fee (as set forth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DXL has breached any of its representations and warranties or failed to perform any of its covenants or agreements such that the conditions to FBB’s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Nasdaq has informed FBB or DXL, whether orally or in writing, that Nasdaq will not list the merger consideration upon consummation of the merger and otherwise at the effective time of the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the event of a DXL Adverse Recommendation Change by the DXL Board or any committee thereof. </w:t>
            </w:r>
          </w:p>
        </w:tc>
      </w:tr>
    </w:tbl>
    <w:p>
      <w:pPr>
        <w:pStyle w:val="TextBody"/>
        <w:bidi w:val="0"/>
        <w:spacing w:before="360" w:after="0"/>
        <w:jc w:val="left"/>
        <w:rPr>
          <w:rFonts w:ascii="Times New Roman" w:hAnsi="Times New Roman"/>
          <w:b/>
          <w:sz w:val="20"/>
        </w:rPr>
      </w:pPr>
      <w:bookmarkStart w:id="61" w:name="tx76201_58"/>
      <w:bookmarkEnd w:id="61"/>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pursuant to accepting a DXL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FBB pursuant to a change in DXL Adverse Recommendation Change by the DXL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DXL Takeover Proposal has been publicly announced and (i) the merger agreement is terminated due to failure to obtain the required DXL stockholder vote, lapse of end date of closing of the merger, or a breach by DXL, and (ii) DXL enters into an agreement to consummate a subsequent transaction in respect of the DXL Takeover Proposal within twelve (12) months after the termination of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pay FBB a termination fee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or FBB pursuant to the failure to obtain the required DXL stockholder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paid the termination fee of $2,500,000 as set forth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reimburse FBB for all reasonable out-of-pocket fees and expenses incurred by FBB in connection with the negotiation of the merger agreement, up to a maximum of $950,000.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the merger agreement is terminated by DXL due to FBB’s breach or failure to consummate the pre-closing investment and take the necessary corporate actions, then FBB will pay DXL a termination fee equal to $2,500,000 and FBB will reimburse DXL for all reasonable out-of-pocket fees and expenses incurred by DXL in connection with the negotiation of the merger agreement, up to a maximum of $950,000. </w:t>
      </w:r>
    </w:p>
    <w:p>
      <w:pPr>
        <w:pStyle w:val="TextBody"/>
        <w:bidi w:val="0"/>
        <w:spacing w:before="360" w:after="0"/>
        <w:jc w:val="left"/>
        <w:rPr>
          <w:rFonts w:ascii="Times New Roman" w:hAnsi="Times New Roman"/>
          <w:b/>
          <w:sz w:val="20"/>
        </w:rPr>
      </w:pPr>
      <w:bookmarkStart w:id="62" w:name="tx76201_59"/>
      <w:bookmarkEnd w:id="62"/>
      <w:r>
        <w:rPr>
          <w:rFonts w:ascii="Times New Roman" w:hAnsi="Times New Roman"/>
          <w:b/>
          <w:sz w:val="20"/>
        </w:rPr>
        <w:t xml:space="preserve">Amendments; Extensions;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the merger agreement may be amended by DXL, merger subsidiary and FBB, by action taken or authorized by their respective boards of directors, at any time before or after the FBB stockholder approval or the required DXL stockholder vote; provided that (i) after the FBB stockholder approval has been obtained, any amendment of the merger agreement that by applicable law requires the further approval by the stockholders of FBB will be effective only with the approval of such stockholders and (ii) after the required DXL stockholder vote has been obtained, any amendment of the merger agreement that by applicable law requires the further approval by the stockholders of DXL will be effective only with the approval of such stockholders. The merger agreement may not be amended except by an instrument in writing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effective time of the merger, DXL (on behalf of itself and the merger subsidiary) and FBB may, to the extent legally allowed, (a) extend the time for the performance of any of the obligations or other acts of DXL or the merger subsidiary, in the case of FBB, or FBB, in the case of DXL, (b) waive any inaccuracies in the representations and warranties of DXL or the merger subsidiary, in the case of FBB, or FBB, in the case of DXL, contained in the merger agreement, and (c) waive compliance by DXL or the merger subsidiary, in the case of FBB, or FBB, in the case of DXL, with any of the agreements or conditions contained in the merger agreement. Any agreement on the part of a party to any such extension or waiver will be valid only if set forth in a written instrument signed by an authorized officer of such party.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pursuant to which the parties agreed to amend the End Date from September 11, 2026 to October 30, 2026. </w:t>
      </w:r>
    </w:p>
    <w:p>
      <w:pPr>
        <w:pStyle w:val="TextBody"/>
        <w:bidi w:val="0"/>
        <w:spacing w:before="360" w:after="0"/>
        <w:jc w:val="left"/>
        <w:rPr>
          <w:rFonts w:ascii="Times New Roman" w:hAnsi="Times New Roman"/>
          <w:b/>
          <w:sz w:val="20"/>
        </w:rPr>
      </w:pPr>
      <w:bookmarkStart w:id="63" w:name="tx76201_60"/>
      <w:bookmarkEnd w:id="63"/>
      <w:r>
        <w:rPr>
          <w:rFonts w:ascii="Times New Roman" w:hAnsi="Times New Roman"/>
          <w:b/>
          <w:sz w:val="20"/>
        </w:rPr>
        <w:t xml:space="preserve">Assignment </w:t>
      </w:r>
    </w:p>
    <w:p>
      <w:pPr>
        <w:pStyle w:val="TextBody"/>
        <w:bidi w:val="0"/>
        <w:spacing w:before="120" w:after="0"/>
        <w:jc w:val="left"/>
        <w:rPr>
          <w:rFonts w:ascii="Times New Roman" w:hAnsi="Times New Roman"/>
          <w:sz w:val="20"/>
        </w:rPr>
      </w:pPr>
      <w:r>
        <w:rPr>
          <w:rFonts w:ascii="Times New Roman" w:hAnsi="Times New Roman"/>
          <w:sz w:val="20"/>
        </w:rPr>
        <w:t xml:space="preserve">Neither the merger agreement, nor any of the rights, interests or obligations under the merger agreement, may be assigned, in whole or in part, by operation of law or otherwise by any of the parties without the prior written consent of the other parties. Any purported assignment without such consent will be void. </w:t>
      </w:r>
    </w:p>
    <w:p>
      <w:pPr>
        <w:pStyle w:val="TextBody"/>
        <w:bidi w:val="0"/>
        <w:spacing w:before="360" w:after="0"/>
        <w:jc w:val="left"/>
        <w:rPr>
          <w:rFonts w:ascii="Times New Roman" w:hAnsi="Times New Roman"/>
          <w:b/>
          <w:sz w:val="20"/>
        </w:rPr>
      </w:pPr>
      <w:bookmarkStart w:id="64" w:name="tx76201_61"/>
      <w:bookmarkEnd w:id="64"/>
      <w:r>
        <w:rPr>
          <w:rFonts w:ascii="Times New Roman" w:hAnsi="Times New Roman"/>
          <w:b/>
          <w:sz w:val="20"/>
        </w:rPr>
        <w:t xml:space="preserve">Entire Agreement;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together with the mutual confidentiality and non-disclosure agreement dated as of February 12, 2024 (as amended), constitutes the entire agreement among the parties with respect to the merger and the other transactions contemplated in the merger agreement, and is not intended to, and does not, confer upon any person any rights or remedies, other than, following the effective time of the merger, (i) the provisions of Article II of the merger agreement relating to the payment of the merger consideration and any dividends or other distributions payable will be enforceable by holders of FBB capital stock at the effective time of the merger as provided in the merger agreement, (ii) the FBB selling stockholders are intended third party beneficiaries of Section 6.02 of the merger agreement governing such selling stockholders’ resale registration rights, and (iii) the indemnified directors and officers are intended third party beneficiaries of Section 6.11(a) of the merger agreement, providing for rights to indemnification, advancement of expenses and exculpation of liabilities to such indemnified parties. </w:t>
      </w:r>
    </w:p>
    <w:p>
      <w:pPr>
        <w:pStyle w:val="TextBody"/>
        <w:bidi w:val="0"/>
        <w:spacing w:before="360" w:after="0"/>
        <w:jc w:val="left"/>
        <w:rPr>
          <w:rFonts w:ascii="Times New Roman" w:hAnsi="Times New Roman"/>
          <w:b/>
          <w:sz w:val="20"/>
        </w:rPr>
      </w:pPr>
      <w:bookmarkStart w:id="65" w:name="tx76201_62"/>
      <w:bookmarkEnd w:id="65"/>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explicitly provided in the merger agreement, all costs and expenses incurred in connection with the merger agreement, the merger and the other transactions contemplated thereby will be paid by the party incurring such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6" w:name="tx76201_63"/>
      <w:bookmarkEnd w:id="66"/>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acknowledge and agree that irreparable damage would occur in the event that any of the provisions of the merger agreement were not performed in accordance with their specific terms or were otherwise breached, and that monetary damages, even if available, would not be an adequate remedy therefor and therefore fully intend for specific performance to be an available remedy for breaches of the merger agreement. It is accordingly agreed that the parties will be entitled to an injunction or injunctions to prevent breaches of the merger agreement and to enforce specifically the performance of terms and provisions of the merger agreement, without proof of actual damages,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w:t>
      </w:r>
    </w:p>
    <w:p>
      <w:pPr>
        <w:pStyle w:val="TextBody"/>
        <w:bidi w:val="0"/>
        <w:spacing w:before="360" w:after="0"/>
        <w:jc w:val="left"/>
        <w:rPr>
          <w:rFonts w:ascii="Times New Roman" w:hAnsi="Times New Roman"/>
          <w:b/>
          <w:sz w:val="20"/>
        </w:rPr>
      </w:pPr>
      <w:bookmarkStart w:id="67" w:name="tx76201_64"/>
      <w:bookmarkEnd w:id="67"/>
      <w:r>
        <w:rPr>
          <w:rFonts w:ascii="Times New Roman" w:hAnsi="Times New Roman"/>
          <w:b/>
          <w:sz w:val="20"/>
        </w:rPr>
        <w:t xml:space="preserve">Governing Law and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the laws of the State of Delaware, without giving effect to any choice of law or conflict of law provision or rule (whether of the State of Delaware or otherwise) that would cause the application of the laws of any other jurisdiction. The parties have agreed that any dispute arising out of or relating to the merger agreement or the transactions contemplated by the merger agreement will be brought and determined exclusively in the Delaware Court of Chancery or, if (and only if) such court finds it lacks jurisdiction, the State or Federal courts of the United States of America sitting in Delaware, and any appellate court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76201_65"/>
      <w:bookmarkEnd w:id="6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69" w:name="tx76201_66"/>
      <w:bookmarkEnd w:id="69"/>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the current directors (including DXL’s interim chief executive officer), DXL’s chief financial officer, the former chief executive officer and former director of DXL, and PLP entered into a voting agreement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cause to be voted), or deliver (or cause to be delivered) a written consent with respect to, all shares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any Adverse Proposal (described below), except as permitted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voting agreements, “Adverse Proposal” means (i) any DXL Takeover Proposal (as described above); (ii) any change in the present capitalization of DXL or any amendment or change to the DXL charter or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in the merger agreement or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DXL’s chief financial officer, and the former chief executive officer and former director of DXL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voting agreement terminates upon the earliest to occur of: (i) the effective time of the merger, (ii) the termination of the merger agreement in accordance with its terms, and (iii) the termination of the voting agreement by mutual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current directors (including DXL’s interim chief executive officer), DXL’s chief financial officer, the former chief executive officer and former director of DXL, and PLP hold, in the aggregate, voting shares representing [●]% of the issued and outstanding shares of DXL common stock as of the record date and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the votes entitled to be cast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updated recommendation of the DXL Board, unless and until they terminate in accordance with their terms. </w:t>
      </w:r>
    </w:p>
    <w:p>
      <w:pPr>
        <w:pStyle w:val="TextBody"/>
        <w:bidi w:val="0"/>
        <w:spacing w:before="360" w:after="0"/>
        <w:jc w:val="left"/>
        <w:rPr>
          <w:rFonts w:ascii="Times New Roman" w:hAnsi="Times New Roman"/>
          <w:b/>
          <w:sz w:val="20"/>
        </w:rPr>
      </w:pPr>
      <w:bookmarkStart w:id="70" w:name="tx76201_67"/>
      <w:bookmarkEnd w:id="7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FBB expected to represent approximately [●]%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rPr>
      </w:pPr>
      <w:bookmarkStart w:id="71" w:name="tx76201_68"/>
      <w:bookmarkEnd w:id="71"/>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below listed private placement investors purchasing private placement shares are expected to beneficially own or be affiliates of holders of more than 5% of the combined company’s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8"/>
        <w:gridCol w:w="620"/>
        <w:gridCol w:w="160"/>
        <w:gridCol w:w="1499"/>
        <w:gridCol w:w="278"/>
      </w:tblGrid>
      <w:tr>
        <w:trPr/>
        <w:tc>
          <w:tcPr>
            <w:tcW w:w="5198"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Private Placement Investor</w:t>
            </w:r>
          </w:p>
        </w:tc>
        <w:tc>
          <w:tcPr>
            <w:tcW w:w="620"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Oaktree Capital Management(1)</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23.33</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Charlesbank Capital Partners(2)</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15.47</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Arbour Lane Capital Management(3)</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7.70</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5.07</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Opps FB Holdings I, L.P., (ii) Opps FB Holdings II, L.P., (iii) Opps FB Holdings III, L.P., (iv) Opps FB Holdings IV, L.P., (v) Opps FB Holdings V, L.P., (vi) Opps FB Holdings VI, LP, (vii) Opps FB Holdings VII, L.P., (viii) Opps FB Holdings VIII, L.P., (ix) VOF FB Holdings I, LLC, (x) VOF FB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Holdings II, LLC, (xi) VOF FB Holdings III, LLC and (xii) VOF FB Holdings IV, LLC. Steven Tesoriere, a member of the combined company’s Board, is a managing director at Oaktree Capital Management. Mr. Tesoriere has voting or dispositive power with respect to shares held by Oaktree Capital Management, including the entities set forth in (i) through (xii).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Hudson Post Credit Opportunities SPV-F, LP, (ii) Hudson Point II-B Financing LLC, (iii) Hudson Point Credit Opportunities Aggregator III-B, LLC and (iv) Hudson Point Credit Dislocation Overage Financing-B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ALCOF II NUBT, L.P. and (ii) ALCOF III NUBT, L.P.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76201_69"/>
      <w:bookmarkEnd w:id="72"/>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stockholders are being asked to approve the issuance of shares of DXL common stock as the merger consideration pursuant to the terms of the merger agreement and the resulting “change of control” of DXL under the Nasdaq rules.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The discussion in this proxy statement of the transactions and the principal terms of the merger agreement is subject to, and qualified in its entirety by reference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You should carefully read this proxy statement in its entirety for more detailed information concerning the merger agreement. Please see the sections titled “</w:t>
      </w:r>
      <w:r>
        <w:rPr>
          <w:rFonts w:ascii="Times New Roman" w:hAnsi="Times New Roman"/>
          <w:i/>
          <w:sz w:val="20"/>
        </w:rPr>
        <w:t>Merger</w:t>
      </w:r>
      <w:r>
        <w:rPr>
          <w:rFonts w:ascii="Times New Roman" w:hAnsi="Times New Roman"/>
          <w:sz w:val="20"/>
        </w:rPr>
        <w:t>” and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 Agreement</w:t>
      </w:r>
      <w:r>
        <w:rPr>
          <w:rFonts w:ascii="Times New Roman" w:hAnsi="Times New Roman"/>
          <w:sz w:val="20"/>
        </w:rPr>
        <w:t xml:space="preserve">” beginning on pages 65 and 121, respectively, for additional information and a summary of certain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Submitting the Issuance Proposal for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DXL would issue shares of DXL common stock to FBB stockholders as merger consideration. 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merger, if completed, the number of shares of DXL common stock to be issued would be based on, among other factors, the reverse stock split ratio and the total number of outstanding shares of DXL common stock, on a fully diluted basis using the treasury stock method. Based on the assumptions set forth in this proxy statement, if the merger is consummated,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consummated, because the issuance of DXL common stock in connection with the merger would exceed these thresholds and would be expected to result in a change of control under the Nasdaq rules, stockholder approval is required to authorize the issuance of shares of DXL common stock as the merger consideration in connection with the merger and the resulting “change of control” of DXL under the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proposal 1 and, to a lesser extent, proposal 3 are approved, existing DXL stockholders will experience significant dilution in ownership interests and voting rights as a result of the issuance of shares of DXL common stock in connection with the merger. The number of shares of DXL common stock to be issued will be based on, among other factors, the reverse stock split ratio and the total number of outstanding shares of DXL common stock, on a fully-diluted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by DXL stockholders is a separate vote from approval of the amendment to the restated certificate of incorporation of DXL to effect a reverse stock split contemplated by proposal 2, and from approval of the amendment to the Second Amended and Restated 2016 Incentive Compensation Plan contemplated by proposal 3. Accordingly, DXL stockholders may vote for proposal 2 and proposal 3 and vote against proposal 1. However, if DXL stockholders do not approve this proposal 1, DXL will not have satisfied the condition precedent to the completion of the merger under the merger agreement, even if proposal 2 and proposal 3 are approved by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not approved by DXL stockholders at the special meeting, the merger will not be consummated. In that event, proposal 2 and proposal 3 may still be implemented, in the DXL Board’s discretion. Because the DXL Board believes those proposals are important to DXL’s ongoing operations and capital structure, the DXL Board expects to implement proposal 2 and proposal 3, if approved by the DXL stockholders,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issuance proposal. Abstentions, the failure to vote, and broker non-votes, if any, will have no effect on the outcome of the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76201_70"/>
      <w:bookmarkEnd w:id="73"/>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approved, and is recommending that its stockholders approve, an amendment (the “amendment”) to DXL’s restated certificate of incorporation, as amended (the “charter”), to effect a reverse stock split of the issued and outstanding shares of DXL common stock at a ratio of not less than 1-for-2 and not more than 1-for-30, such ratio, and the implementation and timing of such reverse stock split, to be determined in the sole discretion of the DXL Board and announced by DXL before this certificate of amendment is filed with the Secretary of State of the State of Delaware (the “reverse stock split”). As part of proposal 2, DXL stockholders are also being asked to authorize the DXL Board to elect, in its sole discretion and without further action by the DXL stockholders, to abandon the proposed amendment and not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final decision of whether to proceed with the reverse stock split and the effective time of the reverse stock split will be determined by the DXL Board in its sole discretion and announced by DXL before this certificate of amendment is filed with the Secretary of State of the State of Delaware. Approval of proposal 2 includes the authorization of the DXL Board such that, even if approved by its stockholders, the DXL Board may elect, in its sole discretion and without further action by the DXL stockholders, to abandon the proposed amendment and not effect the reverse stock split. Also, if the DXL Board does not implement the reverse stock split within the one-year anniversary of the date on which the reverse stock split is approved by the DXL stockholders at the special meeting or any adjournment or postponement thereto,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to effect the reverse stock split, if any, will include the split ratio fixed by the DXL Board, within the range approved by its stockholders at the special meeting. The ratio, if any, selected by the DXL Board for the reverse stock split would be publicly disclosed by DXL to its stockholders on or before the date on which the amendment reflecting the reverse stock split is filed with the Secretary of State of the State of Delaware. The text of the proposed amendment is set forth in Section 1 in the form attached as Annex C to this proxy statement. Upon the effectiveness of the amendment, all issued and outstanding shares of DXL common stock and treasury shares will be reclassified by combining them into a lesser number of shares, such that one share of DXL common stock will be issued and outstanding in lieu of a specified number of shares within the approved reverse stock split range.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2 is approved by DXL stockholders at the special meeting, no further approval or authorization of DXL stockholders will be required to effect (or abandon) the reverse stock split. However, if the DXL Board does not implement the reverse stock split within the one-year anniversary of the date on which the reverse stock split is approved by the DXL stockholders,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the amendment to effect the reverse stock split, as more fully described below, will effect the reverse stock split but will not change the number of authorized shares of DXL common stock or preferred stock, or the par value of DXL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DXL is Seeking Approval of the Reverse Stock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Nasdaq under the symbol “DXLG”. The DXL Board has approved the proposed amendment to the charter to effect the reverse stock split, and believes the reverse stock split proposal is important to DXL independent of the merger, for the following reasons: </w:t>
      </w:r>
    </w:p>
    <w:p>
      <w:pPr>
        <w:pStyle w:val="TextBody"/>
        <w:bidi w:val="0"/>
        <w:spacing w:before="360" w:after="0"/>
        <w:jc w:val="left"/>
        <w:rPr>
          <w:rFonts w:ascii="Times New Roman" w:hAnsi="Times New Roman"/>
          <w:i/>
          <w:sz w:val="20"/>
        </w:rPr>
      </w:pPr>
      <w:r>
        <w:rPr>
          <w:rFonts w:ascii="Times New Roman" w:hAnsi="Times New Roman"/>
          <w:i/>
          <w:sz w:val="20"/>
        </w:rPr>
        <w:t xml:space="preserve">Maintain its Listing on Nasdaq, Whether or Not the Merger is Consummated </w:t>
      </w:r>
    </w:p>
    <w:p>
      <w:pPr>
        <w:pStyle w:val="TextBody"/>
        <w:bidi w:val="0"/>
        <w:spacing w:before="120" w:after="0"/>
        <w:jc w:val="left"/>
        <w:rPr>
          <w:rFonts w:ascii="Times New Roman" w:hAnsi="Times New Roman"/>
          <w:sz w:val="20"/>
        </w:rPr>
      </w:pPr>
      <w:r>
        <w:rPr>
          <w:rFonts w:ascii="Times New Roman" w:hAnsi="Times New Roman"/>
          <w:sz w:val="20"/>
        </w:rPr>
        <w:t xml:space="preserve">By potentially increasing the trading price of DXL common stock, the reverse stock split would reduce the risk that DXL common stock could be delisted from Nasdaq before the effective time of the merger or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which expired on August 3, 2026, to regain compliance with the minimum bid price requirement.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Accordingly,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A reason DXL is seeking stockholder approval for this reverse stock split is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 reverse stock split may also make DXL common stock more attractive to a broader range of investors who may prefer to invest in shares that trade at higher share prices and, therefore, potentially increase the trading volume and liquidity of DXL common stock. If the DXL Board does not implement the reverse stock split within the one-year anniversary of the date on which the reverse stock split is approved by the DXL stockholders, the authority granted in this proposal to implement the reverse stock split will terminate. Accordingly, the DXL Board believes that authority to effect the reverse stock split is in the best interests of DXL and its stockholders and is important to support DXL’s continued Nasdaq listing, liquidity and capital markets flexibility, regardless of whether the merger is consummated. </w:t>
      </w:r>
    </w:p>
    <w:p>
      <w:pPr>
        <w:pStyle w:val="TextBody"/>
        <w:bidi w:val="0"/>
        <w:spacing w:before="240" w:after="0"/>
        <w:jc w:val="left"/>
        <w:rPr>
          <w:rFonts w:ascii="Times New Roman" w:hAnsi="Times New Roman"/>
          <w:sz w:val="20"/>
        </w:rPr>
      </w:pPr>
      <w:r>
        <w:rPr>
          <w:rFonts w:ascii="Times New Roman" w:hAnsi="Times New Roman"/>
          <w:sz w:val="20"/>
        </w:rPr>
        <w:t>In evaluating the reverse stock split, the DXL Board took into consideration a number of positive and negative factors commonly associated with reverse stock splits, including those discussed below under the section entitled “—</w:t>
      </w:r>
      <w:r>
        <w:rPr>
          <w:rFonts w:ascii="Times New Roman" w:hAnsi="Times New Roman"/>
          <w:i/>
          <w:sz w:val="20"/>
        </w:rPr>
        <w:t>Certain Risks and Potential Disadvantages Associated with the Reverse Stock Split”</w:t>
      </w:r>
      <w:r>
        <w:rPr>
          <w:rFonts w:ascii="Times New Roman" w:hAnsi="Times New Roman"/>
          <w:sz w:val="20"/>
        </w:rPr>
        <w:t xml:space="preserve">. The DXL Board determined, however, that the potential negative factors were significantly outweighed by the potential benefits, and believes that the increase of the per-share market price of DXL common stock that may result from the reverse stock split may allow DXL to maintain or regain compliance with Nasdaq listing requirements, support the continued listing of DXL common stock on The Nasdaq Capital Market or another tier of Nasdaq, encourage greater interest in DXL common stock from market participants, and enhance the liquidity and marketability of DXL common stock. If the merger were to be completed, the reverse stock split may also assist in satisfying applicable Nasdaq listing requirements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issued and outstanding shares of DXL common stock through the reverse stock split is intended, absent other factors, to increase the per-share market price of DXL common stock. However, other factors, such as DXL’s financial results, market conditions and the market perception of its business may adversely affect the market price of DXL common stock. In addition, the reverse stock split will result in additional authorized and unissued shares becoming available for general corporate purposes as the DXL Board may determine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maintaining the current number of authorized shares of DXL common stock, irrespective of the reverse stock split, is necessary to provide DXL with the flexibility to act in the future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raising additional financing, potential strategic collaborations and other corporate purposes without the delay and expense associated with obtaining special stockholder approval each time an opportunity requiring the issuance of shares of DXL common stock may arise. Such a delay might deny DXL the flexibility that the DXL Board views as important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if completed, will result in the intended benefits described above, that the market price of DXL common stock will increase following the reverse stock split, that the market price of DXL common stock will not decrease in the future, or that DXL common stock will achieve a high enough price per share to consummate the merger or permit its continued listing on Nasdaq. </w:t>
      </w:r>
    </w:p>
    <w:p>
      <w:pPr>
        <w:pStyle w:val="TextBody"/>
        <w:bidi w:val="0"/>
        <w:spacing w:before="360" w:after="0"/>
        <w:jc w:val="left"/>
        <w:rPr>
          <w:rFonts w:ascii="Times New Roman" w:hAnsi="Times New Roman"/>
          <w:i/>
          <w:sz w:val="20"/>
        </w:rPr>
      </w:pPr>
      <w:r>
        <w:rPr>
          <w:rFonts w:ascii="Times New Roman" w:hAnsi="Times New Roman"/>
          <w:i/>
          <w:sz w:val="20"/>
        </w:rPr>
        <w:t xml:space="preserve">Meet the Initial Listing Requirements on Nasdaq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DXL intends to file an initial listing application pursuant to the terms of the merger agreement in connection with the merger. The initial listing requirements are more difficult to achieve than Nasdaq’s continued listing requirements. 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 listing standards of Nasdaq will require DXL (following the merger, if consummated) to have, among other things, a $4.00 per share minimum bid/closing price for a certain number of trading days preceding the closing of the merger, unless it effects a reverse stock split. On [●], 2026, the last practicable date before the printing of the proxy statement, the closing price per share of DXL common stock as reported on Nasdaq was $[●] per share. Accordingly, the reverse stock split may be necessary in order to satisfy applicable Nasdaq requirements in the event the merger is consummated. In addition to the minimum bid price requirement, Nasdaq’s initial listing standards require, among other things, that DXL (following the merger, if consummated) satisfy minimum standards relating to stockholders’ equity, market value of listed securities, and number of round lot stockholders. Based on the unaudited pro forma condensed combined financial information included elsewhere in this proxy statement, DXL currently expects to satisfy these additional initial listing requirements; however, there can be no assurance that Nasdaq will approve any such listing application. </w:t>
      </w:r>
    </w:p>
    <w:p>
      <w:pPr>
        <w:pStyle w:val="TextBody"/>
        <w:bidi w:val="0"/>
        <w:spacing w:before="240" w:after="0"/>
        <w:jc w:val="left"/>
        <w:rPr>
          <w:rFonts w:ascii="Times New Roman" w:hAnsi="Times New Roman"/>
          <w:sz w:val="20"/>
        </w:rPr>
      </w:pPr>
      <w:r>
        <w:rPr>
          <w:rFonts w:ascii="Times New Roman" w:hAnsi="Times New Roman"/>
          <w:sz w:val="20"/>
        </w:rPr>
        <w:t>In addition, it is a condition to the closing of the merger that the Nasdaq listing application for the combined company be approved by Nasdaq. If the reverse stock split proposal is not approved and DXL is unable to otherwise effect the reverse stock split, such condition to closing the merger may not be satisfied. Please see the section entitled “</w:t>
      </w:r>
      <w:r>
        <w:rPr>
          <w:rFonts w:ascii="Times New Roman" w:hAnsi="Times New Roman"/>
          <w:i/>
          <w:sz w:val="20"/>
        </w:rPr>
        <w:t>The Merger Agreement—Conditions to the</w:t>
      </w:r>
      <w:r>
        <w:rPr>
          <w:rFonts w:ascii="Times New Roman" w:hAnsi="Times New Roman"/>
          <w:sz w:val="20"/>
        </w:rPr>
        <w:t xml:space="preserve"> </w:t>
      </w:r>
      <w:r>
        <w:rPr>
          <w:rFonts w:ascii="Times New Roman" w:hAnsi="Times New Roman"/>
          <w:i/>
          <w:sz w:val="20"/>
        </w:rPr>
        <w:t>Closing of the Merger</w:t>
      </w:r>
      <w:r>
        <w:rPr>
          <w:rFonts w:ascii="Times New Roman" w:hAnsi="Times New Roman"/>
          <w:sz w:val="20"/>
        </w:rPr>
        <w:t xml:space="preserve">” for additional information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Before voting on this proposal, you should consider the risks and potential disadvantages associated with the implementation of the reverse stock split discussed under the section entitled “</w:t>
      </w:r>
      <w:r>
        <w:rPr>
          <w:rFonts w:ascii="Times New Roman" w:hAnsi="Times New Roman"/>
          <w:i/>
          <w:sz w:val="20"/>
        </w:rPr>
        <w:t>Risk Factors—Risks Related to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proposal is approved by the DXL stockholders, the DXL Board will have the discretion to implement the reverse stock split or to not effect the reverse stock split at all. The DXL Board intends to effect the reverse stock split if it determines, in its sole discretion, that effecting such reverse stock split is necessary to regain compliance with the minimum bid price requirement. If the DXL Board does not implement the reverse stock split within the one-year anniversary of the date on which the reverse stock split is approved by the DXL stockholders, the authority granted in this proposal to implement the reverse stock split will terminate. Following the reverse stock split, if implemented, there can be no assurance that the market price of DXL common stock will rise in proportion to the reduction in the number of outstanding shares resulting from the reverse stock split or that the market price of the post-split common stock can be maintained above $1.00. There can also be no assurance that the DXL common stock will not be delisted from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DXL stockholders approve the reverse stock split proposal, the reverse stock split will be effected, if at all, in the event that the DXL Board, in its sole discretion, determines that effecting such reverse stock split is in the best interests of DXL and the DXL stockholders and is necessary to regain compliance with the minimum bid price requirement. No further action on the part of the DXL stockholders will be required to either effect or abandon the reverse stock split. If the DXL Board does not implement the reverse stock split prior to the one-year anniversary of the date on which the reverse stock split is approved by the DXL stockholders at the special meeting, the authority granted in this proposal to implement the reverse stock split will terminate and the certificate of amendment will be abandoned.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the DXL common stock is dependent upon DXL’s performance and other factors, some of which are unrelated to the number of shares outstanding. If the reverse stock split is effected and the market price of the DXL common stock declines, the percentage decline as an absolute number and as a percentage of DXL’s overall market capitalization may be greater than what would occur in the absence of the reverse stock split. Furthermore, the reduced number of shares that would be outstanding after the reverse stock split could significantly reduce the trading volume and otherwise adversely affect the liquidity of DXL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DXL common stock vis-à-vis the outstanding shares of DXL common stock and could, under certain circumstances, have an anti-takeover effect, although that is not the purpose or intent of the proposal. A relative increase in the number of authorized but unissued shares of DXL common stock could have other effects on DXL stockholders, depending upon the exact nature and circumstances of any actual issuances of authorized shares. A relative increase in the authorized but unissued shares of DXL common stock could potentially deter takeovers, including takeovers that the DXL Board determines are not in the best interest of its stockholders, in that additional shares could be issued (within the limits imposed by applicable law) in one or more transactions that could make a change in control or takeover more difficult. Other than in connection with the merger, the DXL Board is not aware of any attempt to take control of the DXL business, and the DXL Board has not considered the reverse stock split to be a tool to be utilized as a type of anti-takeover device. Other than in connection with the merger, DXL currently has no plans, proposals or arrangements to issue any shares of DXL common stock that would become newly available for issuance as a result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Outstanding DXL Common Stock; Procedure for Effecting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of DXL approve the reverse stock split, and if the DXL Board elects to proceed with the reverse stock split, the DXL Board will determine the ratio of the reverse stock split to be implemented within the range approved by its stockholders and will file the amendment to the certificate of incorporation, in Section 1 of the form attached as Annex C to this proxy statement, with the Secretary of State of the State of Delaware reflecting the designated ratio. The DXL Board may decide not to effect the reverse stock split without resoliciting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a range of the possible reverse stock split ratios with the implied number of issued and outstanding shares of DXL common stock resulting from the reverse stock split, based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pPr>
      <w:r>
        <w:rPr/>
        <w:t> </w:t>
      </w:r>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10:1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15:1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25:1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30:1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of DXL Common Stock / 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DXL intends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DXL common stock in street name. However, these banks, brokers and other nominees may have different procedures than registered stockholders for processing the reverse stock split. If a stockholder holds shares of DXL common stock with a bank, broker or other nominee and has any questions about the reverse stock split, the stockholder is encouraged to contact their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registered holders of DXL common stock hold some or all of their shares electronically in book-entry form with DXL’s transfer agent, EQ, LLC. These stockholders do not hold physical stock certificates evidencing their ownership of DXL common stock. Instead, they are provided with a statement reflecting the number of shares of DXL common stock registered in their accounts. If a stockholder holds registered shares in book-entry form with DXL’s transfer agent, no action needs to be taken to receive post-reverse stock split shares. If a stockholder is entitled to post-reverse stock split shares, a transaction statement will automatically be sent to the stockholder’s address of record indicating the number of shares of DXL common stock held following the reverse stock split.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certain shares of DXL common stock were held in certificated form. Beginning at the effective time of the reverse stock split, each certificate representing shares of DXL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DXL common stock in certificated form will also be sent a transmittal letter by DXL’s transfer agent after the effective time. The transmittal letter will be accompanied by instructions on how a stockholder should exchange his, her or its certificates representing the pre-split shares of DXL common stock for a statement of holding. When a stockholder submits their certificates representing the pre-split shares of DXL common stock, the post-split shares of DXL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DXL will no longer issue physical stock certificates unless a stockholder makes a specific request for a share certificate representing your post-split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NOT DESTROY ANY STOCK CERTIFICATES AND SHOULD NOT SUBMIT THEIR STOCK CERTIFICATES UNLESS AND UNTIL THEY RECEIVE A TRANSMITTAL FORM FROM DXL’S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Fractions of shares of DXL common stock resulting from the reverse stock split will be issued in connection with the reverse stock split. In addition, DXL will issue that number of fractions of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DXL common stock (the “fractional issuance”). As a result, each stockholder (on a certificate-by-certificate basis) will hold the same percentage of the outstanding DXL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the DXL common stock, and no separate certificates shall be issued for fractions of shares to be issued in the fractional issuance. The DXL Board has determined that the decreased administrative burdens and benefits of efficiency and accuracy in maintaining its capitalization records represent sufficient consideration for the fractional issuance, such that DXL stockholders receiving fractions of shares of DXL common stock in the fractional issue will not be required to make any additional cash payment for such fractions.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Authorized but Unissued Shares of DXL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DXL is authorized to issue up to a total of 125,000,000 shares of DXL common stock, of which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issued,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held as treasury stock and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which is the record date, and 1,000,000 shares of DXL preferred stock, par value $0.01 per share, of which no shares were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reverse stock split, if approved and effected, will not have any effect on the authorized number of shares of DXL common stock or DXL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existing terms of DXL common stock. After the reverse stock split, the shares of DXL common stock will have the same voting rights and rights to dividends and distributions and will be identical in all other respects to the DXL common stock now authorized. The DXL common stock that remains issued following the reverse stock split will continue to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time of the reverse stock split, the number of shares subject to all outstanding options, restricted stock units, performance stock units, deferred stock units and other rights to acquire DXL common stock will automatically be proportionately reduced in the same ratio as the reduction in the number of shares of issued common stock, and any fractional shares will be rounded down to the nearest whole share of DXL common stock in order to comply with the requirements of Sections 409A and 424 of the Code.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DXL will proportionately decrease the total number of shares of DXL common stock that remain available for future grants under DXL’s Second Amended and Restated 2016 Incentive Compensation Plan and the Seventh Amended and Restated Non-Employee Director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currently registered under Section 12(b) of the Exchange Act, and DXL is subject to the periodic reporting and other requirements of the Exchange Act. The proposed reverse stock split will not affect the registration of DXL common stock under the Exchange Act. If the reverse stock split is approved and effected, DXL common stock will receive a new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DXL common stock per share, which will remain par value $0.01 per share. As a result, as of the effective time of the reverse stock split, the stated capital attributable to DXL common stock will be reduced proportionally based on the reverse stock split ratio and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paid-in capital account on its balance sheet will be credited with the amount by which the stated capital is reduced. Reported per share net income or loss will be higher because there will be fewer shares of DXL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the DXL Board does not intend for this transaction to be the first step in a “going private transaction” within the meaning of Rule 13e-3 of the Exchange Act, and DXL will continue to be subject to the periodic reporting and other requirements of the Exchange Act after giving effect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appraisal rights with respect to the proposed amendment to effect the reverse stock split, and DXL does not intend to provide stockholders with any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Persons in this Proposal 2 </w:t>
      </w:r>
    </w:p>
    <w:p>
      <w:pPr>
        <w:pStyle w:val="TextBody"/>
        <w:bidi w:val="0"/>
        <w:spacing w:before="120" w:after="0"/>
        <w:jc w:val="left"/>
        <w:rPr>
          <w:rFonts w:ascii="Times New Roman" w:hAnsi="Times New Roman"/>
          <w:sz w:val="20"/>
        </w:rPr>
      </w:pPr>
      <w:r>
        <w:rPr>
          <w:rFonts w:ascii="Times New Roman" w:hAnsi="Times New Roman"/>
          <w:sz w:val="20"/>
        </w:rPr>
        <w:t xml:space="preserve">Certain of DXL’s officers and directors have an interest in this proposal as a result of their ownership of shares of DXL common stock. However, DXL does not believe that such officers or directors have interests in this proposal that are different from or greater than those of any of DXL’s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For a summary of the material U.S. federal income tax consequences of the proposed reverse stock split to holders of DXL common stock, please see the section entitled “</w:t>
      </w:r>
      <w:r>
        <w:rPr>
          <w:rFonts w:ascii="Times New Roman" w:hAnsi="Times New Roman"/>
          <w:i/>
          <w:sz w:val="20"/>
        </w:rPr>
        <w:t>Material U.S. Federal Income Tax Consequences of the Merger and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by DXL stockholders is a separate vote from approval of the share issuance as contemplated by proposal 1, and from the approval of the amendment to the Second Amended and Restated 2016 Incentive Compensation Plan as contemplated by proposal 3. Accordingly, DXL stockholders may vote for proposal 2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reverse stock split proposal. Abstentions, the failure to vote, and broker non-votes, if any, will have no effect on the outcome of the reverse stock split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76201_71"/>
      <w:bookmarkEnd w:id="74"/>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2016 PLAN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stockholders are being asked to approve and adopt an amendment to the Second Amended and Restated 2016 Incentive Compensation Plan (as amended, effective August 8, 2024, the “2016 plan”) to (a) increase the total number of shares of DXL common stock authorized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Based on the closing price of DXL common stock on Nasdaq on May 1, 2026 of $0.62 per share, the maximum aggregate market value of these additional shares would be approximately $8.4 million. The 2016 plan was originally approved by DXL stockholders on August 4, 2016. The DXL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DXL stockholders approve the amendments to the 2016 plan, the maximum number of shares that may be issued for awards granted under the 2016 plan will be 34,245,000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terms, the 2016 plan will terminate at the earliest of (a) such time as no shares remain available for issuance, (b) termination of the 2016 plan by the DXL Board, or (c) the tenth (10th) anniversary from the date the DXL stockholders approve the amended 2016 plan. If the DXL stockholders approve this proposal 3, the tenth (10th) anniversary of the 2016 plan (as most recently amended herein) will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2036. If the DXL stockholders do not approve this proposal 3, the 2016 plan will remain in effect, but no further awards may be granted under the 2016 plan after August 8, 2034.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amendment to the Second Amended and Restated 2016 Incentive Compensation Plan is attached as Annex D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Awards Under the 2016 Plan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2010, DXL’s primary use of equity compensation has been tied to awards granted pursuant to DXL’s long-term incentive plan program (“LTIP”), which is a sub-plan under the 2016 plan. More recently, the LTIP has been comprised of multiple components consisting of both performance-based and time-based awards. DXL has used LTIPs as a means to provide a source of equity compensation to attract, retain and reward its management team. The 2016 plan provides DXL the ability to give participants important incentive and reward opportunities designed to enhance its profitable growth. Awards granted under the 2016 plan are also used for new hire incentives. The increase in the shares available under the 2016 plan will enable DXL to continue to attract new talent and retain and reward management. The 2016 plan has been a vital component of our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also needed for the independent directors to satisfy the requirement under the Non-Employee Director Compensation Plan (the “Director Plan”) that its directors receive 60% of their annual retainer in the form of equity (“Required Equity”) if they have not met an ownership of three times their annual retainer. Pursuant to Nasdaq rules, shares under the Director Plan are not available for this purpose; therefore, DXL can only issue Required Equity to DXL directors from a stockholder-approved plan, which is the 2016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Share Request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this proposal is important to DXL independent of the merger, for the reasons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the ability to grant equity awards is essential to attracting, retaining, and motivating the talented employees and directors who drive DXL’s long-term success. Equity compensation aligns the interests of DXL’s workforce with those of DXL stockholders and supports a performance-driven culture.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under the 2016 plan is no longer sufficient to support DXL’s ongoing equity programs. Due to a lower stock price, fiscal 2025 share utilization was higher than in prior years, accelerating depletion of the remaining shares. At current stock-price levels, DXL will be unable to continue providing competitive equity-based long-term incentive opportunities without an increase in the number of authorized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are needed to support DXL’s annual equity awards for employees and executives, which are a central component of DXL’s retention and performance-based compensation strategy. The requested increase is also necessary to support DXL’s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If DXL stockholders do not approve this proposal to increase the total number of shares of DXL common stock authorized for issuance under the 2016 plan, DXL will be unable to settle outstanding performance awards in shares if earned, and would instead be required to settle such awards in cash. Moreover, DXL’s ability to attract, retain, and incentivize key talent would be significantly impaired, limiting DXL’s ability to execute its strategic priorities and drive long-term stockholder value. In addition, DXL would have to eliminate the required equity component of its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under the 2016 plan for DXL. If the merger were to be consummated, additional equity awards may be required in connection with integration and workforce management; however, the DXL Board believes approval of this proposal is important to support DXL’s ongoing compensation programs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Impact on Dilution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recognizes the impact of dilution on stockholders and weighs the goal of motivating DXL’s leadership and employees with equity grants against stockholder dilution. If proposal 3 is approved, the issuance of the additional shares would dilute the holdings of stockholders by approximately 9.3%, assuming that all shares granted from the 2016 plan were options or stock appreciation rights, as explained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Duration of Share Reserve </w:t>
      </w:r>
    </w:p>
    <w:p>
      <w:pPr>
        <w:pStyle w:val="TextBody"/>
        <w:bidi w:val="0"/>
        <w:spacing w:before="120" w:after="0"/>
        <w:jc w:val="left"/>
        <w:rPr>
          <w:rFonts w:ascii="Times New Roman" w:hAnsi="Times New Roman"/>
          <w:sz w:val="20"/>
        </w:rPr>
      </w:pPr>
      <w:r>
        <w:rPr>
          <w:rFonts w:ascii="Times New Roman" w:hAnsi="Times New Roman"/>
          <w:sz w:val="20"/>
        </w:rPr>
        <w:t xml:space="preserve">DXL expects that the increased number of shares being requested, if DXL stockholders approve this proposal 3, will be sufficient for one year. Expectations and assumptions regarding future share usage could be impacted by award type, executive hires and promotions, forfeiture of existing grants, and the impact of the merger between DXL and FBB. The share pool was increased in 2024 by 6,150,000 shares.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Upon Certain Changes </w:t>
      </w:r>
    </w:p>
    <w:p>
      <w:pPr>
        <w:pStyle w:val="TextBody"/>
        <w:bidi w:val="0"/>
        <w:spacing w:before="120" w:after="0"/>
        <w:jc w:val="left"/>
        <w:rPr>
          <w:rFonts w:ascii="Times New Roman" w:hAnsi="Times New Roman"/>
          <w:sz w:val="20"/>
        </w:rPr>
      </w:pPr>
      <w:r>
        <w:rPr>
          <w:rFonts w:ascii="Times New Roman" w:hAnsi="Times New Roman"/>
          <w:sz w:val="20"/>
        </w:rPr>
        <w:t xml:space="preserve">If proposal 2 is approved and there is a decrease in the number of issued shares of DXL common stock as a result of the reverse stock split, the number of shares of common stock authorized for issuance under the 2016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per share of common stock covered by an outstanding non-qualified stock option shall be proportionately adjusted. The changes to the number of shares in the pool that would occur if the merger is approved do not affect the number of shares being requested in this proposal 3. DXL has no outstanding incentive stock options. </w:t>
      </w:r>
    </w:p>
    <w:p>
      <w:pPr>
        <w:pStyle w:val="TextBody"/>
        <w:bidi w:val="0"/>
        <w:spacing w:before="360" w:after="0"/>
        <w:jc w:val="left"/>
        <w:rPr>
          <w:rFonts w:ascii="Times New Roman" w:hAnsi="Times New Roman"/>
          <w:b/>
          <w:sz w:val="20"/>
        </w:rPr>
      </w:pPr>
      <w:r>
        <w:rPr>
          <w:rFonts w:ascii="Times New Roman" w:hAnsi="Times New Roman"/>
          <w:b/>
          <w:sz w:val="20"/>
        </w:rPr>
        <w:t>Change in Control</w:t>
      </w:r>
    </w:p>
    <w:p>
      <w:pPr>
        <w:pStyle w:val="TextBody"/>
        <w:bidi w:val="0"/>
        <w:spacing w:before="120" w:after="0"/>
        <w:jc w:val="left"/>
        <w:rPr>
          <w:rFonts w:ascii="Times New Roman" w:hAnsi="Times New Roman"/>
          <w:sz w:val="20"/>
        </w:rPr>
      </w:pPr>
      <w:r>
        <w:rPr>
          <w:rFonts w:ascii="Times New Roman" w:hAnsi="Times New Roman"/>
          <w:sz w:val="20"/>
        </w:rPr>
        <w:t xml:space="preserve">If proposal 1 is approved, the transaction would meet the conditions of a Change in Control pursuant to the terms of the 2016 plan. 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compensation committee did not take any action with respect to the time-vested portion of the current LTIP, which awards would be treated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At May 2, 2026, 3,700,396 shares of DXL common stock remained available for issuance under the 2016 plan. </w:t>
      </w:r>
    </w:p>
    <w:p>
      <w:pPr>
        <w:pStyle w:val="TextBody"/>
        <w:bidi w:val="0"/>
        <w:spacing w:before="240" w:after="0"/>
        <w:jc w:val="left"/>
        <w:rPr>
          <w:rFonts w:ascii="Times New Roman" w:hAnsi="Times New Roman"/>
          <w:sz w:val="20"/>
        </w:rPr>
      </w:pPr>
      <w:r>
        <w:rPr>
          <w:rFonts w:ascii="Times New Roman" w:hAnsi="Times New Roman"/>
          <w:sz w:val="20"/>
        </w:rPr>
        <w:t>DXL recommends approval of the amendments to the 2016 plan so that it may continue to provide equity compensation to attract, motivate, retain and reward high-quality executives and other key employees, officers and directors. For a description of DXL’s long-term incentive program, please refer to the section entitled “</w:t>
      </w:r>
      <w:r>
        <w:rPr>
          <w:rFonts w:ascii="Times New Roman" w:hAnsi="Times New Roman"/>
          <w:i/>
          <w:sz w:val="20"/>
        </w:rPr>
        <w:t>Compensation Discussion and Analysis—Long-Term Incentive Plans</w:t>
      </w:r>
      <w:r>
        <w:rPr>
          <w:rFonts w:ascii="Times New Roman" w:hAnsi="Times New Roman"/>
          <w:sz w:val="20"/>
        </w:rPr>
        <w:t xml:space="preserve">” set forth in DXL’s Annual Report on Form 10-K/A for the fiscal year ended January 31, 2026 as filed with the SEC on May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Alignment of 2016 Plan with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designed to reinforce the alignment of DXL’s equity opportunities for management with the interest of DXL stockholders and includes a number of provisions that DXL believes are consistent with good governance and compensation practice,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period of one year from the date of grant covering 95% of all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repricing of stock options or stock appreciation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discounted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paid on unvested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evergreen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automatic grants or reload;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stated clawback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Double-trigger” vesting for change in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gross-ups.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9"/>
        <w:gridCol w:w="285"/>
        <w:gridCol w:w="60"/>
        <w:gridCol w:w="1195"/>
        <w:gridCol w:w="275"/>
        <w:gridCol w:w="188"/>
        <w:gridCol w:w="246"/>
        <w:gridCol w:w="815"/>
        <w:gridCol w:w="60"/>
        <w:gridCol w:w="285"/>
        <w:gridCol w:w="86"/>
        <w:gridCol w:w="1102"/>
        <w:gridCol w:w="60"/>
        <w:gridCol w:w="285"/>
        <w:gridCol w:w="60"/>
        <w:gridCol w:w="274"/>
        <w:gridCol w:w="163"/>
      </w:tblGrid>
      <w:tr>
        <w:trPr/>
        <w:tc>
          <w:tcPr>
            <w:tcW w:w="394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3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 shares requested under amendment to the 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13,500,000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as of May 2, 2026: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Shares remaining available for issuance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3,700,396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Time-based stock options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2,961,292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 yrs.</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Time-based unvested full-value awards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830,465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(2 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stock awards payable to directors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642,431</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units with market condition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573,000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0.2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 value awards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2,045,896</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 Compensation Plan(1)</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511,477</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data:(2)</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Value-Adjusted Burn Rate - 3 yr. average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 assuming all shares are granted on a 1:1 basis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Overhang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 +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available for stock issuances in lieu of cash for director fees.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percentages were calculated using DXL’s pro forma common stock outstanding, on a post-merger basis, of approximately 123.7 million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remaining vesting period of time-based awards.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annual time-based awards, performance stock units, and performance-based awards granted and earned for each of the past three fiscal years and the average three-year burn rate: </w:t>
      </w:r>
    </w:p>
    <w:p>
      <w:pPr>
        <w:pStyle w:val="TextBody"/>
        <w:bidi w:val="0"/>
        <w:spacing w:before="0" w:after="0"/>
        <w:jc w:val="left"/>
        <w:rPr/>
      </w:pPr>
      <w:r>
        <w:rPr/>
        <w:t> </w:t>
      </w:r>
    </w:p>
    <w:tbl>
      <w:tblPr>
        <w:tblW w:w="13090" w:type="dxa"/>
        <w:jc w:val="center"/>
        <w:tblInd w:w="0" w:type="dxa"/>
        <w:tblLayout w:type="fixed"/>
        <w:tblCellMar>
          <w:top w:w="0" w:type="dxa"/>
          <w:left w:w="0" w:type="dxa"/>
          <w:bottom w:w="0" w:type="dxa"/>
          <w:right w:w="0" w:type="dxa"/>
        </w:tblCellMar>
      </w:tblPr>
      <w:tblGrid>
        <w:gridCol w:w="815"/>
        <w:gridCol w:w="60"/>
        <w:gridCol w:w="93"/>
        <w:gridCol w:w="1247"/>
        <w:gridCol w:w="60"/>
        <w:gridCol w:w="60"/>
        <w:gridCol w:w="182"/>
        <w:gridCol w:w="1158"/>
        <w:gridCol w:w="60"/>
        <w:gridCol w:w="60"/>
        <w:gridCol w:w="84"/>
        <w:gridCol w:w="791"/>
        <w:gridCol w:w="60"/>
        <w:gridCol w:w="60"/>
        <w:gridCol w:w="98"/>
        <w:gridCol w:w="1317"/>
        <w:gridCol w:w="60"/>
        <w:gridCol w:w="60"/>
        <w:gridCol w:w="61"/>
        <w:gridCol w:w="814"/>
        <w:gridCol w:w="60"/>
        <w:gridCol w:w="60"/>
        <w:gridCol w:w="103"/>
        <w:gridCol w:w="1387"/>
        <w:gridCol w:w="60"/>
        <w:gridCol w:w="60"/>
        <w:gridCol w:w="103"/>
        <w:gridCol w:w="1387"/>
        <w:gridCol w:w="60"/>
        <w:gridCol w:w="60"/>
        <w:gridCol w:w="60"/>
        <w:gridCol w:w="1100"/>
        <w:gridCol w:w="60"/>
        <w:gridCol w:w="60"/>
        <w:gridCol w:w="150"/>
        <w:gridCol w:w="800"/>
        <w:gridCol w:w="32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Granted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Option</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Value</w:t>
              <w:br/>
              <w:t>Awards</w:t>
              <w:br/>
              <w:t>Granted and</w:t>
              <w:br/>
              <w:t>Earned for</w:t>
              <w:br/>
              <w:t>Achievement</w:t>
              <w:br/>
              <w:t>of</w:t>
              <w:br/>
              <w:t>Performance-</w:t>
              <w:br/>
              <w:t>Based</w:t>
              <w:br/>
              <w:t>Metrics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Full</w:t>
              <w:br/>
              <w:t>Value</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Shares</w:t>
              <w:b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Common</w:t>
              <w:br/>
              <w:t>Shares</w:t>
              <w:br/>
              <w:t>(Basic)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Adjusted</w:t>
              <w:br/>
              <w:t>Burn</w:t>
              <w:br/>
              <w:t>Rate (3)</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799,349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915,124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213,729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109,657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49,304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267,219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339,923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PSUs granted to Mr. Kanter in August 2023 in connection with the amendment and extension of his employment agreement. All PSUs were unvested as of January 31, 2026, and following Mr. Kanter’s retirement on August 11, 2026, all unvested PSUs expired and were forfeited.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2025 and fiscal 2023, amounts represent awards granted and vested for the achievement of the performance targets for the performance-based component of the 2022-2024 LTIP and the 2020-2022 LTIP,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Value-Adjusted Burn Rate is calculated as (i) the sum of (a) number of full-value awards (including PSUs earned) * the 200-day average stock price as of the last day of the applicable Fiscal Year plus (b) number of stock options * Black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Scholes valuation assuming market price is equal to the 200-day average stock price as of the last day of the applicable Fiscal Year (ii) divided by the weighted average common shares * the 200-day average stock price as of the last day of the applicable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DXL is Committed to Managing Dilution </w:t>
      </w:r>
    </w:p>
    <w:p>
      <w:pPr>
        <w:pStyle w:val="TextBody"/>
        <w:bidi w:val="0"/>
        <w:spacing w:before="120" w:after="0"/>
        <w:jc w:val="left"/>
        <w:rPr>
          <w:rFonts w:ascii="Times New Roman" w:hAnsi="Times New Roman"/>
          <w:sz w:val="20"/>
        </w:rPr>
      </w:pPr>
      <w:r>
        <w:rPr>
          <w:rFonts w:ascii="Times New Roman" w:hAnsi="Times New Roman"/>
          <w:sz w:val="20"/>
        </w:rPr>
        <w:t>The DXL Board recognizes the impact of dilution on DXL stockholders and, in evaluating the 2016 plan, sought to balance this concern with DXL’s ability to provide its management team with equity compensation as part of DXL’s long-term growth initiatives which, in time, DXL would expect to increase stockholder value. If this proposal 3 is approved, the issuance of the additional shares to be reserved under the 2016 plan would dilute the holdings of stockholders by approximately 9.3%, assuming that all shares granted from the 2016 plan were options or stock appreciation rights.</w:t>
      </w:r>
    </w:p>
    <w:p>
      <w:pPr>
        <w:pStyle w:val="TextBody"/>
        <w:bidi w:val="0"/>
        <w:spacing w:before="240" w:after="0"/>
        <w:jc w:val="left"/>
        <w:rPr>
          <w:rFonts w:ascii="Times New Roman" w:hAnsi="Times New Roman"/>
          <w:sz w:val="20"/>
        </w:rPr>
      </w:pPr>
      <w:r>
        <w:rPr>
          <w:rFonts w:ascii="Times New Roman" w:hAnsi="Times New Roman"/>
          <w:sz w:val="20"/>
        </w:rPr>
        <w:t xml:space="preserve">The DXL Board is committed to managing dilution. Over the past three fiscal years, DXL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DXL also manages dilution by permitting its employees the option to satisfy their tax withholding obligations related to equity awards by withholding shares from those shares otherwise issuable. Over the past three fiscal years, DXL has withheld an aggregate 0.3 million shares to satisfy its employee’s tax withholding obligations related to equity awards for a total cost of $1.0 million. The DXL Board believes the potential dilution to DXL stockholders that could result from the approval of the amendments to the 2016 plan is reasonable and sustainable to meet DXL’s strategic growth initiatives.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7"/>
        <w:gridCol w:w="227"/>
        <w:gridCol w:w="60"/>
        <w:gridCol w:w="1260"/>
        <w:gridCol w:w="60"/>
        <w:gridCol w:w="227"/>
        <w:gridCol w:w="132"/>
        <w:gridCol w:w="971"/>
        <w:gridCol w:w="321"/>
        <w:gridCol w:w="173"/>
        <w:gridCol w:w="211"/>
        <w:gridCol w:w="664"/>
        <w:gridCol w:w="60"/>
        <w:gridCol w:w="226"/>
        <w:gridCol w:w="140"/>
        <w:gridCol w:w="1260"/>
        <w:gridCol w:w="60"/>
        <w:gridCol w:w="227"/>
        <w:gridCol w:w="153"/>
        <w:gridCol w:w="1146"/>
        <w:gridCol w:w="290"/>
      </w:tblGrid>
      <w:tr>
        <w:trPr/>
        <w:tc>
          <w:tcPr>
            <w:tcW w:w="233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Potential Voting Power</w:t>
              <w:br/>
              <w:t>Dilution</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1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Shareholder Value Transfer (2)</w:t>
            </w:r>
          </w:p>
        </w:tc>
        <w:tc>
          <w:tcPr>
            <w:tcW w:w="290" w:type="dxa"/>
            <w:tcBorders/>
            <w:vAlign w:val="bottom"/>
          </w:tcPr>
          <w:p>
            <w:pPr>
              <w:pStyle w:val="TableContents"/>
              <w:bidi w:val="0"/>
              <w:spacing w:before="0" w:after="283"/>
              <w:jc w:val="left"/>
              <w:rPr/>
            </w:pPr>
            <w:r>
              <w:rPr/>
              <w:t> </w:t>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Dilution (1)</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Award</w:t>
              <w:br/>
              <w:t>Value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Shareholder</w:t>
              <w:br/>
              <w:t>Value</w:t>
              <w:br/>
              <w:t>Transfer</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As of May 2, 2026:</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Aggregate outstanding stock options, RSUs, PSUs and deferred stock</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5,007,188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4,256,110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available under 2016 plan</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2,923,313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b/>
                <w:sz w:val="18"/>
              </w:rPr>
            </w:pPr>
            <w:r>
              <w:rPr>
                <w:rFonts w:ascii="Times New Roman" w:hAnsi="Times New Roman"/>
                <w:b/>
                <w:sz w:val="18"/>
              </w:rPr>
              <w:t>New shares requested under 2016 plan (3)</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9.3</w:t>
            </w:r>
          </w:p>
        </w:tc>
        <w:tc>
          <w:tcPr>
            <w:tcW w:w="321"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64" w:type="dxa"/>
            <w:tcBorders/>
            <w:vAlign w:val="bottom"/>
          </w:tcPr>
          <w:p>
            <w:pPr>
              <w:pStyle w:val="TableContents"/>
              <w:bidi w:val="0"/>
              <w:spacing w:before="0" w:after="283"/>
              <w:jc w:val="right"/>
              <w:rPr>
                <w:b/>
              </w:rPr>
            </w:pPr>
            <w:r>
              <w:rPr>
                <w:b/>
              </w:rPr>
              <w:t>0.79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10,665,000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equity dilution including new shares (overhang)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22,207,584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15.2</w:t>
            </w:r>
          </w:p>
        </w:tc>
        <w:tc>
          <w:tcPr>
            <w:tcW w:w="3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 (new and available)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13,588,313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10.3</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17,844,423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13.5</w:t>
            </w:r>
          </w:p>
        </w:tc>
        <w:tc>
          <w:tcPr>
            <w:tcW w:w="290" w:type="dxa"/>
            <w:tcBorders/>
            <w:shd w:fill="CCEEFF" w:val="clear"/>
            <w:vAlign w:val="bottom"/>
          </w:tcPr>
          <w:p>
            <w:pPr>
              <w:pStyle w:val="TableContents"/>
              <w:bidi w:val="0"/>
              <w:spacing w:before="0" w:after="283"/>
              <w:jc w:val="left"/>
              <w:rPr/>
            </w:pPr>
            <w:r>
              <w:rPr/>
              <w:t>% </w:t>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Pro forma common shares outstanding assuming May 2, 2026 closing date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123,726,643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132,387,508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Dilution for the additional shares requested under the 2016 plan is calculated as the additional shares requested divided by the sum of shares of DXL’s pro forma common shares outstanding, outstanding stock options, deferred stock, PSUs and RSUs outstanding, shares remaining available for issuance under the 2016 plan and the additional shares requested. Overhang is calculated as the total equity dilution per the table divided by the sum of shares of DXL’s pro forma common shares outstanding, outstanding stock options, deferred stock and RSUs outstanding and shares remaining available for issuance under the 2016 plan and the additional shares requested.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Shareholder Value Transfer is the sum of the fair value of shares available for grant, shares outstanding under existing awards and new shares requested, the sum of which is then divided by the value of total shares of DXL’s pro forma common shares outstanding at January 31, 2026. The average award value for shares available under the 2016 plan and the new shares requested of $0.79 was calculated using the 200-day average stock price of the DXL common stock at March 1, 2026 of $1.07 divided by a fungible break-even ratio of 1.35.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dilution calculation assumes all shares granted from the 2016 plan are options or stock appreciation rights. However, if approved, each grant of a full-value award will utilize 1.5 shares from the share reserve. Therefore, if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13,500,000 shares requested were full-value awards, only 9.0 million actual shares would affect dilution to DXL stockholders, and the effect of dilution would approximately 6.4% in the table.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 History </w:t>
      </w:r>
    </w:p>
    <w:p>
      <w:pPr>
        <w:pStyle w:val="TextBody"/>
        <w:bidi w:val="0"/>
        <w:spacing w:before="120" w:after="0"/>
        <w:jc w:val="left"/>
        <w:rPr>
          <w:rFonts w:ascii="Times New Roman" w:hAnsi="Times New Roman"/>
          <w:sz w:val="20"/>
        </w:rPr>
      </w:pPr>
      <w:r>
        <w:rPr>
          <w:rFonts w:ascii="Times New Roman" w:hAnsi="Times New Roman"/>
          <w:sz w:val="20"/>
        </w:rPr>
        <w:t xml:space="preserve">DXL’s incentive-based compensation program is broad-based and not heavily concentrated to only its CEO and/or named executive officers. Based on the grant activity for the past three fiscal years, equity awards granted to DXL’s former CEO, exclusive of the PSUs that were granted to Mr. Kanter in fiscal 2023, in connection with his amended and extended employment agreement, were approximately 28.1% of all equity awards granted under the 2016 plan. Grants to DXL’s other named executive officers, excluding Mr. Kanter, represented approximately 22.3% of the total equity awards granted under the 2016 plan over the past three fiscal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95"/>
        <w:gridCol w:w="109"/>
        <w:gridCol w:w="1474"/>
        <w:gridCol w:w="60"/>
        <w:gridCol w:w="195"/>
        <w:gridCol w:w="109"/>
        <w:gridCol w:w="1458"/>
        <w:gridCol w:w="60"/>
        <w:gridCol w:w="195"/>
        <w:gridCol w:w="92"/>
        <w:gridCol w:w="1533"/>
        <w:gridCol w:w="60"/>
        <w:gridCol w:w="194"/>
        <w:gridCol w:w="139"/>
        <w:gridCol w:w="1025"/>
        <w:gridCol w:w="275"/>
        <w:gridCol w:w="137"/>
        <w:gridCol w:w="139"/>
        <w:gridCol w:w="1025"/>
        <w:gridCol w:w="281"/>
      </w:tblGrid>
      <w:tr>
        <w:trPr/>
        <w:tc>
          <w:tcPr>
            <w:tcW w:w="145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195"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Grants (1)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NEO</w:t>
              <w:br/>
              <w:t>Grants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Grants to</w:t>
              <w:br/>
              <w:t>All Participants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Ratio</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NEO Ratio</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488,264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387,973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1,714,473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101,760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84,259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21.7</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172,745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131,563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608,459</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21.6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2023, the grants to the former CEO exclude 573,000 performance stock units (PSUs) that were granted to Mr. Kanter in August 2023 in connection with his amended and extended employment agreement. These PSUs were forfeited on August 11, 2026 upon the termination of Mr. Kanter’s employment with DXL.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information with respect to DXL’s equity compensation plans as of May 2, 2026: </w:t>
      </w:r>
    </w:p>
    <w:p>
      <w:pPr>
        <w:pStyle w:val="TextBody"/>
        <w:bidi w:val="0"/>
        <w:spacing w:before="0" w:after="0"/>
        <w:jc w:val="left"/>
        <w:rPr/>
      </w:pPr>
      <w:r>
        <w:rPr/>
        <w:t> </w:t>
      </w:r>
    </w:p>
    <w:tbl>
      <w:tblPr>
        <w:tblW w:w="9150" w:type="dxa"/>
        <w:jc w:val="center"/>
        <w:tblInd w:w="0" w:type="dxa"/>
        <w:tblLayout w:type="fixed"/>
        <w:tblCellMar>
          <w:top w:w="0" w:type="dxa"/>
          <w:left w:w="0" w:type="dxa"/>
          <w:bottom w:w="0" w:type="dxa"/>
          <w:right w:w="0" w:type="dxa"/>
        </w:tblCellMar>
      </w:tblPr>
      <w:tblGrid>
        <w:gridCol w:w="995"/>
        <w:gridCol w:w="60"/>
        <w:gridCol w:w="154"/>
        <w:gridCol w:w="2521"/>
        <w:gridCol w:w="60"/>
        <w:gridCol w:w="60"/>
        <w:gridCol w:w="450"/>
        <w:gridCol w:w="1415"/>
        <w:gridCol w:w="60"/>
        <w:gridCol w:w="60"/>
        <w:gridCol w:w="60"/>
        <w:gridCol w:w="275"/>
        <w:gridCol w:w="155"/>
        <w:gridCol w:w="60"/>
        <w:gridCol w:w="156"/>
        <w:gridCol w:w="2549"/>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Plan category</w:t>
            </w:r>
          </w:p>
        </w:tc>
        <w:tc>
          <w:tcPr>
            <w:tcW w:w="6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 be</w:t>
            </w:r>
            <w:r>
              <w:rPr/>
              <w:br/>
            </w:r>
            <w:r>
              <w:rPr>
                <w:b/>
              </w:rPr>
              <w:t>issued upon exercise of</w:t>
            </w:r>
            <w:r>
              <w:rPr/>
              <w:br/>
            </w:r>
            <w:r>
              <w:rPr>
                <w:b/>
              </w:rPr>
              <w:t>outstanding options,</w:t>
            </w:r>
            <w:r>
              <w:rPr/>
              <w:br/>
            </w:r>
            <w:r>
              <w:rPr>
                <w:b/>
              </w:rPr>
              <w:t>warrants and rights</w:t>
            </w:r>
            <w:r>
              <w:rPr/>
              <w:br/>
            </w: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r>
              <w:rPr/>
              <w:br/>
            </w:r>
            <w:r>
              <w:rPr>
                <w:b/>
              </w:rPr>
              <w:t>(c)</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compensation plans approved by security holders (1)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plans not approved by security holders (3)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49" w:type="dxa"/>
            <w:tcBorders/>
            <w:vAlign w:val="bottom"/>
          </w:tcPr>
          <w:p>
            <w:pPr>
              <w:pStyle w:val="TableContents"/>
              <w:bidi w:val="0"/>
              <w:spacing w:before="0" w:after="283"/>
              <w:jc w:val="right"/>
              <w:rPr/>
            </w:pPr>
            <w:r>
              <w:rPr/>
              <w:t>511,477</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5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2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4,211,873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5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2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2,961,292 outstanding stock options, 830,465 outstanding RSUs, 573,000 outstanding PSUs and 642,431 outstanding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weighted-average exercise price is calculated solely based upon outstanding stock options and excludes RSUs, PSUs and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activity under the Director Plan. Pursuant to the Director Plan, DXL has 1,500,000 shares authorized for stock issuances in lieu of cash director fees, of which 511,477 shares were available at May 2,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Second Amended and Restated 2016 Incentive Compensation Plan, as Amended Effective ([XXX, XX,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2016 plan and is qualified in its entirety by reference to the full text of the 2016 plan as proposed to be amended, which is attached as Annex D to this proxy statement. The summary of the 2016 plan may not contain all the information that is important to you and you should read Annex D carefully before you decide how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2016 plan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DXL in attracting, motivating, retaining and rewarding high-quality executives and other employees, officers, directors, consultants and other persons who provide services to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persons participating in the 2016 plan to acquire or increase a proprietary interest in DXL in order to strengthen the mutuality of interests between them and DXL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persons participating in the plan with performance incentives to expend their maximum efforts in the creation of stockholder value.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Eligible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persons eligible to receive awards under the 2016 plan are DXL’s officers, directors, employees and consultants or other persons who provide services to DXL. An employee on leave of absence may be considered as still employed for purposes of eligibility for participation in the 2016 plan. As of the date of this proxy statement, there are approximately 30 employees (7 executive officers, 5 senior vice presidents and 18 vice presidents), 6 non-employee directors as well as service providers of DXL and its affiliates who would be eligible to participate in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selected the DXL compensation committee to administer the 2016 plan. All DXL compensation committee members must be “non-employee directors” as defined by Rule 16b-3 of the Exchange Act. The DXL Board may in its discretion elect to administer the 2016 plan, provided that it is administered only by those directors who are independent within the meaning of the 2016 plan. Subject to the terms of the 2016 plan, the DXL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The shares to be delivered under the 2016 plan may be authorized but unissued shares of DXL common stock or treasury shares. Under the 2016 plan, as proposed to be amended pursuant to this proposal 3, the total number of shares of DXL common stock that may be subject to the granting of awards under the 2016 plan shall be equal to the sum of (i) 34,245,000 shares, plus (ii) 525,538 shares that were available for issuance but not granted under the 2006 plan that rolled into the 2016 plan on August 4, 2016. As of May 2, 2026, 3,700,396 shares of DXL common stock remained available for issuance under the 2016 plan.</w:t>
      </w:r>
    </w:p>
    <w:p>
      <w:pPr>
        <w:pStyle w:val="TextBody"/>
        <w:bidi w:val="0"/>
        <w:spacing w:before="240" w:after="0"/>
        <w:jc w:val="left"/>
        <w:rPr>
          <w:rFonts w:ascii="Times New Roman" w:hAnsi="Times New Roman"/>
          <w:sz w:val="20"/>
        </w:rPr>
      </w:pPr>
      <w:r>
        <w:rPr>
          <w:rFonts w:ascii="Times New Roman" w:hAnsi="Times New Roman"/>
          <w:sz w:val="20"/>
        </w:rPr>
        <w:t xml:space="preserve">Shares issued in respect of any full-value award, such as restricted stock and RSUs, are counted against the share limit as 1.5 shares of stock for every one share issued. Each share issued in respect of stock options or stock appreciation rights (SARs) are counted against the share limit as one share of stock for every one share issued. </w:t>
      </w:r>
    </w:p>
    <w:p>
      <w:pPr>
        <w:pStyle w:val="TextBody"/>
        <w:bidi w:val="0"/>
        <w:spacing w:before="240" w:after="0"/>
        <w:jc w:val="left"/>
        <w:rPr>
          <w:rFonts w:ascii="Times New Roman" w:hAnsi="Times New Roman"/>
          <w:sz w:val="20"/>
        </w:rPr>
      </w:pPr>
      <w:r>
        <w:rPr>
          <w:rFonts w:ascii="Times New Roman" w:hAnsi="Times New Roman"/>
          <w:sz w:val="20"/>
        </w:rPr>
        <w:t>Any shares of stock that again become available for award under the 2016 plan shall be added as one share for every one share of stock options or SARs and 1.5 shares for every one full-value award.</w:t>
      </w:r>
    </w:p>
    <w:p>
      <w:pPr>
        <w:pStyle w:val="TextBody"/>
        <w:bidi w:val="0"/>
        <w:spacing w:before="240" w:after="0"/>
        <w:jc w:val="left"/>
        <w:rPr>
          <w:rFonts w:ascii="Times New Roman" w:hAnsi="Times New Roman"/>
          <w:sz w:val="20"/>
        </w:rPr>
      </w:pPr>
      <w:r>
        <w:rPr>
          <w:rFonts w:ascii="Times New Roman" w:hAnsi="Times New Roman"/>
          <w:sz w:val="20"/>
        </w:rPr>
        <w:t xml:space="preserve">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with respect to shares that are granted to replace outstanding awards or other similar rights that are assumed or replaced by awards under the 2016 plan pursuant to the acquisition of a business are not subject to, and do not count against, the foregoing limit.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increase in the share reserve described above, the maximum aggregate number of shares that may be delivered under the 2016 plan as a result of the exercise of ISOs is 34,245,000 shares. In addition, a director who is not an employee or a consultant may not be granted an award that has a fair value, as of the date of grant, which exceeds $300,000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DXL compensation committee is also authorized to adjust the limitations on the amount of certain awards in the event of any merger, consolidation or other reorganization in which DXL does not survive, or in the event of any change in control (as defined in the 2016 plan), by taking any of the following approaches, without the requirement of obtaining consent from any plan participant: (1) continuation of the outstanding awards by DXL, if DXL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Minimum Vesting Requirement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5% of the shares of common stock available for awards under the 2016 plan, no award will become exercisable or otherwise non-forfeitable unless such award has been outstanding for a minimum period of one year from its date of grant. The DXL compensation committee reserves the general discretion to accelerate vesting of awards in connection with the participant’s death, disability, termination of service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authorizes grants of a variety of awards described below. The DXL compensation committee, or the DXL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DXL compensation committee, consistent with the provisions of the 2016 plan. Each award agreement shall either be (i) in writing in a form approved by the DXL compensation committee and executed by DXL by an officer duly authorized to act on its behalf, or (ii) an electronic notice in a form approved by the DXL compensation committee and recorded by DXL in an electronic recordkeeping system used for tracking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and SARs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stock options, including both incentive stock options (“ISOs”) (which must comply with provisions of Section 422 of the Code and can result in potentially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DXL compensation committee, but must not be less than the fair market value of a share of common stock on the date of grant. The grant price of an SAR is determined by the DXL compensation committee, but must not be less than (i) the fair market value of a share of common stock on the date of grant or, (ii) in the case of an SAR issued in tandem with an ISO, the exercise price of the option granted in tandem with the SAR.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2016 plan, the term “fair market value” means the fair market value of the common stock, awards or other property as determined by the DXL compensation committee or under procedures established by the DXL compensation committee. Unless otherwise determined by the DXL compensation committee or the DXL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fair market value with respect to ISOs granted under the plan that become exercisable for the participant during any calendar year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each option or SAR, the times at which each option or SAR will be exercisable, and provisions requiring forfeiture of unexercised options or SARs at or following termination of employment or service generally are fixed by the DXL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DXL compensation committee may determine from time to time. The 2016 plan also permits net share settlement of nonqualified stock options. Methods of exercise and settlement and other terms of the SARs are determined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DXL compensation committee shall not be permitted to take any other action with respect to an option or SAR that may be treated as a repricing, in each case, without approval of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DXL compensation committee. A participant granted restricted stock generally has all of the rights of DXL stockholders, unless otherwise determined by the DXL compensation committee, and has the right to receive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Awards, including RSUs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Stock and Awards in Lieu of Cash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shares of common stock as a bonus free of restrictions, or to grant shares of common stock or other awards in lieu of DXL’s obligations to pay cash under the 2016 plan or other plans or compensatory arrangements, subject to such terms as the DXL compensation committee may specify.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DXL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DXL compensation committee has certified that the performance goals with respect to such performance award have been achieved for the relevant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DXL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DXL compensation committee. The amount of any performance awards to be distributed shall be conclusively determined by the DXL compensation committee. Performance awards may be paid in a lump sum or in installments following the close of an applicable performance period, or, in accordance with procedures established by the DXL compensation committee, on a deferred basis in a manner that does not violate the requirements of Section 409A of the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the 2016 plan, the DXL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DXL compensation committee at the time the goals are set, the DXL compensation committee shall exclude the impact of (i) restructurings, discontinued operations, extraordinary items, and other unusual or non-recurring charges, (ii) an event either not directly related to DXL’s operations or not within DXL’s reasonable control of management, (iii) a change in accounting standards required by generally accepted accounting principles, or (iv) any other item or event deemed advisable by the DXL compensation committee. Achievement of performance goals in respect of performance awards shall be measured over a performance period no shorter than 12 months and no longer than 5 years, as further specified by the DXL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granting performance awards, the DXL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DXL compensation committee will determine who will potentially receive performance awards for that performance period, either out of the pool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each performance period, the DXL compensation committee will determine (i) the amount of any pools and the maximum amount of potential performance awards payable to each participant in the pools and (ii) the amount of any other potential performance awards payable to participants in the 2016 plan. The DXL compensation committee may, in its discretion, determine that the amount payable as a performance award will be reduced from the amount of any potential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DXL’s performance or any other factors designated by the DXL compensation committee, and awards valued by reference to the book value of shares of common stock or the value of securities of or the performance of specified subsidiaries or business units. The DXL compensation committee determines the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of Awards </w:t>
      </w:r>
    </w:p>
    <w:p>
      <w:pPr>
        <w:pStyle w:val="TextBody"/>
        <w:bidi w:val="0"/>
        <w:spacing w:before="120" w:after="0"/>
        <w:jc w:val="left"/>
        <w:rPr>
          <w:rFonts w:ascii="Times New Roman" w:hAnsi="Times New Roman"/>
          <w:sz w:val="20"/>
        </w:rPr>
      </w:pPr>
      <w:r>
        <w:rPr>
          <w:rFonts w:ascii="Times New Roman" w:hAnsi="Times New Roman"/>
          <w:sz w:val="20"/>
        </w:rPr>
        <w:t xml:space="preserve">Awards may be settled in the form of cash, shares of common stock, other awards or other property, in the discretion of the DXL compensation committee. The DXL compensation committee may require or permit participants to defer the settlement of all or part of an award in accordance with such terms and conditions as the DXL compensation committee may establish, including payment or crediting of interest or dividend equivalents on deferred amounts, and the crediting of earnings, gains and losses based on deemed investment of deferred amounts in specified investment vehicles. The DXL compensation committee is authorized to place cash, shares of common stock or other property in trusts or make other arrangements to provide for payment of DXL’s obligations under the 2016 plan. The DXL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Awards under the 2016 plan are generally granted without a requirement that the participant pay consideration in the form of cash or property for the grant (as distinguished from the exercise), except to the extent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 on Repricing </w:t>
      </w:r>
    </w:p>
    <w:p>
      <w:pPr>
        <w:pStyle w:val="TextBody"/>
        <w:bidi w:val="0"/>
        <w:spacing w:before="120" w:after="0"/>
        <w:jc w:val="left"/>
        <w:rPr>
          <w:rFonts w:ascii="Times New Roman" w:hAnsi="Times New Roman"/>
          <w:sz w:val="20"/>
        </w:rPr>
      </w:pPr>
      <w:r>
        <w:rPr>
          <w:rFonts w:ascii="Times New Roman" w:hAnsi="Times New Roman"/>
          <w:sz w:val="20"/>
        </w:rPr>
        <w:t>As described above under “—</w:t>
      </w:r>
      <w:r>
        <w:rPr>
          <w:rFonts w:ascii="Times New Roman" w:hAnsi="Times New Roman"/>
          <w:i/>
          <w:sz w:val="20"/>
        </w:rPr>
        <w:t>Stock Options and SARs</w:t>
      </w:r>
      <w:r>
        <w:rPr>
          <w:rFonts w:ascii="Times New Roman" w:hAnsi="Times New Roman"/>
          <w:sz w:val="20"/>
        </w:rPr>
        <w:t xml:space="preserve">,” repricing of stock options and SARs is not permitted without stockholder approval. The DXL compensation committee may, however, grant awards in exchange for other awards under the 2016 plan or under other Company plans, or other rights to payment from DXL, and may grant awards in addition to such other awards, rights or other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Under the 2016 plan, no award can be pledged, hypothecated or otherwise encumbered or subject to any lien, obligation or liability of the participant to any party, or assigned or transferred by the participant other than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DXL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made under the 2016 plan shall be subject to the applicable provisions of DXL’s clawback or recoupment policies as may be in effect from time to time. In addition to the terms of DXL’s clawback policy, the 2016 plan provides that, if a participant, while employed by or providing services to DXL, or after termination of employment or service violates a non-competition, non-solicitation or non-disclosure covenant or agreement, or otherwise engages in activity that is in conflict with or adverse to the interest of DXL, as determined by the DXL compensation committee, then the participant’s awards under the 2016 plan may be forfeited and the DXL compensation committee may require the participant to pay to DXL all or any portion of the gain realized upon exercise or vesting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the 2016 plan provides that DXL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sz w:val="20"/>
        </w:rPr>
        <w:t>i.e</w:t>
      </w:r>
      <w:r>
        <w:rPr>
          <w:rFonts w:ascii="Times New Roman" w:hAnsi="Times New Roman"/>
          <w:sz w:val="20"/>
        </w:rPr>
        <w:t xml:space="preserve">., upon certain terminations of employment without “justifiable cause” or for “good reason” within 6 months before or 18 months after a change in control). In addition, the DXL compensation committee may provide in an award agreement that the performance goals relating to any performance-based award will be deemed to have been met upon the occurrence of any “change in control,” again upon a “double trigger” as described in this paragraph.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The DXL Board may amend, alter, suspend, discontinue or terminate the 2016 plan or the DXL compensation committee’s authority to grant awards without further stockholder approval, except stockholder approval must be obtained, no later than the next annual meeting following DXL Board approval for such amendment, for any amendment or alteration if such approval is required by law or regulation or under the rules of any stock exchange or quotation system on which shares of common stock are then listed or quoted. Thus, DXL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DXL Board may, in its discretion, seek stockholder approval in any circumstance in which it deems such approval advisable. Unless earlier terminated by the DXL Board, the 2016 plan will terminate at the earliest of (i) such time as no shares of common stock remain available for issuance under the 2016 plan or (ii) the tenth (10th) anniversary of the effective date.</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not qualified under the provisions of Section 401(a) of the Code and is not subject to any of the provisions of the Employee Retirement Income Security Act of 1974. The following is a brief summary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United States federal income tax consequences of awards under the 2016 plan. This summary is not intended to be exhaustive and does not describe state, local or foreign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DXL’s employee, that income will be subject to the withholding of Federal income tax. The optionee’s tax basis in those shares will be equal to their fair market value on the date of exercise of the option, and his/her holding period for those shares will begin on that date. </w:t>
      </w:r>
    </w:p>
    <w:p>
      <w:pPr>
        <w:pStyle w:val="TextBody"/>
        <w:bidi w:val="0"/>
        <w:spacing w:before="240" w:after="0"/>
        <w:jc w:val="left"/>
        <w:rPr>
          <w:rFonts w:ascii="Times New Roman" w:hAnsi="Times New Roman"/>
          <w:sz w:val="20"/>
        </w:rPr>
      </w:pPr>
      <w:r>
        <w:rPr>
          <w:rFonts w:ascii="Times New Roman" w:hAnsi="Times New Roman"/>
          <w:sz w:val="20"/>
        </w:rPr>
        <w:t xml:space="preserve">If an optionee pays for shares of stock on exercise of an option by delivering shares of DXL’s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 </w:t>
      </w:r>
    </w:p>
    <w:p>
      <w:pPr>
        <w:pStyle w:val="TextBody"/>
        <w:bidi w:val="0"/>
        <w:spacing w:before="240" w:after="0"/>
        <w:jc w:val="left"/>
        <w:rPr>
          <w:rFonts w:ascii="Times New Roman" w:hAnsi="Times New Roman"/>
          <w:sz w:val="20"/>
        </w:rPr>
      </w:pPr>
      <w:r>
        <w:rPr>
          <w:rFonts w:ascii="Times New Roman" w:hAnsi="Times New Roman"/>
          <w:sz w:val="20"/>
        </w:rPr>
        <w:t xml:space="preserve">DXL will be entitled to a deduction for Federal income tax purposes equal to the amount of ordinary income taxable to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for the grant of stock options that qualify as “incentive stock options” as defined in Section 422 of the Code, which DXL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DXL refers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however, an optionee disposes of a share acquired on exercise of an ISO before the end of the Required Holding Period, which DXL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 </w:t>
      </w:r>
    </w:p>
    <w:p>
      <w:pPr>
        <w:pStyle w:val="TextBody"/>
        <w:bidi w:val="0"/>
        <w:spacing w:before="240" w:after="0"/>
        <w:jc w:val="left"/>
        <w:rPr>
          <w:rFonts w:ascii="Times New Roman" w:hAnsi="Times New Roman"/>
          <w:sz w:val="20"/>
        </w:rPr>
      </w:pPr>
      <w:r>
        <w:rPr>
          <w:rFonts w:ascii="Times New Roman" w:hAnsi="Times New Roman"/>
          <w:sz w:val="20"/>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DXL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DXL is allowed a deduction in an amount equal to the ordinary income includible in income by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 </w:t>
      </w:r>
    </w:p>
    <w:p>
      <w:pPr>
        <w:pStyle w:val="TextBody"/>
        <w:bidi w:val="0"/>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 </w:t>
      </w:r>
    </w:p>
    <w:p>
      <w:pPr>
        <w:pStyle w:val="TextBody"/>
        <w:bidi w:val="0"/>
        <w:spacing w:before="240" w:after="0"/>
        <w:jc w:val="left"/>
        <w:rPr>
          <w:rFonts w:ascii="Times New Roman" w:hAnsi="Times New Roman"/>
          <w:sz w:val="20"/>
        </w:rPr>
      </w:pPr>
      <w:r>
        <w:rPr>
          <w:rFonts w:ascii="Times New Roman" w:hAnsi="Times New Roman"/>
          <w:sz w:val="20"/>
        </w:rPr>
        <w:t xml:space="preserve">In general, there will be no federal income tax deduction allowed to DXL upon the grant or termination of SARs. Upon the exercise of a SAR, however, DXL will be entitled to a deduction for federal income tax purposes equal to the amount of ordinary income that the employee is required to recognize as a result of the exercise, provided that the deduction is not otherwise disallowed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Awards </w:t>
      </w:r>
    </w:p>
    <w:p>
      <w:pPr>
        <w:pStyle w:val="TextBody"/>
        <w:bidi w:val="0"/>
        <w:spacing w:before="120" w:after="0"/>
        <w:jc w:val="left"/>
        <w:rPr>
          <w:rFonts w:ascii="Times New Roman" w:hAnsi="Times New Roman"/>
          <w:sz w:val="20"/>
        </w:rPr>
      </w:pPr>
      <w:r>
        <w:rPr>
          <w:rFonts w:ascii="Times New Roman" w:hAnsi="Times New Roman"/>
          <w:sz w:val="20"/>
        </w:rPr>
        <w:t xml:space="preserve">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dividend equivalent award will recognize ordinary compensation income at the time the dividend equivalent award is received equal to the fair market value of the dividend equivalent award received. DXL generally will be entitled to a deduction for federal income tax purposes equal to the amount of ordinary income that the employee is required to recognize as a result of the dividend equivalent award,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Consulting Tax Adviser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shares authorized for issuance under the 2016 plan pursuant to this proposal have been awarded, and no commitments to grant such awards have been made, other than shares required for director compensation as described below. Under DXL’s LTIPs, performance-based awards earned for the 2024–2026 LTIP and the 2025–2027 LTIP may be paid in cash, equity, or a combination thereof, at the discretion of the Compensation Committee. Assuming performance at target, the total award value for each LTIP would be approximately $2.4 million. The portion, if any, payable in equity cannot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estimated dollar value and number of equity units that could be issued for non-employee director compensation during the remainder of fiscal 2026, based on annual director elections and minimum equity ownership requirements: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2"/>
        <w:gridCol w:w="330"/>
        <w:gridCol w:w="256"/>
        <w:gridCol w:w="1506"/>
        <w:gridCol w:w="60"/>
        <w:gridCol w:w="330"/>
        <w:gridCol w:w="138"/>
        <w:gridCol w:w="1910"/>
        <w:gridCol w:w="63"/>
      </w:tblGrid>
      <w:tr>
        <w:trPr/>
        <w:tc>
          <w:tcPr>
            <w:tcW w:w="3162"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330"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Value ($)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 (1)</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 Former Chief Executive Officer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 Interim Chief Executive Officer (2)</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120,968</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 Chief Financial Officer and Treasurer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 Chief Stores and Real Estate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 General Counsel and Secretary</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 Chief Merchandising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Group, including NEOs</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120,968</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Non-Executive Officer Employee Group</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Non-Executive Director Group (3)</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122,250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197,177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number of shares that could be issued is based on the dollar value in the table above and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of shares that Mr. Conacher is entitled to receive pursuant to his offer letter through the end of fiscal 2026, assuming Mr. Conacher continues to serve as interim chief executive officer.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DXL’s directors as of August 3, 2026, the above represents the expected dollar value of compensation that will be required to be settled in shares of common stock or in shares of deferred stock through the end of fiscal 2026, assuming proposal 1 is not approved by stockholders. If proposal 1 is approved by stockholders, the non-employee directors of the combined company would be required to take 60% of the annual retainer in stock, under the current terms of the Director Plan. Assuming the board of directors of the combined company are in place for the fourth quarter payment and further assuming that seven of the eight non-employee directors would be subject to this requirement and one director would receive 100% of his compensation in shares of deferred stock, pursuant to his annual election, the estimated required equity for the remainder of fiscal 2026 would instead be $186,000.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3 by DXL stockholders is a separate vote from approval of the share issuance as contemplated by proposal 1 and the amendment to the restated certificate of incorporation to effect the reverse stock split as contemplated by proposal 2. Accordingly, DXL stockholders may vote for proposal 3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of the 2016 plan for DXL and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2016 plan proposal. Abstentions, the failure to vote, and broker non-votes, if any, will have no effect on the outcome of the 2016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2016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76201_72"/>
      <w:bookmarkEnd w:id="75"/>
      <w:r>
        <w:rPr>
          <w:rFonts w:ascii="Times New Roman" w:hAnsi="Times New Roman"/>
          <w:b/>
          <w:sz w:val="20"/>
        </w:rPr>
        <w:t xml:space="preserve">PROPOSAL 4 </w:t>
      </w:r>
    </w:p>
    <w:p>
      <w:pPr>
        <w:pStyle w:val="TextBody"/>
        <w:bidi w:val="0"/>
        <w:spacing w:before="12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shares of DXL common stock cast at the special meeting is insufficient to approve proposal 1 (the issuance proposal), proposal 2 (the reverse stock split proposal) or proposal 3 (the 2016 plan proposal), DXL may propose to adjourn or postpone the special meeting to a later date or dates to solicit additional proxies with respect to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This proposal is a procedural matter intended to provide flexibility in connection with the conduct of the special meeting and does not constitute a recommendation with respect to any other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this proposal, DXL could adjourn or postpone the special meeting, and any adjourned session of the special meeting, and use the additional time to solicit proxies, including proxies from stockholders who have previously voted. Approval of this proposal could also mean that, even if DXL receives proxies indicating a majority of votes cast at the special meeting will be voted against one or more of proposals 1, 2 or 3, DXL could adjourn or postpone the special meeting without a vote on those proposals and use the additional time to solicit proxies with respect to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or postponed, stockholders who have already submitted their proxies will be able to revoke them at any time before such proxies are voted at the reconvened special meeting. If the adjournment is for more than thirty (30) days, or if a new record date is fixed for the adjourned meeting, notice of the adjourned meeting will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DXL stockholders, DXL may not be able to adjourn or postpone the special meeting to a later date in the event there are insufficient votes at the time of the special meeting to approve one or more of proposals 1, 2 or 3, which could result in one or more proposals not being approved and, in the case of proposal 1, the merger not being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approval of the adjournment proposal. Abstentions, the failure to vote, and broker non-votes, if any, will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76201_73"/>
      <w:bookmarkEnd w:id="76"/>
      <w:r>
        <w:rPr>
          <w:rFonts w:ascii="Times New Roman" w:hAnsi="Times New Roman"/>
          <w:b/>
          <w:sz w:val="20"/>
        </w:rPr>
        <w:t xml:space="preserve">DXL’S BUSINESS </w:t>
      </w:r>
    </w:p>
    <w:p>
      <w:pPr>
        <w:pStyle w:val="TextBody"/>
        <w:bidi w:val="0"/>
        <w:spacing w:before="240" w:after="0"/>
        <w:jc w:val="left"/>
        <w:rPr>
          <w:rFonts w:ascii="Times New Roman" w:hAnsi="Times New Roman"/>
          <w:sz w:val="20"/>
        </w:rPr>
      </w:pPr>
      <w:r>
        <w:rPr>
          <w:rFonts w:ascii="Times New Roman" w:hAnsi="Times New Roman"/>
          <w:sz w:val="20"/>
        </w:rPr>
        <w:t>For a description of DXL’s business, please refer to the section entitled “</w:t>
      </w:r>
      <w:r>
        <w:rPr>
          <w:rFonts w:ascii="Times New Roman" w:hAnsi="Times New Roman"/>
          <w:i/>
          <w:sz w:val="20"/>
        </w:rPr>
        <w:t>Item 1. Business</w:t>
      </w:r>
      <w:r>
        <w:rPr>
          <w:rFonts w:ascii="Times New Roman" w:hAnsi="Times New Roman"/>
          <w:sz w:val="20"/>
        </w:rPr>
        <w:t xml:space="preserve">” set forth in DXL’s Annual Report on Form 10-K for the fiscal year ended January 31, 2026 as filed with the SEC on March 19,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76201_74"/>
      <w:bookmarkEnd w:id="77"/>
      <w:r>
        <w:rPr>
          <w:rFonts w:ascii="Times New Roman" w:hAnsi="Times New Roman"/>
          <w:b/>
          <w:sz w:val="20"/>
        </w:rPr>
        <w:t xml:space="preserve">DXL’S EXECUTIVE COMPENSATION </w:t>
      </w:r>
    </w:p>
    <w:p>
      <w:pPr>
        <w:pStyle w:val="TextBody"/>
        <w:bidi w:val="0"/>
        <w:spacing w:before="240" w:after="0"/>
        <w:jc w:val="left"/>
        <w:rPr>
          <w:rFonts w:ascii="Times New Roman" w:hAnsi="Times New Roman"/>
          <w:sz w:val="20"/>
        </w:rPr>
      </w:pPr>
      <w:r>
        <w:rPr>
          <w:rFonts w:ascii="Times New Roman" w:hAnsi="Times New Roman"/>
          <w:sz w:val="20"/>
        </w:rPr>
        <w:t>For a description of DXL’s executive compensation, please refer to the section entitled “</w:t>
      </w:r>
      <w:r>
        <w:rPr>
          <w:rFonts w:ascii="Times New Roman" w:hAnsi="Times New Roman"/>
          <w:i/>
          <w:sz w:val="20"/>
        </w:rPr>
        <w:t>Item 11. Executive Compensation</w:t>
      </w:r>
      <w:r>
        <w:rPr>
          <w:rFonts w:ascii="Times New Roman" w:hAnsi="Times New Roman"/>
          <w:sz w:val="20"/>
        </w:rPr>
        <w:t xml:space="preserve">” set forth in DXL’s Annual Report on Form 10-K/A for the fiscal year ended January 31, 2026 as filed with the SEC on May 26,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76201_75"/>
      <w:bookmarkEnd w:id="78"/>
      <w:r>
        <w:rPr>
          <w:rFonts w:ascii="Times New Roman" w:hAnsi="Times New Roman"/>
          <w:b/>
          <w:sz w:val="20"/>
        </w:rPr>
        <w:t xml:space="preserve">FBB’S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Business section to “FullBeauty Brands,” the “Company,” “we,” “us,” “our” and other similar terms collectively refer to FBB Holdings I,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FullBeauty Brands is one of the largest U.S. pure-play direct-to-consumer operators focused exclusively on the plus-size and extended plus-size women’s and big and tall men’s apparel markets. We are mission led, serving underserved customer segments that we believe remain underpenetrated by traditional retailers. We operate a scaled, multi-brand portfolio supported by a centralized, shared-services platform that integrates merchandising, sourcing, marketing, technology and fulfillment. With a heritage spanning over a century (see “—</w:t>
      </w:r>
      <w:r>
        <w:rPr>
          <w:rFonts w:ascii="Times New Roman" w:hAnsi="Times New Roman"/>
          <w:i/>
          <w:sz w:val="20"/>
        </w:rPr>
        <w:t>Our History</w:t>
      </w:r>
      <w:r>
        <w:rPr>
          <w:rFonts w:ascii="Times New Roman" w:hAnsi="Times New Roman"/>
          <w:sz w:val="20"/>
        </w:rPr>
        <w:t xml:space="preserve">” below), we have developed deep expertise in fit engineering, grading, and size-inclusive product design. We believe our long-standing dedication to, and deep understanding of, our customer provides a true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FullBeauty Brands is a portfolio of differentiated yet complementary brands, comprising more than 15 owned and licensed primary brands. Our products are offered under the brands Woman Within®, Roaman’s®, Catherines®, Jessica London®, Ellos®, Joe Browns®, Avenue®, SwimsuitsForAll®, KingSize®, Eloquii®, CUUP®, Dia &amp; Co®, BrylaneHome® and June &amp; Vie®. FullBeauty Brands operates internet sites for each of the brands as well as a dedicated plus-size online marketplace, </w:t>
      </w:r>
      <w:r>
        <w:rPr>
          <w:rFonts w:ascii="Times New Roman" w:hAnsi="Times New Roman"/>
          <w:i/>
          <w:sz w:val="20"/>
        </w:rPr>
        <w:t>onestopplus.com</w:t>
      </w:r>
      <w:r>
        <w:rPr>
          <w:rFonts w:ascii="Times New Roman" w:hAnsi="Times New Roman"/>
          <w:sz w:val="20"/>
        </w:rPr>
        <w:t xml:space="preserve">, which offers a distinct blend of our original products and third-party brands. Other category-specific marketplaces that we operate on our online platform include Dia Shop, ShoesforAll®, IntimatesforAll®, ActiveforAll® and FullBeauty Outlet®. Additionally, we sell our products through third-party online marketplaces, such as Amazon, Walmart, Target, Kohl’s, Nordstrom, Macy’s, Lowes and eBay, expanding our customer reach. Each of our brands provides a solution targeted to specific needs of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3640" cy="216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23640" cy="2169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focus on the intersection of extended-size apparel and the direct-to-consumer sales channel, which based on industry data, we believe positions us within an estimated $143.6 billion total addressable market (“TAM”) as of 2025. </w:t>
      </w:r>
    </w:p>
    <w:p>
      <w:pPr>
        <w:pStyle w:val="TextBody"/>
        <w:bidi w:val="0"/>
        <w:spacing w:before="240" w:after="0"/>
        <w:jc w:val="left"/>
        <w:rPr>
          <w:rFonts w:ascii="Times New Roman" w:hAnsi="Times New Roman"/>
          <w:sz w:val="20"/>
        </w:rPr>
      </w:pPr>
      <w:r>
        <w:rPr>
          <w:rFonts w:ascii="Times New Roman" w:hAnsi="Times New Roman"/>
          <w:sz w:val="20"/>
        </w:rPr>
        <w:t>Within this TAM, we focus on two primary customer groups: the Older Generation X and Baby Boomer demographic, and the Millennial and Younger Generation X demographic. We organize our brand portfolio and digital environments to address the distinct preferences and purchasing behaviors of each group. See “—</w:t>
      </w:r>
      <w:r>
        <w:rPr>
          <w:rFonts w:ascii="Times New Roman" w:hAnsi="Times New Roman"/>
          <w:i/>
          <w:sz w:val="20"/>
        </w:rPr>
        <w:t>Our Strategy</w:t>
      </w:r>
      <w:r>
        <w:rPr>
          <w:rFonts w:ascii="Times New Roman" w:hAnsi="Times New Roman"/>
          <w:sz w:val="20"/>
        </w:rPr>
        <w:t xml:space="preserve">” for additional detail on our multi-demographic segmentation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focus on the underserved plus-size market in the United States gives us niche expertise and significant insight into serving this demographic. We employ an integrated team, comprised of highly experienced merchants and technical product and creative designers, who work together to create and deliver an unmatched, well-fitting assortment. Our comfortable, trend-right merchandise is designed to address a variety of lifestyle needs ranging from casual and social wear to career, activewear and swimwear, all at affordable prices. Our well-honed e-commerce platform and distribution capabilities afford us the flexibility to offer one of the largest selections of styles and sizes of any plus-size company, with an assortment of over 225,000 SKUs. We believe the expertise and experience that comes from our plus-size centric approach has enabled us to achieve strong customer repurchase rates and a low merchandise return rate of 14%. </w:t>
      </w:r>
    </w:p>
    <w:p>
      <w:pPr>
        <w:pStyle w:val="TextBody"/>
        <w:bidi w:val="0"/>
        <w:spacing w:before="240" w:after="0"/>
        <w:jc w:val="left"/>
        <w:rPr>
          <w:rFonts w:ascii="Times New Roman" w:hAnsi="Times New Roman"/>
          <w:sz w:val="20"/>
        </w:rPr>
      </w:pPr>
      <w:r>
        <w:rPr>
          <w:rFonts w:ascii="Times New Roman" w:hAnsi="Times New Roman"/>
          <w:sz w:val="20"/>
        </w:rPr>
        <w:t>We operate a highly efficient, online-focused business model. Our data-driven marketing capabilities, multi-brand platform and proprietary fit expertise work together to drive customer acquisition, retention and lifetime value see “—</w:t>
      </w:r>
      <w:r>
        <w:rPr>
          <w:rFonts w:ascii="Times New Roman" w:hAnsi="Times New Roman"/>
          <w:i/>
          <w:sz w:val="20"/>
        </w:rPr>
        <w:t>Our Strategy</w:t>
      </w:r>
      <w:r>
        <w:rPr>
          <w:rFonts w:ascii="Times New Roman" w:hAnsi="Times New Roman"/>
          <w:sz w:val="20"/>
        </w:rPr>
        <w:t>” below. Our online direct-to-consumer platform currently generates approximately 80% of our net sales, or $575.9 million in fiscal year 2025. As an online platform business, we have a capital-efficient business model that requires low capital expenditure and delivers strong cash flow generation. See “—</w:t>
      </w:r>
      <w:r>
        <w:rPr>
          <w:rFonts w:ascii="Times New Roman" w:hAnsi="Times New Roman"/>
          <w:i/>
          <w:sz w:val="20"/>
        </w:rPr>
        <w:t>Our Strategy”</w:t>
      </w:r>
      <w:r>
        <w:rPr>
          <w:rFonts w:ascii="Times New Roman" w:hAnsi="Times New Roman"/>
          <w:sz w:val="20"/>
        </w:rPr>
        <w:t xml:space="preserve"> for additional detail on our platform model, marketing capabilities and acquisition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We like to say we were size inclusive before anyone was looking. We have been engaged in the sale of plus-size women’s apparel for decades, first serving our customers as the Lane Bryant catalog (later evolving into our Woman Within brand) and today through our proprietary and affiliated brands that all service our size inclusivity mission. In February 2013, we were acquired by a group of investors led by Charlesbank Capital Partners and Webster Capital and organized as a Delaware corporation. In early 2015, we rebranded our company as FullBeauty Brands. </w:t>
      </w:r>
    </w:p>
    <w:p>
      <w:pPr>
        <w:pStyle w:val="TextBody"/>
        <w:bidi w:val="0"/>
        <w:spacing w:before="240" w:after="0"/>
        <w:jc w:val="left"/>
        <w:rPr>
          <w:rFonts w:ascii="Times New Roman" w:hAnsi="Times New Roman"/>
          <w:sz w:val="20"/>
        </w:rPr>
      </w:pPr>
      <w:r>
        <w:rPr>
          <w:rFonts w:ascii="Times New Roman" w:hAnsi="Times New Roman"/>
          <w:sz w:val="20"/>
        </w:rPr>
        <w:t xml:space="preserve">We pride ourselves on sharing a heritage built by the founding mothers of inclusive sizing. In 1901, Lena Bryant founded the direct-to-consumer business that would become Lane Bryant in 1904 with the recognition that a lot of women did not conform to the sizes carried by retail stores, so she created great-fitting stylish clothes that served their needs and became the world’s first and foremost plus-size women’s apparel business. Focused on essentially the same mission, Roaman’s was founded in 1942 by Evelyn Roaman, and Catherines was founded in 1960 by Catherine Weaver, who both sought to bring style, beauty and confidence to women whose fashion choices were limited. In delivering on its mission, FullBeauty continues this legacy by satisfying not simply its customers’ needs but also their wants – every woman wants (and deserves) to feel beautiful and well-dressed, no matter her size. For more than a century, we have remained true to this mission and continue to provide quality plus-size products at affordable prices, while delivering our unparalleled expertise in this underserved segment.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Female consumers in the plus-size (14W-22W) (46%) and extended plus-size (24W+) (23%) markets comprise 69% of the adult U.S. female population. Extended plus-size outpaced total female population growth by 9.2 times with a 5.4% CAGR from 2015 to 2025. Further, the plus and extended plus-size female population is expected to remain relatively stable in the next 10 years. Direct-to-consumer market share of the plus-size apparel market grew from 25% in 2015 to 37% in 2025. </w:t>
      </w:r>
    </w:p>
    <w:p>
      <w:pPr>
        <w:pStyle w:val="TextBody"/>
        <w:bidi w:val="0"/>
        <w:spacing w:before="240" w:after="0"/>
        <w:jc w:val="left"/>
        <w:rPr>
          <w:rFonts w:ascii="Times New Roman" w:hAnsi="Times New Roman"/>
          <w:sz w:val="20"/>
        </w:rPr>
      </w:pPr>
      <w:r>
        <w:rPr>
          <w:rFonts w:ascii="Times New Roman" w:hAnsi="Times New Roman"/>
          <w:sz w:val="20"/>
        </w:rPr>
        <w:t xml:space="preserve">Male consumers in the big and tall XL-2XL (42%) and 3XL+ (16%) markets comprise 57% of the adult U.S. male population. 3XL+ outpaced total male population growth by 6 times with a 4.0% CAGR from 2015 to 2025. Further, the big and tall male population is projected to grow from 57% to 61% of the total male population in the next 10 years. Direct-to-consumer market share of the big and tall market grew from 30% in 2015 to 35% in 2025, while brick and mortar companies’ market share shrank from 70% to 65%. FullBeauty operates in a growing plus-size apparel, direct-to-consumer segment. Our apparel assortments offer extended sizes through size 44W for women and size 10XL for men, whereas our competition generally does not extend past size 24W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women. We recognize that evolving health trends, including increased adoption of GLP-1 and other weight management medications, may influence apparel purchasing behavior and size demand patterns over time. We believe our broad-size architecture and proprietary fit expertise position us to serve customers across a range of sizing needs, including those with changing size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2025, we had a 0.9% market share of the $73.7 billion total women’s plus-size market, and a 2.4% market share of the $27.5 billion total direct-to-consumer women’s plus-size market. As of 2025, we had a 0.1% market share of the $69.9 billion total men’s big and tall market and a 0.4% market share of the $24.2 billion direct-to-consumer, men’s big and tall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to grow market share within a large and structurally underpenetrated market by leveraging our scaled, multi-brand, direct-to-consumer platform and proprietary fit expertise to acquire, retain and develop plus-size and extended plus-size customers across demographic segments, product categories and distribution channels. We pursue this objective through five interconnected strategic pillars. </w:t>
      </w:r>
    </w:p>
    <w:p>
      <w:pPr>
        <w:pStyle w:val="TextBody"/>
        <w:bidi w:val="0"/>
        <w:spacing w:before="240" w:after="0"/>
        <w:jc w:val="left"/>
        <w:rPr>
          <w:rFonts w:ascii="Times New Roman" w:hAnsi="Times New Roman"/>
          <w:sz w:val="20"/>
        </w:rPr>
      </w:pPr>
      <w:r>
        <w:rPr>
          <w:rFonts w:ascii="Times New Roman" w:hAnsi="Times New Roman"/>
          <w:i/>
          <w:sz w:val="20"/>
        </w:rPr>
        <w:t>Multi-Brand Platform and Customer Value Development.</w:t>
      </w:r>
      <w:r>
        <w:rPr>
          <w:rFonts w:ascii="Times New Roman" w:hAnsi="Times New Roman"/>
          <w:sz w:val="20"/>
        </w:rPr>
        <w:t xml:space="preserve"> The central element of our growth strategy is driving customers to purchase across multiple brands and product categories on our integrated platform. Our Universal Cart technology enables customers entering any one of our brand websites to cross-shop all of our brands within a single session and check out in a single transaction, generally receiving one consolidated shipment. We design and develop the majority of our apparel in-house, and substantially all of our product assortment is proprietary to or exclusive to our brands. We believe this product exclusivity, combined with our specialized fit expertise, reinforces customer loyalty and supports strong margins. This dynamic is most pronounced among our extended plus-size customers — those purchasing sizes 2X and above — who represent approximately 45% of our active customers but generate approximately 63% of our active customer sales. Because fit precision matters most at extended sizes, where generalist retailers offer the fewest alternatives, our proprietary fit blocks and grading expertise create a beneficial cycle: initial fit satisfaction drives repeat purchasing, which in turn drives multi-brand and multi-category adoption. Our customers who have purchased four or more times over their lifetime account for approximately 91% of active customer sales and exhibit meaningfully higher rebuy rates, order frequency and average order values. Multi-brand customers generate approximately 3.0 times the demand of single-brand customers, and customers who purchase across multiple categories — for example, apparel together with intimates, swimwear and footwear — generate meaningfully higher lifetime value than single-category purchasers. Today, approximately 21% of our customers shop across multiple brands, accounting for approximately 45% of our revenue. We believe increasing multi-brand and multi-category penetration across our active customer base represents our most significant organic growth opportunity. </w:t>
      </w:r>
    </w:p>
    <w:p>
      <w:pPr>
        <w:pStyle w:val="TextBody"/>
        <w:bidi w:val="0"/>
        <w:spacing w:before="240" w:after="0"/>
        <w:jc w:val="left"/>
        <w:rPr>
          <w:rFonts w:ascii="Times New Roman" w:hAnsi="Times New Roman"/>
          <w:sz w:val="20"/>
        </w:rPr>
      </w:pPr>
      <w:r>
        <w:rPr>
          <w:rFonts w:ascii="Times New Roman" w:hAnsi="Times New Roman"/>
          <w:i/>
          <w:sz w:val="20"/>
        </w:rPr>
        <w:t>Multi-Demographic Segmentation.</w:t>
      </w:r>
      <w:r>
        <w:rPr>
          <w:rFonts w:ascii="Times New Roman" w:hAnsi="Times New Roman"/>
          <w:sz w:val="20"/>
        </w:rPr>
        <w:t xml:space="preserve"> We organize our brand portfolio and digital environments around two primary demographic segments to address a combined estimated $143.6 billion TAM. Our “Classic Mall” digital platform — anchored by Woman Within, Roaman’s, Catherines, Jessica London, Ellos, KingSize, BrylaneHome and related marketplace sites — serves the Older Generation X and Baby Boomer demographic, which represents our largest and most established revenue base, with the highest customer retention and repeat purchase rates across our portfolio. Our “New Mall” digital marketplace — featuring Eloquii, CUUP, Avenue, Dia &amp; Co, June &amp; Vie, and SwimsuitsForAll — targets the Millennial and Younger Generation X demographic, where our current market share is lower but where we see significant opportunity to replicate the loyalty dynamics we have built in our Classic Mall customer base. Each environment is curated with distinct brand positioning, editorial content and marketing strategies tailored to the preferences and purchasing behaviors of its target customer. </w:t>
      </w:r>
    </w:p>
    <w:p>
      <w:pPr>
        <w:pStyle w:val="TextBody"/>
        <w:bidi w:val="0"/>
        <w:spacing w:before="240" w:after="0"/>
        <w:jc w:val="left"/>
        <w:rPr>
          <w:rFonts w:ascii="Times New Roman" w:hAnsi="Times New Roman"/>
          <w:sz w:val="20"/>
        </w:rPr>
      </w:pPr>
      <w:r>
        <w:rPr>
          <w:rFonts w:ascii="Times New Roman" w:hAnsi="Times New Roman"/>
          <w:i/>
          <w:sz w:val="20"/>
        </w:rPr>
        <w:t>Data-Driven Customer Acquisition, Retention and Lifetime Value Optimization.</w:t>
      </w:r>
      <w:r>
        <w:rPr>
          <w:rFonts w:ascii="Times New Roman" w:hAnsi="Times New Roman"/>
          <w:sz w:val="20"/>
        </w:rPr>
        <w:t xml:space="preserve"> As permitted by applicable law and our policies, we collect first-party data on our customers. Our analytics teams leverage this data to personalize marketing across digital and print channels, optimize acquisition spend in real time and build predictive models for customer lifetime value investment. A distinctive element of our marketing platform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integration of data-driven print catalog marketing with our digital marketing channels. We design and produce branded catalogs in-house, and our analytics capabilities enable us to target catalog distribution to specific customer segments based on predicted response rates and lifetime value. This integrated print and digital model drives incremental customer engagement and website traffic at attractive returns, and is a capability that few direct-to-consumer operators maintain at similar scale. In fiscal year 2025, approximately 69% of newly acquired customers were profitable on their first order, our 12-month sales retention rate was approximately 60%, and approximately 76% of our active customers are multi-purchase buyers. We further support customer engagement through our private label and co-branded credit card programs and our membership rewards program, which collectively drive repeat purchase frequency and higher average order values. </w:t>
      </w:r>
    </w:p>
    <w:p>
      <w:pPr>
        <w:pStyle w:val="TextBody"/>
        <w:bidi w:val="0"/>
        <w:spacing w:before="240" w:after="0"/>
        <w:jc w:val="left"/>
        <w:rPr>
          <w:rFonts w:ascii="Times New Roman" w:hAnsi="Times New Roman"/>
          <w:sz w:val="20"/>
        </w:rPr>
      </w:pPr>
      <w:r>
        <w:rPr>
          <w:rFonts w:ascii="Times New Roman" w:hAnsi="Times New Roman"/>
          <w:i/>
          <w:sz w:val="20"/>
        </w:rPr>
        <w:t>Expanding Distribution Through Third-Party Marketplaces.</w:t>
      </w:r>
      <w:r>
        <w:rPr>
          <w:rFonts w:ascii="Times New Roman" w:hAnsi="Times New Roman"/>
          <w:sz w:val="20"/>
        </w:rPr>
        <w:t xml:space="preserve"> While our owned e-commerce websites remain our primary sales channel, we are actively expanding our presence on third-party digital marketplaces to extend customer reach and support new customer acquisition. We currently sell products through Amazon, Walmart, Target, Kohl’s, Nordstrom, Macy’s, eBay, and other marketplace partners, and during 2025 we added a number of new marketplace relationships. These channels allow us to introduce our brands to customers who may not be aware of our owned platforms. Once acquired, we seek to migrate marketplace customers into our direct ecosystem, where we can develop multi-brand, multi-category relationships and higher lifetime value over time. </w:t>
      </w:r>
    </w:p>
    <w:p>
      <w:pPr>
        <w:pStyle w:val="TextBody"/>
        <w:bidi w:val="0"/>
        <w:spacing w:before="240" w:after="0"/>
        <w:jc w:val="left"/>
        <w:rPr>
          <w:rFonts w:ascii="Times New Roman" w:hAnsi="Times New Roman"/>
          <w:sz w:val="20"/>
        </w:rPr>
      </w:pPr>
      <w:r>
        <w:rPr>
          <w:rFonts w:ascii="Times New Roman" w:hAnsi="Times New Roman"/>
          <w:i/>
          <w:sz w:val="20"/>
        </w:rPr>
        <w:t>Scalable Platform, Capital Efficiency and Disciplined Acquisition Strategy.</w:t>
      </w:r>
      <w:r>
        <w:rPr>
          <w:rFonts w:ascii="Times New Roman" w:hAnsi="Times New Roman"/>
          <w:sz w:val="20"/>
        </w:rPr>
        <w:t xml:space="preserve"> Our centralized, shared-services infrastructure — spanning sourcing, merchandising, technology, marketing, fulfillment and customer care — is designed to generate operating leverage as revenue scales and to serve as an integration accelerator for brand acquisitions. Since 2020, we have acquired five brands — Catherines, CUUP, Eloquii, Dia &amp; Co and Avenue — and integrated each onto our common platform with limited incremental fixed cost. As an online-focused platform business, we require relatively low capital expenditure. Our merchandise strategy reinforces this financial profile: approximately 80% of our product sales are generated from core, wardrobe replenishment-oriented styles that carry over across seasons, which reduces fashion risk, improves inventory visibility and supports margin stability. We intend to continue selectively pursuing tuck-in acquisitions of complementary inclusive-size brands that can benefit from our platform capabilities, provided such acquisitions meet our return requirements and can be funded from operating cash flow. We believe the combination of our fit expertise, our position in the extended plus-size segment — where we offer the widest size range among our peers — and our multi-brand platform creates meaningful barriers to entry that support durable customer relationships even as health and wellness trends, including the growing adoption of GLP-1 medications, continue to evolve consumer behavior and apparel purchasing patterns. </w:t>
      </w:r>
    </w:p>
    <w:p>
      <w:pPr>
        <w:pStyle w:val="TextBody"/>
        <w:bidi w:val="0"/>
        <w:spacing w:before="360" w:after="0"/>
        <w:jc w:val="left"/>
        <w:rPr>
          <w:rFonts w:ascii="Times New Roman" w:hAnsi="Times New Roman"/>
          <w:b/>
          <w:sz w:val="20"/>
        </w:rPr>
      </w:pPr>
      <w:r>
        <w:rPr>
          <w:rFonts w:ascii="Times New Roman" w:hAnsi="Times New Roman"/>
          <w:b/>
          <w:sz w:val="20"/>
        </w:rPr>
        <w:t xml:space="preserve">Merchandising and Inventory </w:t>
      </w:r>
    </w:p>
    <w:p>
      <w:pPr>
        <w:pStyle w:val="TextBody"/>
        <w:bidi w:val="0"/>
        <w:spacing w:before="120" w:after="0"/>
        <w:jc w:val="left"/>
        <w:rPr>
          <w:rFonts w:ascii="Times New Roman" w:hAnsi="Times New Roman"/>
          <w:sz w:val="20"/>
        </w:rPr>
      </w:pPr>
      <w:r>
        <w:rPr>
          <w:rFonts w:ascii="Times New Roman" w:hAnsi="Times New Roman"/>
          <w:sz w:val="20"/>
        </w:rPr>
        <w:t xml:space="preserve">Approximately 56% of our net sales are women’s apparel with intimates 15%, men’s 14%, shoes 6%, swim 5% and home décor 5%, making up the balance. We focus primarily on providing original products, particularly in apparel where the majority of our assortment is exclusive to our brands. We augment our selection with certain third-party branded intimates, footwear and menswear that resonate with our core customer. </w:t>
      </w:r>
    </w:p>
    <w:p>
      <w:pPr>
        <w:pStyle w:val="TextBody"/>
        <w:bidi w:val="0"/>
        <w:spacing w:before="240" w:after="0"/>
        <w:jc w:val="left"/>
        <w:rPr>
          <w:rFonts w:ascii="Times New Roman" w:hAnsi="Times New Roman"/>
          <w:sz w:val="20"/>
        </w:rPr>
      </w:pPr>
      <w:r>
        <w:rPr>
          <w:rFonts w:ascii="Times New Roman" w:hAnsi="Times New Roman"/>
          <w:sz w:val="20"/>
        </w:rPr>
        <w:t xml:space="preserve">Our competitive differentiation begins with fit. Designing for extended sizes requires specialized patternmaking, grading, and fabric selection expertise that differs meaningfully from straight-size apparel design. Our technical design teams develop proprietary fit blocks across multiple body shapes and size ranges, enabling us to deliver consistency and comfort at scale. We believe this technical expertise — developed over decades — represents a meaningful competitive advantage versus retailers that simply extend straight-size patterns. Our product development capabilities extend beyond fit to include category-specific innovation across our assortment. In intimates, we engineer proprietary comfort and support features designed specifically for extended sizes. In footwear, we develop products with extended widths and comfort technologies not widely available from other retailers. Across our apparel brands, we incorporate performance fabrics and functional design elements — such as stretch, moisture-wicking and comfort waistband technologies — that address the specific needs of our customer. We believe this depth of product innovation reinforces the loyalty of our core customer base and supports category expansion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merchandising strategy focuses on customer satisfaction through fit, style and quality, yielding FullBeauty a strong 48% repurchase rate in 2025 (i.e., the percentage of customers who transacted on our platform in the prior fiscal year and in the current fiscal year). Our merchandise assortments are offered across a broad size range of plus and extended plus-sizes, and many of our brands complement our apparel offerings with accessories such as jewelry, handbags and footwear for a coordinated look. Products range across casual, social, and vacation wear, as well as technical categories including lingerie, swimwear, and footwear. </w:t>
      </w:r>
    </w:p>
    <w:p>
      <w:pPr>
        <w:pStyle w:val="TextBody"/>
        <w:bidi w:val="0"/>
        <w:spacing w:before="240" w:after="0"/>
        <w:jc w:val="left"/>
        <w:rPr>
          <w:rFonts w:ascii="Times New Roman" w:hAnsi="Times New Roman"/>
          <w:sz w:val="20"/>
        </w:rPr>
      </w:pPr>
      <w:r>
        <w:rPr>
          <w:rFonts w:ascii="Times New Roman" w:hAnsi="Times New Roman"/>
          <w:sz w:val="20"/>
        </w:rPr>
        <w:t xml:space="preserve">We design and develop the majority of our apparel in-house. Our merchandising teams build an overall vision that guides the design and development of our seasonal merchandise assortment, drawing on their experience and consistent study of prevailing market trends. Once our merchandise assortment is selected, our inventory planning teams determine the quantities of each item to purchase in order to meet anticipated demand. To do so, the inventory planning teams analyze information such as historical sales, planned merchandise presentation, and sales projections. We monitor inventory levels on an ongoing basis and use markdowns to clear merchandise as needed. While most inventories are cleared through our own sales channels, certain residual inventory may be liquidated through third-party marketplaces and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various brands within FullBeauty generally incorporate on-site photography and real-life settings, coupled with related editorial content describing the merchandise and depicting situations in which it may be used. Our websites serve as integrated storefronts that combine product listings with editorial content to support and enhance the customer shopping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We procure our merchandise globally from a balanced and diversified manufacturing network. We seek to manufacture our merchandise with vendors whom we believe can deliver the best quality, price and delivery terms. We maintain policies applicable to our vendors that promote ethical business practices and we engage third-party compliance auditors who periodically visit and monitor the operations of our vendors. We have a sourcing team that manages merchandise procurement and production management, both directly and through the utilization of agents in select countries. In 2025, our apparel sourcing was geographically balanced with 49% from Pakistan, Bangladesh and India, 36% from China, 9% from Africa, and 6% from other countries in Asia. We maintain policies applicable to our vendors that promote ethical business practices and we engage third-party compliance auditors who periodically visit and monitor the operations of our vendors. See “</w:t>
      </w:r>
      <w:r>
        <w:rPr>
          <w:rFonts w:ascii="Times New Roman" w:hAnsi="Times New Roman"/>
          <w:i/>
          <w:sz w:val="20"/>
        </w:rPr>
        <w:t>Risks Related to FBB—Our business is subject to risks associated with global sourcing and manufacturing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and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a driver of long-term business resiliency and growth, we are committed to conducting our business in an environmentally and socially responsible manner. We maintain vendor compliance policies that promote ethical business practices, fair labor standards and safe working conditions across our supply chain, and we engage third-party compliance auditors to periodically monitor vendor operations. We continue to evaluate opportunities to reduce waste and improve sustainability across our packaging, logistics and fulfillment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Fulfillment and Customer Care </w:t>
      </w:r>
    </w:p>
    <w:p>
      <w:pPr>
        <w:pStyle w:val="TextBody"/>
        <w:bidi w:val="0"/>
        <w:spacing w:before="120" w:after="0"/>
        <w:jc w:val="left"/>
        <w:rPr>
          <w:rFonts w:ascii="Times New Roman" w:hAnsi="Times New Roman"/>
          <w:sz w:val="20"/>
        </w:rPr>
      </w:pPr>
      <w:r>
        <w:rPr>
          <w:rFonts w:ascii="Times New Roman" w:hAnsi="Times New Roman"/>
          <w:sz w:val="20"/>
        </w:rPr>
        <w:t xml:space="preserve">Inventory and merchandise fulfillment are managed through our distribution facilities in Indianapolis and Plainfield, Indiana. We contract with third party carriers to ensure the reliable and timely delivery of products to our customers and processing of returns to us. We maintain customer service operations available 24 hours a day, seven days a week (closed on Christmas Day), through our FullBeauty service center located in El Paso, Texas, in combination with customer service operations outsourced to third- party agents, through which we handle inquiries on delivery, order status and product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Technology and E-Commerce Platform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foundational to our business, serving as the primary storefront, merchandising environment and customer engagement channel across all of our brands. We operate proprietary e-commerce websites for each of our brands, optimized for desktop, mobile and tablet. Our platform integrates merchandising, inventory visibility, order management and customer data across brands, enabling real-time cross-brand shopping, centralized fulfillment and unified customer analytics. Our proprietary Universal Cart technology, described further in ‘— Our Strategy,’ provides the cross-brand shopping and unified checkout capabilities that underpin our multi-brand platform model. </w:t>
      </w:r>
    </w:p>
    <w:p>
      <w:pPr>
        <w:pStyle w:val="TextBody"/>
        <w:bidi w:val="0"/>
        <w:spacing w:before="240" w:after="0"/>
        <w:jc w:val="left"/>
        <w:rPr>
          <w:rFonts w:ascii="Times New Roman" w:hAnsi="Times New Roman"/>
          <w:sz w:val="20"/>
        </w:rPr>
      </w:pPr>
      <w:r>
        <w:rPr>
          <w:rFonts w:ascii="Times New Roman" w:hAnsi="Times New Roman"/>
          <w:sz w:val="20"/>
        </w:rPr>
        <w:t>We invest in our technology capabilities on an ongoing basis to improve the customer experience, increase conversion rates and enhance operational efficiency. Our current technology initiatives include the application of machine learning and generative artificial intelligence across marketing, website personalization, CRM investment modeling and product development. We maintain information security programs designed to protect the confidentiality and integrity of our systems and data, including customer personal information. For additional information on cybersecurity and data privacy risks, see “</w:t>
      </w:r>
      <w:r>
        <w:rPr>
          <w:rFonts w:ascii="Times New Roman" w:hAnsi="Times New Roman"/>
          <w:i/>
          <w:sz w:val="20"/>
        </w:rPr>
        <w:t>Risks Related to FBB—System interruptions that impair customer access to our sites or other performance failures in our technology infrastructure could damage our business, reputation and brand and substantially harm our business and results of operations</w:t>
      </w:r>
      <w:r>
        <w:rPr>
          <w:rFonts w:ascii="Times New Roman" w:hAnsi="Times New Roman"/>
          <w:sz w:val="20"/>
        </w:rPr>
        <w:t>,” “</w:t>
      </w:r>
      <w:r>
        <w:rPr>
          <w:rFonts w:ascii="Times New Roman" w:hAnsi="Times New Roman"/>
          <w:i/>
          <w:sz w:val="20"/>
        </w:rPr>
        <w:t>Risks Related to FBB—Unauthorized disclosure of sensitive or confidential information, whether through a breach of our computer system or otherwise, could severely hurt our business</w:t>
      </w:r>
      <w:r>
        <w:rPr>
          <w:rFonts w:ascii="Times New Roman" w:hAnsi="Times New Roman"/>
          <w:sz w:val="20"/>
        </w:rPr>
        <w:t>” and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Advertising </w:t>
      </w:r>
    </w:p>
    <w:p>
      <w:pPr>
        <w:pStyle w:val="TextBody"/>
        <w:bidi w:val="0"/>
        <w:spacing w:before="120" w:after="0"/>
        <w:jc w:val="left"/>
        <w:rPr>
          <w:rFonts w:ascii="Times New Roman" w:hAnsi="Times New Roman"/>
          <w:sz w:val="20"/>
        </w:rPr>
      </w:pPr>
      <w:r>
        <w:rPr>
          <w:rFonts w:ascii="Times New Roman" w:hAnsi="Times New Roman"/>
          <w:sz w:val="20"/>
        </w:rPr>
        <w:t>Our marketing activities focus on customer retention, reactivation and acquisition through an integrated set of digital and print marketing channels. Our digital marketing channels include triggered and promotional emails, social media, paid and natural search, consumer shopping engines, and third-party online marketplaces. Our print marketing channels include catalogs, direct mail, package inserts and space media. We also invest in brand awareness and community-building initiatives, including social media content across platforms such as Instagram and TikTok, influencer and content creator partnerships, public relations campaigns, and brand collaborations. These efforts are particularly important for our newer, fashion-forward brands, where cultural relevance and community engagement drive customer acquisition and brand affinity. Our branded catalogs are designed and produced in-house, enabling each brand to control its production process and reducing lead time. New editions are mailed to targeted customer segments multiple times each year and vary by season. We maintain an extensive proprietary database of customer demographics and purchasing history, which we use to optimize the frequency, timing and content of marketing communications across channels. See “—</w:t>
      </w:r>
      <w:r>
        <w:rPr>
          <w:rFonts w:ascii="Times New Roman" w:hAnsi="Times New Roman"/>
          <w:i/>
          <w:sz w:val="20"/>
        </w:rPr>
        <w:t>Our Strategy</w:t>
      </w:r>
      <w:r>
        <w:rPr>
          <w:rFonts w:ascii="Times New Roman" w:hAnsi="Times New Roman"/>
          <w:sz w:val="20"/>
        </w:rPr>
        <w:t xml:space="preserve">” for additional detail on our data-driven marketing approach. In 2025, we continued our focus on customers who have purchased from us within the last 12 months (‘Active Customers’). Active Customers totaled 5.1 million in 2025, and during 2025 through our print and digital marketing, we acquired 1.0 million customers, 91% of whom were via our online order channel and 82% of whom were via our digital marketing programs. Our multi-channel marketing is designed to drive our customers to engage and do business with us at their convenience through multiple order channels including our websites (optimized for desktop, mobile and tablet), phone and mail. In 2025, approximately 83% of our demand was online orders and 17% was phone/mail orders.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maintain two primary loyalty programs – our long-standing private label credit card program in which 18.8% of our customers participate, generating 27.8% of our net sales, our co-branded credit card program, added to our portfolio in 2025, in which &lt;1% of our customers participate, as well as our membership rewards program, launched in 2020, in which 11.8% of our customers participate, generating 8.6% of our net sales. Our private label credit card and co-brand credit card programs are each managed through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the plus-size and extended plus-size apparel market and compete against a range of retailers across multiple channels. Our principal competitors include plus-size specialty retailers such as Torrid and Lane Bryant, department stores and mass merchants such as Macy’s, Kohl’s, JCPenney and Target, online marketplaces such as Amazon, Walmart and Shein, and digitally native direct-to-consumer brands. We believe that we compete — and differentiate ourselves — primarily on the basis of size range breadth, proprietary fit expertise, product exclusivity, overall shopping experience and brand recognition. We believe the plus-size specialty segment remains fragmented, and that our scaled multi-brand platform, combined with the widest size range among our peers, positions us as a category leader within this segment.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own and lease office and warehouse space throughout the United States. We believe that our facilities are sufficient to meet our projected growth over the next several years. The following table sets forth our principal facilities as of March 31, 2026 and the approximate square footage of each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413"/>
        <w:gridCol w:w="2467"/>
        <w:gridCol w:w="413"/>
        <w:gridCol w:w="974"/>
        <w:gridCol w:w="413"/>
        <w:gridCol w:w="185"/>
        <w:gridCol w:w="2475"/>
        <w:gridCol w:w="64"/>
      </w:tblGrid>
      <w:tr>
        <w:trPr/>
        <w:tc>
          <w:tcPr>
            <w:tcW w:w="2801"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413" w:type="dxa"/>
            <w:tcBorders/>
            <w:vAlign w:val="bottom"/>
          </w:tcPr>
          <w:p>
            <w:pPr>
              <w:pStyle w:val="TableContents"/>
              <w:bidi w:val="0"/>
              <w:spacing w:before="0" w:after="283"/>
              <w:jc w:val="left"/>
              <w:rPr/>
            </w:pPr>
            <w:r>
              <w:rPr/>
              <w:t>  </w:t>
            </w:r>
          </w:p>
        </w:tc>
        <w:tc>
          <w:tcPr>
            <w:tcW w:w="2467" w:type="dxa"/>
            <w:tcBorders>
              <w:bottom w:val="single" w:sz="8" w:space="0" w:color="000000"/>
            </w:tcBorders>
            <w:tcMar>
              <w:bottom w:w="28" w:type="dxa"/>
            </w:tcMar>
            <w:vAlign w:val="bottom"/>
          </w:tcPr>
          <w:p>
            <w:pPr>
              <w:pStyle w:val="TableContents"/>
              <w:bidi w:val="0"/>
              <w:spacing w:before="0" w:after="283"/>
              <w:jc w:val="center"/>
              <w:rPr>
                <w:b/>
              </w:rPr>
            </w:pPr>
            <w:r>
              <w:rPr>
                <w:b/>
              </w:rPr>
              <w:t>Primary Use</w:t>
            </w:r>
          </w:p>
        </w:tc>
        <w:tc>
          <w:tcPr>
            <w:tcW w:w="413"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Leased/Owned</w:t>
            </w:r>
          </w:p>
        </w:tc>
        <w:tc>
          <w:tcPr>
            <w:tcW w:w="413" w:type="dxa"/>
            <w:tcBorders/>
            <w:vAlign w:val="bottom"/>
          </w:tcPr>
          <w:p>
            <w:pPr>
              <w:pStyle w:val="TableContents"/>
              <w:bidi w:val="0"/>
              <w:spacing w:before="0" w:after="283"/>
              <w:jc w:val="left"/>
              <w:rPr/>
            </w:pPr>
            <w:r>
              <w:rPr/>
              <w:t>  </w:t>
            </w:r>
          </w:p>
        </w:tc>
        <w:tc>
          <w:tcPr>
            <w:tcW w:w="2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 Square Feet</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Corporate Headquarters</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157,000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Indianapolis, Indiana</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Logistics and Distribution</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Owned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Plainfield, Indiana</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Warehouse</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740,000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El Paso, Texas</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Customer Care Center</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Leased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own several service marks and trademarks relating to our businesses, including, among many others, FullBeauty®, Woman Within®, Roaman’s®, Catherines®, Jessica London®, Ellos®, Joe Browns®, Avenue®, SwimsuitsForAll®, KingSize®, Eloquii®, CUUP®, Dia Shop, Dia &amp; Co®, BrylaneHome®, June &amp; Vie®, OneStopPlus®, ShoesforAll®, IntimatesforAll®, ActiveforAll® and FullBeauty Outlet®. Our intellectual property, including any trademarks, copyrights, domain names, patents, trade dress, trade secrets and proprietary technologies, is an important part of our business. To protect our intellectual property, we rely on a combination of laws and regulations, as well as contractual restrictions and meaningful enforcement practices. We devote resources to the establishment and protection of our trademarks and service marks in the United States and certain foreign jurisdictions, and actively monitor for potential infringement. Our policy is to pursue registration of our trademarks and to take steps to protect against infringement by third parties. We also rely on trade secret laws to protect our proprietary technology and other intellectual property. To further protect our intellectual property, we enter into confidentiality and assignment of invention agreements with employees and certain contractors and confidentiality agreements with other third parties, such as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People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employed 987 team members. Our New York headquarters are home to approximately 393 associates, while our Indianapolis and El Paso sites have approximately 594 associates combined. Some full-time employees at our Indiana facilities are covered by collective bargaining agreements, and we consider our relationship with our employees, including our unionized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associates are central to our ability to execute our multi-brand, direct-to-consumer strategy. We invest in our workforce through competitive compensation and benefits programs, professional development opportunities, and a culture that emphasizes collaboration, accountability and customer focus. Our integrated platform model enables associates across brands to develop expertise in multiple aspects of our business, including merchandising, marketing, technology and fulfillment. As a company dedicated to serving customers of all sizes, ages, ethnicities and styles, we seek to foster a workforce culture that reflects the diversity of the communities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We believe our mission-driven focus on serving underserved customers fosters strong associate engagement, and we seek to maintain an inclusive workplace environment that attracts and retains the talent necessary to support our growth.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and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numerous laws and regulations at the state, federal and international levels. For instance, we are subject to labor and employment, tax, environmental, data privacy and anti-bribery laws. We are also subject to regulations, trade laws and customs, truth-in-advertising, consumer protection and zoning and occupancy laws and ordinances that regulate retailers generally and/or govern the importation, promotion and sale of merchandise and the operation of warehouse facilities. We monitor changes in these laws and believe that we are in material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A substantial portion of our products are manufactured outside the United States. These products are imported and are subject to U.S. customs laws, which impose tariffs as well as import quota restrictions for textiles and apparel. The tariff environment for imported apparel has evolved significantly in recent periods, including the imposition of additional tariffs on products sourced from certain countries and retaliatory trade measures. We maintain a geographically diversified sourcing network and actively monitor tariff developments to mitigate the impact of trade policy changes on our cost structure. For additional information, see “</w:t>
      </w:r>
      <w:r>
        <w:rPr>
          <w:rFonts w:ascii="Times New Roman" w:hAnsi="Times New Roman"/>
          <w:i/>
          <w:sz w:val="20"/>
        </w:rPr>
        <w:t>Risks Related to FBB—Additional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Given our online-focused operating model, data privacy and information security are core operational priorities. We collect, process, store and use personal information about our customers, employees and other third parties, and our business is subject to an evolving landscape of federal, state and international laws, regulations and industry standards governing the collection, use, transmission and protection of such data. These include, among others, the California Consumer Privacy Act, as amended by the California Privacy Rights Act, as well as comprehensive data privacy statutes enacted in a growing number of other states and data breach notification statues enacted in all 50 states. We are also subject to Federal Trade Commission and state attorney general oversight of our consumer data practices. We maintain privacy and information security programs designed to comply with applicable legal requirements and industry standards, and we monitor regulatory developments to adapt our practices as the legal landscape continues to evolve. For additional information, see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may be subject to litigation claims through the ordinary course of business, including matters relating to employment, consumer protection, privacy and data security, advertising and promotional practices, vendor relationships and intellectual property. We do not believe that any such matters, individually or in the aggregate, are expected to have a material adverse effect on our business, financial condition or results of operations; however, the outcome of legal proceedings is inherently uncertain. For additional information, see “</w:t>
      </w:r>
      <w:r>
        <w:rPr>
          <w:rFonts w:ascii="Times New Roman" w:hAnsi="Times New Roman"/>
          <w:i/>
          <w:sz w:val="20"/>
        </w:rPr>
        <w:t>Notes to Consolidated Financial Statements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76201_76"/>
      <w:bookmarkEnd w:id="79"/>
      <w:r>
        <w:rPr>
          <w:rFonts w:ascii="Times New Roman" w:hAnsi="Times New Roman"/>
          <w:b/>
          <w:sz w:val="20"/>
        </w:rPr>
        <w:t xml:space="preserve">DXL’S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For DXL’s management’s discussion and analysis of financial condition and results of operations, please refer to the sections entitled “</w:t>
      </w:r>
      <w:r>
        <w:rPr>
          <w:rFonts w:ascii="Times New Roman" w:hAnsi="Times New Roman"/>
          <w:i/>
          <w:sz w:val="20"/>
        </w:rPr>
        <w:t>Item 7. Management’s Discussion and Analysis of Financial Condition and Results of Operations</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2. Management’s Discussion and Analysis of Financial Condition and Results of Operations</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76201_77"/>
      <w:bookmarkEnd w:id="80"/>
      <w:r>
        <w:rPr>
          <w:rFonts w:ascii="Times New Roman" w:hAnsi="Times New Roman"/>
          <w:b/>
          <w:sz w:val="20"/>
        </w:rPr>
        <w:t xml:space="preserve">QUANTITATIVE AND QUALITATIVE DISCLOSURES ABOUT DXL’S MARKET RISK </w:t>
      </w:r>
    </w:p>
    <w:p>
      <w:pPr>
        <w:pStyle w:val="TextBody"/>
        <w:bidi w:val="0"/>
        <w:spacing w:before="240" w:after="0"/>
        <w:jc w:val="left"/>
        <w:rPr>
          <w:rFonts w:ascii="Times New Roman" w:hAnsi="Times New Roman"/>
          <w:sz w:val="20"/>
        </w:rPr>
      </w:pPr>
      <w:r>
        <w:rPr>
          <w:rFonts w:ascii="Times New Roman" w:hAnsi="Times New Roman"/>
          <w:sz w:val="20"/>
        </w:rPr>
        <w:t>For quantitative and qualitative disclosures about DXL’s market risk, please refer to the sections entitled “</w:t>
      </w:r>
      <w:r>
        <w:rPr>
          <w:rFonts w:ascii="Times New Roman" w:hAnsi="Times New Roman"/>
          <w:i/>
          <w:sz w:val="20"/>
        </w:rPr>
        <w:t>Item</w:t>
      </w:r>
      <w:r>
        <w:rPr>
          <w:rFonts w:ascii="Times New Roman" w:hAnsi="Times New Roman"/>
          <w:sz w:val="20"/>
        </w:rPr>
        <w:t> </w:t>
      </w:r>
      <w:r>
        <w:rPr>
          <w:rFonts w:ascii="Times New Roman" w:hAnsi="Times New Roman"/>
          <w:i/>
          <w:sz w:val="20"/>
        </w:rPr>
        <w:t>7A. Quantitative and Qualitative Disclosures About Market Risk</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3. Quantitative and Qualitative Disclosures About Market Risk</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x76201_78"/>
      <w:bookmarkEnd w:id="81"/>
      <w:r>
        <w:rPr>
          <w:rFonts w:ascii="Times New Roman" w:hAnsi="Times New Roman"/>
          <w:b/>
          <w:sz w:val="20"/>
        </w:rPr>
        <w:t xml:space="preserve">FBB’S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concerns regarding FBB’s potential negative equity value, and (v) the substantial economic dilution that DXL stockholders would experience if the merger were consummated on its current terms. Based on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will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FBB’s financial condition and results of operations as of, and for, the periods presented. You should read the following discussion and analysis of FBB’s financial condition and results of operations together with FBB’s financial statements and related notes appearing at the end of this proxy statement. Certain figures discussed below may not foot due to rounding. Some of the information contained in this discussion and analysis or set forth at the end of this proxy statement includes forward-looking statements that involve risks and uncertainties. As a result of many factors, including those factors set forth in the section entitled “Risk Factors—Risks Related to FBB,” FBB’s actual results could differ materially from the results described in or implied by the forward-looking statements contained in the following discussion and analysis. You should carefully read the section entitled “Risk Factors—Risks Related to FBB” to gain an understanding of the important factors that could cause actual results to differ materially from FBB’s forward-looking statements. Please also see the section entitled “Cautionary Statement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Management’s Discussion and Analysis of Financial Condition and Results of Operations” section to “FullBeauty Brands,” the “Company,” “we,” “us,” “our” and other similar terms refer to FBB Holdings I,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financial measures other than those that are in accordance with U.S. generally accepted accounting principles (“GAAP”) on a regular basis in order to track the progress of our business. These non-GAAP financial measures include EBITDA, adjusted EBITDA and adjusted EBITDA margin. We believe that these measures provide helpful information with respect to the Company’s operating performance and that the inclusion of these measures is important to assist investors in comparing our performance over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advance its pending merger (the “Merger”) with Destination XL Group, Inc. (“DXL”), originally announced on December 11, 2025, as further described in this proxy statement. Under the terms of the transaction, FBB stockholders are expected to own approximately 55% and DXL stockholders approximately 45%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Merger is expected to bring together two highly complementary businesses across the plus-size women’s and big &amp; tall men’s apparel markets, creating a scaled, category-defining retailer in inclusive apparel. The combined company is expected to generate approximately $1.1 billion in net sales, supported by a direct-to-consumer database of approximately 25 million households and DXL’s nationwide footprint of 293 stores, while also enhancing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 complementarity between the two businesses is structural. FBB operates as a direct-to-consumer business without an owned store footprint, reaching its customers through digital channels and a proprietary in-house print catalog program; DXL operates a nationwide specialty store base alongside a direct channel. Approximately 83% of the Company’s net sales in the first six months of fiscal 2026 were in the Women’s category, a category in which DXL does not principally operate, while the Company’s Men’s business is conducted entirely through direct channels and without a store presence. The Company believes the combination therefore extends each business into channels and customer segments the other does not serve today, with limited overlap outside the men’s category.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believes it brings to the combination a demonstrated capability in platform integration. Since 2020, the Company has acquired five brands — Catherines, Eloquii, CUUP, Dia &amp; Co. and Avenue — and integrated each onto its common shared-services infrastructure spanning sourcing, merchandising, technology, marketing, fulfillment and customer care. In addition, the Company’s men’s business, anchored by KingSize, is operated entirely through direct channels, and the Company believes the combination of KingSize with DXL’s big &amp; tall assortment and store base would create a more complete offering for the men’s customer than either business operates independently.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the First Lien Term Loan (as defined below) is expected to be reduced by approximately $107 million through equity contributions and debt-for-equity exchanges, with its maturity extended to August 2029. The Company expects this to reduce leverage, address the Company’s near-term refinancing maturity and lower ongoing cash interest requirements, providing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stockholder approval and other closing conditions, and there can be no assurance that the Merger will be completed on the terms described, on the anticipated timeline,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 direct-to-consumer, multi-brand platform purpose-built for the plus-size, extended plus-size and big &amp; tall customer. Its economics are driven by three characteristics that distinguish it within direct-to-consumer apparel: substantially all product is designed in-house and sold exclusively through the Company’s own brands, which supports a gross margin structure in the range of 60% of net sales and limits direct price comparison against competitors; a first-party customer database of approximately 20 million households built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 decades of direct engagement; and a centralized shared-services infrastructure that carries all brands in the portfolio and has absorbed five brand acquisitions since 2020 without corresponding duplication of overhead. Fiscal 2026 results to date reflect the operation of that model through a period of significant demand pressure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performance in the six months ended July 4, 2026 reflects the execution of five interconnected strategic priorities against a challenging macroeconomic backdrop, consistent with fiscal 2025. First, the Company advanced its multi-brand platform strategy, with Universal Cart technology enabling customers to cross-shop all brands and check out in a single transaction. Second, the Company continued advancing its dual demographic strategy—investing in both its established Classic Mall platform and its higher-growth New Mall housing its more contemporary brands and targeting Millennial and younger Generation X customers. Third, the Company maintained its data-driven marketing model, deploying digital and print channels based on each customer’s stage in the customer lifecycle. Fourth, the Company expanded its third-party marketplace presence across Amazon, Walmart, Target, Kohl’s, Nordstrom and Macy’s, extending brand reach to plus-size customers across the channels where they already shop. Fifth, the Company continued leveraging its capital-efficient shared-services platform, which has successfully integrated five brand acquisitions since 2020. </w:t>
      </w:r>
    </w:p>
    <w:p>
      <w:pPr>
        <w:pStyle w:val="TextBody"/>
        <w:bidi w:val="0"/>
        <w:spacing w:before="240" w:after="0"/>
        <w:jc w:val="left"/>
        <w:rPr>
          <w:rFonts w:ascii="Times New Roman" w:hAnsi="Times New Roman"/>
          <w:sz w:val="20"/>
        </w:rPr>
      </w:pPr>
      <w:r>
        <w:rPr>
          <w:rFonts w:ascii="Times New Roman" w:hAnsi="Times New Roman"/>
          <w:sz w:val="20"/>
        </w:rPr>
        <w:t xml:space="preserve">Despite the challenging environment, the Company took decisive action across its commercial, organizational, and marketing operations. The Company strengthened its leadership team with the addition of a new Chief Marketing Officer in 2025 and brand leaders for Roaman’s and KingSize hired in 2024. This newer leadership is beginning to have an impact across two of the portfolio’s largest brands. On the revenue and customer front, the Company launched a multi-tender loyalty platform across all brands, redesigned its web checkout experience to improve conversion, enabled Affirm as a new payment option to support customer purchasing flexibility, and activated new marketplace distribution channels to broaden reach. The Company also continued to optimize its marketing performance, reducing investment in underperforming print channels while rebalancing marketing spend toward higher-returning digital channels where the Company continues to gain traction. Looking ahead, the Company intends to continue its deployment of behavioral AI-driven customer decisioning to enhance online discovery and conversion and pursue generative engine optimization initiatives to strengthen the portfolio’s off-site search and discovery presence. </w:t>
      </w:r>
    </w:p>
    <w:p>
      <w:pPr>
        <w:pStyle w:val="TextBody"/>
        <w:bidi w:val="0"/>
        <w:spacing w:before="240" w:after="0"/>
        <w:jc w:val="left"/>
        <w:rPr>
          <w:rFonts w:ascii="Times New Roman" w:hAnsi="Times New Roman"/>
          <w:sz w:val="20"/>
        </w:rPr>
      </w:pPr>
      <w:r>
        <w:rPr>
          <w:rFonts w:ascii="Times New Roman" w:hAnsi="Times New Roman"/>
          <w:sz w:val="20"/>
        </w:rPr>
        <w:t xml:space="preserve">Results in the first half of fiscal 2026 reflect both lower consumer demand and management actions taken in response to it. Rather than seek to defend net sales through increased promotional intensity or continued investment in marketing channels that had generated declining returns, the Company reduced marketing spend and operating expense and maintained pricing discipline. Those actions contributed to the net sales decline of 13.5% for the six-month period and also to the profitability of the second quarter, in which Adjusted EBITDA of $12.3 million was achieved on net sales $30.5 million below the prior-year quarter and second quarter results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Effectiveness and Customer Economics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deploys an analytical marketing model that leverages first-party customer data to direct the right channel to the right customer at the right moment in their lifecycle. This model is supported by a first-party customer database of approximately 20 million households accumulated over decades of direct-to-consumer engagement, providing the foundation for cohort analysis, lifecycle marketing and customer lifetime value measurement. Digital channels play a growing role in reaching and converting new customers, while the Company’s proprietary print catalog program — designed and produced in-house — drives engagement, repeat purchasing and reactivation among existing customers. Based on the Company’s annual customer cohort analysis for fiscal 2025, approximately 69% of newly acquired customers were profitable on their first order and approximately 76% of active customers were multi-purchase buyers, reflecting the effectiveness of this data-driven lifecycle approach. The ability to operate at scale across both digital and print — optimizing each for its distinct role — is a capability the Company believes few direct-to-consumer apparel operators maintain at comparable scale, and it supports the Company’s ability to build customer lifetime value efficiently across its multi-brand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The Company views increasing multi-brand penetration across its active customer base as a significant organic growth opportunity, and the Universal Cart capability described above is the technical foundation for capturing it.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organizes its brand portfolio around two primary demographic groups. The ‘Classic Mall’ platform — anchored by Woman Within and complemented by Roaman’s, Catherines, Jessica London, Ellos, KingSize and BrylaneHome — serves the older Generation X and Baby Boomer demographic, which represents the Company’s largest and most established revenue base with the highest customer retention and repeat purchase rates across the portfolio. The ‘New Mall’ platform — anchored by Eloquii and complemented by CUUP, Avenue, Dia &amp; Co., June &amp; Vie and SwimsuitsForAll — targets the Millennial and Younger Generation X demographic, where current market share is lower but where the Company sees significant opportunity to replicate the loyalty dynamics built within its Classic Mall customer base. This dual-environment architecture enables distinct brand positioning, editorial content and marketing strategies tailored to the preferences of each target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infrastructure — spanning sourcing, merchandising, technology, marketing, fulfillment and customer care — is designed to generate operating leverage as revenue scales and to serve as an integration platform for brand acquisitions. Since 2020, the Company has acquired five brands — Catherines, Eloquii, CUUP, Dia &amp; Co. and Avenue — and integrated each onto its common platform. This capital-efficient model is further supported by a merchandise strategy weighted toward core, wardrobe replenishment-oriented styles that carry over across seasons, reducing fashion risk, improving inventory visibility and supporting margin 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annual customer analysis for fiscal 2025, extended plus-size customers (sizes 2X and above) comprised approximately 45% of active customers but generated approximately 63% of active customer sales, reflecting higher order frequency and larger average order values. The Company’s proprietary fit blocks and specialized size grading expertise are the foundational capability driving these economics: initial fit satisfaction — particularly at the most extended sizes where alternatives are fewest — drives repeat purchasing, multi-brand adoption and multi-category engagement over time. Customers who have purchased four or more times over their lifetime accounted for approximately 91% of active customer sales in fiscal 2025. The Company’s continued investment in its extensive size offering reinforces customer loyalty, particularly among its highest-value extended plus-size customers for whom the Company’s depth of sizing is difficult to find elsewhere.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supports retention and purchase frequency through its private label and co-branded credit card programs and its membership rewards program, which drive higher average order values and reinforce habitual brand engagement. Customers who purchase across product categories — combining apparel with intimates, swimwear, footwear and home décor — generate meaningfully higher lifetime value than single-category purchasers, and the Company’s broad assortment across its brand portfolio is structured to capture this multi-category dynamic.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and Sector Context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remains highly promotional, with persistent traffic volatility and elevated customer acquisition costs in the print and digital channels. Consumers across income cohorts demonstrated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sensitivity, with discretionary categories such as apparel facing uneven demand. While difficult to quantify, we believe that the increased availability and acceptance of GLP-1 medications has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In the plus-size segment, structural demand drivers remain intact, including limited specialty competition and strong customer loyalty. At the same time, competitive intensity from mass retailers, third-party marketplaces and digitally native brands continues to characterize the plus-size apparel environment. The Company’s response is grounded in capabilities that we believe are difficult for generalist competitors to replicate at comparable scale — proprietary fit expertise, a substantially exclusive product assortment, a multi-brand platform serving distinct demographics, and a data-driven marketing model built specifically for the plus-size customer — and notably, at a moment when some competitors have moderated their commitment to this demographic in response to health and wellness trends including GLP-1 adoption, the Company has deepened its focus and investment here. That strategic conviction is further evidenced by the pending combination with Destination XL Group, which would create the largest direct-to-consumer platform dedicated to the plus-size, extended plus-size and big &amp; tall market. The Company believes this combination of capabilities and strategic commitment positions it favorably within this environment — operating more than 15 owned and licensed primary brands, purpose-built to serve the plus-size, extended plus-size and big &amp; tall customer across a comprehensive range of sizes, styles and lifestyle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Outlook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Looking ahead, the Company continues to monitor developments in U.S. trade policy and the broader macroeconomic environment. Recent legal challenges to the use of the International Emergency Economic Powers Act (“IEEPA”) as authority for broad tariff actions have introduced significant uncertainty into U.S. trade policy. The U.S. Supreme Court’s February 20, 2026 ruling that certain tariffs imposed under IEEPA were unlawful removed IEEPA as authority for those actions and prompted the administration to pursue alternative statutory authorities, contributing to a period of significant change in U.S. trade policy. The process for obtaining refunds of previously paid IEEPA tariffs has commenced, and the Company recognized its $5.3 million claim during the second quarter of fiscal 2026 and had received $3.7 million in cash as of August 20, 2026. In addition, on May 7, 2026, the U.S. Court of International Trade ruled that the 10% global tariff imposed under Section 122 of the Trade Act of 1974 was unlawful. Although the refund process associated with that ruling remains uncertain and further judicial review may continue, the Section 122 tariffs expired on July 24, 2026, and were replaced by a new tariff regime implemented under Section 301 of the Trade Act of 1974. The new Section 301 tariffs, which generally became effective on July 24, 2026, impose additional duties on imports from numerous trading partners and provide a more durable legal framework than the previously challenged IEEPA and Section 122 measures.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while some uncertainty surrounding the legal basis for prior tariffs has been reduced, uncertainty regarding the magnitude, duration and ultimate impact of U.S. trade policy on sourcing costs, supply chains and consumer prices remains. The Company is currently evaluating the potential impact of the newly implemented Section 301 tariffs on its merchandise costs, sourcing strategies and financial results, while continuing to assess opportunities to mitigate those impacts through vendor negotiations, sourcing initiatives and pricing actions where appropriate. At the same time, the Company remains attentive to broader geopolitical uncertainties, which have the potential to disrupt global shipping, energy markets and consumer confidence. These and other macroeconomic pressures, including inflation, tariffs, interest rates and discretionary spending patterns, could continue to influence demand, merchandise costs and profitability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Beyond near-term macroeconomic considerations, the Company’s forward outlook is grounded in the structural characteristics of the plus-size and extended plus-size market — a large, historically underserved demographic that we believe continues to represent a meaningful and durable growth opportunity for operators with the scale,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fit expertise and brand portfolio to serve it comprehensively. The Company believes that the structural demand dynamics of this market, combined with its platform capabilities and deepened commitment to the plus-size customer, position it to generate long-term growth as near-term headwinds moderate.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model — spanning sourcing, merchandising, technology, fulfillment and customer care across its brand portfolio — is designed to support operating leverage as revenue trends improve. Because a significant portion of the Company’s platform infrastructure costs are fixed, changes in revenue can have a disproportionate impact on Adjusted EBITDA and operating cash flow, both positively and negatively. The same fixed-cost characteristic that has compressed Adjusted EBITDA margin during the current period of revenue decline is the characteristic that would support margin recovery if net sales stabilize and return to growth. The Company believes its existing platform capabilities provide a foundation to support improved operating leverage if revenue stabilizes and returns to growth. Conversely, continued pressure on net sales may result in further fixed cost deleverage and adversely affect operating margins. Against this backdrop, the Company’s strategic positioning provides the Company with flexibility to pursue its long-term strategy. Its multi-brand platform, proprietary fit expertise, data-driven marketing capabilities, and expanding marketplace distribution collectively represent the Company’s foundation for potentially capturing the structural growth opportunity within the plus-size and extended plus-size market. The Company’s capital-efficient operating model, weighted toward core replenishment styles and a centralized shared-services infrastructure, provides operational flexibility to manage through near-term uncertainty while sustaining investment in the capabilities that drive long-term customer acquisition, retention and lifetime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fiscal year is a 52-week or 53-week period ending on the Saturday closest to December 31. Fiscal 2025 was a 53-week period, fiscal 2024 was a 52-week period and fiscal 2023 was a 52-week period. </w:t>
      </w:r>
    </w:p>
    <w:p>
      <w:pPr>
        <w:pStyle w:val="TextBody"/>
        <w:bidi w:val="0"/>
        <w:spacing w:before="360" w:after="0"/>
        <w:jc w:val="left"/>
        <w:rPr>
          <w:rFonts w:ascii="Times New Roman" w:hAnsi="Times New Roman"/>
          <w:b/>
          <w:sz w:val="20"/>
        </w:rPr>
      </w:pPr>
      <w:r>
        <w:rPr>
          <w:rFonts w:ascii="Times New Roman" w:hAnsi="Times New Roman"/>
          <w:b/>
          <w:sz w:val="20"/>
        </w:rPr>
        <w:t xml:space="preserve">Quarter ended July 4, 2026 Compared to Quarter ended June 28, 2025 </w:t>
      </w:r>
    </w:p>
    <w:p>
      <w:pPr>
        <w:pStyle w:val="TextBody"/>
        <w:bidi w:val="0"/>
        <w:spacing w:before="120" w:after="0"/>
        <w:jc w:val="left"/>
        <w:rPr>
          <w:rFonts w:ascii="Times New Roman" w:hAnsi="Times New Roman"/>
          <w:sz w:val="20"/>
        </w:rPr>
      </w:pPr>
      <w:r>
        <w:rPr>
          <w:rFonts w:ascii="Times New Roman" w:hAnsi="Times New Roman"/>
          <w:b/>
          <w:i/>
          <w:sz w:val="20"/>
        </w:rPr>
        <w:t>Executive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Results for the second quarter (thirteen weeks) of fiscal 2026 reflect continued pressure on discretionary apparel demand amid an uncertain macroeconomic environment, including elevated tariff volatility and higher customer acquisition costs. Within this context, the Company remained focused on controlling the operating levers available to it – inventory management, marketing efficiency, pricing discipline, and conversion optimization – prioritizing profitability over the defense of sales volume. </w:t>
      </w:r>
    </w:p>
    <w:p>
      <w:pPr>
        <w:pStyle w:val="TextBody"/>
        <w:bidi w:val="0"/>
        <w:spacing w:before="240" w:after="0"/>
        <w:jc w:val="left"/>
        <w:rPr>
          <w:rFonts w:ascii="Times New Roman" w:hAnsi="Times New Roman"/>
          <w:sz w:val="20"/>
        </w:rPr>
      </w:pPr>
      <w:r>
        <w:rPr>
          <w:rFonts w:ascii="Times New Roman" w:hAnsi="Times New Roman"/>
          <w:sz w:val="20"/>
        </w:rPr>
        <w:t xml:space="preserve">Net sales declined in the second quarter of 2026, compared to the second quarter of 2025, reflecting lower demand and reduced marketing investment, particularly in print channels, as the Company adjusted spend in response to prior period inefficiencies and changing customer behavior. </w:t>
      </w:r>
    </w:p>
    <w:p>
      <w:pPr>
        <w:pStyle w:val="TextBody"/>
        <w:bidi w:val="0"/>
        <w:spacing w:before="240" w:after="0"/>
        <w:jc w:val="left"/>
        <w:rPr>
          <w:rFonts w:ascii="Times New Roman" w:hAnsi="Times New Roman"/>
          <w:sz w:val="20"/>
        </w:rPr>
      </w:pPr>
      <w:r>
        <w:rPr>
          <w:rFonts w:ascii="Times New Roman" w:hAnsi="Times New Roman"/>
          <w:sz w:val="20"/>
        </w:rPr>
        <w:t xml:space="preserve">Profitability in the second quarter was negatively impacted by lower sales volume, underlying gross margin pressure, excluding the benefit of IEEPA tariff refunds, and fixed cost deleverage, partially offset by reductions in marketing expense and ongoing cost management initiatives. The headwinds affecting the second quarter of fiscal 2026 reflect the same factors described in Outlook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cost management absorbed a substantial portion of the resulting gross profit decline. Gross profit decreased $17.4 million and selling, general and administrative expenses decreased $14.2 million, or approximately 13.7%, in the second quarter of fiscal 2026 relative to the prior-year quarter. Adjusted EBITDA of $12.3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2"/>
        <w:gridCol w:w="316"/>
        <w:gridCol w:w="191"/>
        <w:gridCol w:w="773"/>
        <w:gridCol w:w="380"/>
        <w:gridCol w:w="252"/>
        <w:gridCol w:w="191"/>
        <w:gridCol w:w="776"/>
        <w:gridCol w:w="275"/>
        <w:gridCol w:w="231"/>
        <w:gridCol w:w="214"/>
        <w:gridCol w:w="859"/>
        <w:gridCol w:w="422"/>
        <w:gridCol w:w="260"/>
        <w:gridCol w:w="214"/>
        <w:gridCol w:w="862"/>
        <w:gridCol w:w="280"/>
      </w:tblGrid>
      <w:tr>
        <w:trPr/>
        <w:tc>
          <w:tcPr>
            <w:tcW w:w="289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563"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1" w:type="dxa"/>
            <w:gridSpan w:val="6"/>
            <w:tcBorders/>
            <w:vAlign w:val="bottom"/>
          </w:tcPr>
          <w:p>
            <w:pPr>
              <w:pStyle w:val="TableContents"/>
              <w:bidi w:val="0"/>
              <w:spacing w:before="0" w:after="283"/>
              <w:jc w:val="center"/>
              <w:rPr>
                <w:b/>
              </w:rPr>
            </w:pPr>
            <w:r>
              <w:rPr>
                <w:b/>
              </w:rPr>
              <w:t>Twenty-Six Weeks Ended</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4142" w:type="dxa"/>
            <w:gridSpan w:val="10"/>
            <w:tcBorders/>
            <w:vAlign w:val="bottom"/>
          </w:tcPr>
          <w:p>
            <w:pPr>
              <w:pStyle w:val="TableContents"/>
              <w:bidi w:val="0"/>
              <w:spacing w:before="0" w:after="20"/>
              <w:jc w:val="center"/>
              <w:rPr>
                <w:rFonts w:ascii="Times New Roman" w:hAnsi="Times New Roman"/>
                <w:i/>
                <w:sz w:val="16"/>
              </w:rPr>
            </w:pPr>
            <w:r>
              <w:rPr>
                <w:rFonts w:ascii="Times New Roman" w:hAnsi="Times New Roman"/>
                <w:i/>
                <w:sz w:val="16"/>
              </w:rPr>
              <w:t>(in millions, except percentage</w:t>
              <w:br/>
              <w:t>of net sales data)</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160.6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191.1</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311.7</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360.6</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(14.3</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12.3</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17.7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63.0</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62.0</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61.0</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61.7</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55.6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54.1</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59.3</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57.4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4.9</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(27.6</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(8.9</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(4.1</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(4.4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provided by (used in) financing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23.5</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Net Sales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59"/>
        <w:gridCol w:w="60"/>
        <w:gridCol w:w="60"/>
        <w:gridCol w:w="580"/>
        <w:gridCol w:w="303"/>
      </w:tblGrid>
      <w:tr>
        <w:trPr/>
        <w:tc>
          <w:tcPr>
            <w:tcW w:w="170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86" w:type="dxa"/>
            <w:gridSpan w:val="14"/>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50" w:type="dxa"/>
            <w:gridSpan w:val="14"/>
            <w:tcBorders/>
            <w:vAlign w:val="bottom"/>
          </w:tcPr>
          <w:p>
            <w:pPr>
              <w:pStyle w:val="TableContents"/>
              <w:bidi w:val="0"/>
              <w:spacing w:before="0" w:after="283"/>
              <w:jc w:val="center"/>
              <w:rPr>
                <w:b/>
              </w:rPr>
            </w:pPr>
            <w:r>
              <w:rPr>
                <w:b/>
              </w:rPr>
              <w:t>Twenty-Six Weeks Ended</w:t>
            </w:r>
          </w:p>
        </w:tc>
        <w:tc>
          <w:tcPr>
            <w:tcW w:w="303"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i/>
              </w:rPr>
            </w:pPr>
            <w:r>
              <w:rPr>
                <w:i/>
              </w:rPr>
              <w:t>(in thousands)</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303"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83.3</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160,894</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84.2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300,799</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83.5</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21,872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11.4</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12.3</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44,141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303" w:type="dxa"/>
            <w:tcBorders/>
            <w:vAlign w:val="bottom"/>
          </w:tcPr>
          <w:p>
            <w:pPr>
              <w:pStyle w:val="TableContents"/>
              <w:bidi w:val="0"/>
              <w:spacing w:before="0" w:after="283"/>
              <w:jc w:val="left"/>
              <w:rPr/>
            </w:pPr>
            <w:r>
              <w:rPr>
                <w:i/>
              </w:rPr>
              <w:t>%</w:t>
            </w: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8,331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4.4</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15,640</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4.3</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191,097</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360,580</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303" w:type="dxa"/>
            <w:tcBorders/>
            <w:vAlign w:val="bottom"/>
          </w:tcPr>
          <w:p>
            <w:pPr>
              <w:pStyle w:val="TableContents"/>
              <w:bidi w:val="0"/>
              <w:spacing w:before="0" w:after="283"/>
              <w:jc w:val="left"/>
              <w:rPr/>
            </w:pPr>
            <w:r>
              <w:rPr>
                <w:i/>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for the second quarter of 2026 were $160.6 million, compared to $191.1 million in the second quarter of 2025, representing a decrease of approximately 16.0%. For the first six months of 2026, net sales were $311.7 million, compared to $360.6 million for the first six months of 2025, representing a decrease of approximately 13.5%. Second quarter net sales increased sequentially from the first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$133.7 million (83.3% of net sales) in the second quarter of 2026, compared to $160.9 million (84.2%) in the second quarter of 2025. For the first six months of 2026, Women’s net sales were $259.3 million (83.2% of net sales), compared to $300.8 million (83.5%)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Men’s net sales were $19.6 million (12.2% of net sales) in the second quarter of 2026, compared to $21.9 million (11.4% of net sales) in the second quarter of 2025. For the first six months of 2026, Men’s net sales were $38.3 million (12.3% of net sales), compared to $44.1 million (12.2% of net sales) for the first six months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2025. The Men’s business, anchored by KingSize, applies the Company’s proprietary fit expertise and exclusive assortment model to the big &amp; tall men’s demographic, operating within the Classic Mall platform infrastructure and entirely through direct channels. Home Décor net sales declined to $7.3 million (4.5% of net sales) in the second quarter of 2026 from $8.3 million (4.4%) in the second quarter of 2025. For the first six months of 2026, Home Décor net sales were $14.1 million (4.5% of net sales), compared to $15.6 million (4.3%) for the first six months of 2025.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w:t>
      </w:r>
    </w:p>
    <w:p>
      <w:pPr>
        <w:pStyle w:val="TextBody"/>
        <w:bidi w:val="0"/>
        <w:spacing w:before="240" w:after="0"/>
        <w:jc w:val="left"/>
        <w:rPr>
          <w:rFonts w:ascii="Times New Roman" w:hAnsi="Times New Roman"/>
          <w:sz w:val="20"/>
        </w:rPr>
      </w:pPr>
      <w:r>
        <w:rPr>
          <w:rFonts w:ascii="Times New Roman" w:hAnsi="Times New Roman"/>
          <w:sz w:val="20"/>
        </w:rPr>
        <w:t xml:space="preserve">The category mix remained relatively stable during both the second quarter and first six months of 2026, with Women’s continuing to represent the substantial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In the quarter, the Company moderated marketing investments in response to changing customer behavior and elevated acquisition costs. Marketing spend in the first six months was reduced by approximately 16% year over year, reflecting actions taken to improve marketing efficiency following lower returns in prior periods, particularly with print channels. As the Company laps the marketing investment reductions implemented during the second half of 2025, it expects year-over-year reductions in marketing investment to moderate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prior periods, the Company believes that net sales performance during both the second quarter and first six months of 2026 was driven primarily by traffic and conversion dynamics rather than changes in pricing, as the Company maintained pricing discipline and did not materially increase promotional intensity. The Company’s ability to maintain that discipline reflects, in part, the proprietary and exclusive nature of its product assortment: because substantially all products are designed in-house and exclusive to its brands, customers cannot directly price-compare the Company’s offerings against competitors. The Company’s most engaged customers — those purchasing four or more times over their lifetime — continued to account for the substantial majority of active customer sales during the period, and the Company believes current net sales trends reflect top-of-funnel traffic and acquisition conditions rather than erosion of its established customer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for the second quarter of fiscal 2026 was $101.1 million, compared to $118.5 million in the prior year period. Gross margin was 63.0%, compared to 62.0% in the prior year period, representing an increase of approximately 100 basis points. For the first six months of fiscal 2026, gross profit was $190.1 million, compared to $222.3 million in the prior year period. Gross margin was 61.0%, compared to 61.7% in the prior year period, representing a decrease of approximately 70 basis points. </w:t>
      </w:r>
    </w:p>
    <w:p>
      <w:pPr>
        <w:pStyle w:val="TextBody"/>
        <w:bidi w:val="0"/>
        <w:spacing w:before="240" w:after="0"/>
        <w:jc w:val="left"/>
        <w:rPr>
          <w:rFonts w:ascii="Times New Roman" w:hAnsi="Times New Roman"/>
          <w:sz w:val="20"/>
        </w:rPr>
      </w:pPr>
      <w:r>
        <w:rPr>
          <w:rFonts w:ascii="Times New Roman" w:hAnsi="Times New Roman"/>
          <w:sz w:val="20"/>
        </w:rPr>
        <w:t xml:space="preserve">Gross margin during the second quarter was impacted by higher tariffs, changes in channel and product mix, lower private label credit income and higher shipping-related costs. These pressures were more than offset on a reported basis by the recognition of $5.3 million of refunds associated with tariffs previously paid under the International Emergency Economic Powers Act (“IEEPA”). IEEPA tariff refunds contributed approximately 330 basis points to gross margin in the second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gross margin was negatively impacted by higher tariffs, changes in channel and product mix, lower private label credit income and higher shipping-related costs, partially offset by the impact of the IEEPA-related refunds recognized during the period. IEEPA tariff refunds contributed approximately 170 basis points to gross margin in the first six months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$89.3 million, or 55.6% of net sales, in the second quarter of 2026, compared to $103.5 million, or 54.1% of net sales, in the second quarter of 2025. For the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six months of 2026, SG&amp;A expenses were $184.8 million, or 59.3% of net sales, compared to $207.0 million, or 57.4% of net sales,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$14.2 million, or approximately 13.7%, in the second quarter of 2026, compared to the second quarter of 2025. The reductions reflect actions taken to align operating expenses with lower net sales levels. For the first six months of 2026, SG&amp;A expenses decreased by $22.2 million compared to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during both the second quarter and the first six months of 2026, reflecting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Expense reductions in the period reflect both variable marketing actions and structural cost changes, including the offshore outsourcing of certain technology and other corporate functions executed during fiscal 2025, which the Company expects to continue to benefit SG&amp;A in fiscal 2026 and beyond. 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second quarter of 2026 was $3.0 million, as compared to $3.4 million in the second quarter of 2025. For the first six months of 2026, depreciation and amortization expense was $6.1 million, compared to $6.8 million for the first six months of 2025. The decrease in 2026 compared to 2025 primarily reflects lower amortization expense associated with the Avenue and Dia customer list intangible assets as a result of the higher amortization recognized in the earlier years of the assets’ useful lives.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the second quarter of 2026 were $0.6 million and $2.3 million in the first six months, primarily related to fees paid for professional services in connection with the Company’s pending Merger, compared to $0.0 million incurred during the same periods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any impairments in the second quarter of 2026 nor the second quarter of 2025. For the first six months of fiscal 2026, the Company did not record any impairment charges, compared to $5.9 million of impairment charges related to certain tradenames during the first six months of fiscal 2025. The prior-year impairment charges were recognized during the first quarter of fiscal 2025. 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$11.0 million in the second quarter of 2026, compared to $9.4 million in the second quarter of 2025. For the first six months of 2026, interest expense, net, was $22.3 million, compared to $19.1 million for the first six months of 2025. The increase in 2026 compared to 2025 reflects higher average outstanding debt balances and changes in interest rates year-over-year. As described under Recent Developments — The Merger, the First Lien Term Loan is expected to be reduced by approximately $107 million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and 2025, the Company’s effective tax rate was (16.3%) and 12.8%, respectively. For the first six months of 2026 and 2025, the Company’s effective tax rate was also (16.3%) and 12.8%, respectively. The shift to a negative effective tax rate in both the second quarter and first six months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recoverability of its deferred tax assets on an ongoing basis. Any valuation allowance recorded is based on estimates and assumptions regarding future taxable income and a determination of the magnitude of deferred tax assets that are more likely than not to be realized. During fiscal 2025, the Company recorded a valuation allowance of $19.0 million against its deferred tax asset related to disallowed interest carryforwards. Over the past two years, the plus-size apparel sector has been adversely affected by general economic weakness, including higher interest rates and rising costs, which have reduced discretionary consumer spending. Consistent with these trends, the Company experienced declining revenue over the past two years, generated an operating loss in fiscal 2025, and continued to incur operating losses during the first six months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profitability will return over the longer term, management currently expects near-term operating performance to remain under pressure. Based on the weight of available evidence, including recent operating losses and current forecasts, management concluded that the negative evidence outweighed the available positive evidence regarding the realizability of the deferred tax asset related to disallowed interest carryforwards and, accordingly, recorded a valuation allowance. The Company will continue to monitor its tax position and reassess recognition of the deferred tax asset for disallowed interest carryforwards in subsequent reporting periods. If estimates and related assumptions change in future periods, the Company may be required to record additional valuation allowances against its deferred tax assets, which could increase the effective tax rate and materially adversely affect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$3.1 million in the second quarter of 2026, compared to net income of $1.9 million in the second quarter of 2025. For the first six months of 2026, the Company reported a net loss of $29.6 million, compared to a net loss of $14.3 million for the first six months of 2025. The year-over-year decrease in results for both the second quarter and first six months of 2026 reflects lower net sales and underlying gross margin compression in the current-year period, partially offset by $5.3 million of IEEPA-related tariff refunds recognized in cost of goods sold, combined with higher interest expense. The second quarter net loss narrowed substantially relative to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$12.3 million in the second quarter of 2026 from $15.6 million in the second quarter of 2025. For the first six months of 2026, Adjusted EBITDA was $7.3 million, compared to $17.7 million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7.6% in the second quarter of 2026, compared to 8.2% in the second quarter of 2025. For the first six months of 2026, Adjusted EBITDA margin was 2.3%, compared to 4.9% for the first six months of 2025. The margin compression reflects the declining net sales and operating expense deleverage partially offset by the impact of the IEEPA tariff refunds on reported gross margin.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non-cash charges and non-recurring items. Adjusted EBITDA of $12.3 million compared to $15.6 million in the prior-year quarter — a decline of $3.3 million on a $30.5 million decline in net sales — and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January 3, 2026 Compared to Year Ended December 28, 2024 and Year Ended December 28, 2024 Compared to Year Ended December 30,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Overview – Fiscal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19"/>
        <w:gridCol w:w="391"/>
        <w:gridCol w:w="176"/>
        <w:gridCol w:w="710"/>
        <w:gridCol w:w="349"/>
        <w:gridCol w:w="310"/>
        <w:gridCol w:w="176"/>
        <w:gridCol w:w="710"/>
        <w:gridCol w:w="349"/>
        <w:gridCol w:w="310"/>
        <w:gridCol w:w="176"/>
        <w:gridCol w:w="716"/>
        <w:gridCol w:w="280"/>
      </w:tblGrid>
      <w:tr>
        <w:trPr/>
        <w:tc>
          <w:tcPr>
            <w:tcW w:w="3919"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2023</w:t>
            </w:r>
          </w:p>
        </w:tc>
        <w:tc>
          <w:tcPr>
            <w:tcW w:w="280"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3982" w:type="dxa"/>
            <w:gridSpan w:val="10"/>
            <w:tcBorders/>
            <w:vAlign w:val="bottom"/>
          </w:tcPr>
          <w:p>
            <w:pPr>
              <w:pStyle w:val="TableContents"/>
              <w:bidi w:val="0"/>
              <w:spacing w:before="0" w:after="283"/>
              <w:jc w:val="center"/>
              <w:rPr>
                <w:i/>
              </w:rPr>
            </w:pPr>
            <w:r>
              <w:rPr>
                <w:i/>
              </w:rPr>
              <w:t>(in millions, except percentage of net</w:t>
              <w:br/>
              <w:t>sales and per share data)</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720.3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805.1</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918.6</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(56.7</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36.3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62.6</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82.7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59.8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61.8</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55.4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53.4</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9.0</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(11.2</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36.4</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77.3</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(8.1</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(23.4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(17.1</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financing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(53.5</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(31.3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Fiscal 2025 results reflected a challenging year for the apparel sector, characterized by cautious consumer spending, digital traffic volatility, and heightened competitive intensity across online channels. As a digitally native plus-size retailer, the Company continued to serve a loyal and underserved customer base; however, macroeconomic pressures and softer discretionary demand weighed on overall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fiscal 2025 were $720.3 million, compared to $805.1 million in fiscal 2024, representing a decline of approximately 10.5%. The decrease primarily reflects lower demand and reduced traffic across digital and print channels, as consumers moderated discretionary apparel spending amid ongoing inflationary pressures and economic uncertainty. While difficult to quantify, we believe that the increased availability and acceptance of GLP-1 medications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As the broader apparel industry remained promotional, the Company maintained pricing discipline and while it did strategically lean into key item price points, the Company did not materially increase promotional intensity. The Company’s ability to maintain this discipline reflects, in part, the proprietary and exclusive nature of its product assortment. Because substantially all products are designed in-house and exclusive to its brands, customers cannot directly price-compare the Company’s offerings against competitors. This product exclusivity, combined with fit expertise and brand loyalty, supports the Company’s approach to margin management even during periods of elevated competitive intensity. As a result, we believe net sales trends were influenced more by traffic and conversion dynamics than by pricing actions. Within the plus-size segment, customers remained engaged with the brand’s differentiated fit, quality, and assortment; however, basket sizes and purchase frequency reflected more cautious spending behavior.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Profitability and Margins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declined to 59.8% in fiscal 2025 from 62.7% in fiscal 2024. The decrease was primarily attributable to the impact of higher tariffs, changes in channel and product mix, lower private label credit income and higher shipping expenses. The Company did not materially increase promotional activity year-over-year, and margin performance reflects continued pricing discipline in a highly competitive online apparel environment. </w:t>
      </w:r>
    </w:p>
    <w:p>
      <w:pPr>
        <w:pStyle w:val="TextBody"/>
        <w:bidi w:val="0"/>
        <w:spacing w:before="24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This dynamic represents a significant organic growth opportunity as the Company works to increase multi-brand penetration across its active customer base.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increased to 56.4% of net sales, compared to 55.4% in fiscal 2024. The increase as a percentage of net sales was primarily driven by fixed cost deleverage on lower revenue, including technology infrastructure, performance marketing, and corporate overhead. The Company continued to invest in digital platform optimization, customer analytics, and other initiatives intended to support long-term growth and customer retention. During fiscal 2025, the Company also executed a meaningful reduction in its technology cost structure through offshore outsourcing of certain technology and other corporate functions, capturing labor cost arbitrage that is expected to yield further SG&amp;A savings in fiscal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a net loss of $56.7 million, compared to net income of $1.5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(Non-GAAP) decreased to $36.3 million, compared to $62.6 million in fiscal 2024, with margin compressing to 5.0% from 7.8%. The decline reflects the combined impact of lower net sales, gross profit pressure, and fixed cost deleverage.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Cash Flow </w:t>
      </w:r>
    </w:p>
    <w:p>
      <w:pPr>
        <w:pStyle w:val="TextBody"/>
        <w:bidi w:val="0"/>
        <w:spacing w:before="120" w:after="0"/>
        <w:jc w:val="left"/>
        <w:rPr>
          <w:rFonts w:ascii="Times New Roman" w:hAnsi="Times New Roman"/>
          <w:sz w:val="20"/>
        </w:rPr>
      </w:pPr>
      <w:r>
        <w:rPr>
          <w:rFonts w:ascii="Times New Roman" w:hAnsi="Times New Roman"/>
          <w:sz w:val="20"/>
        </w:rPr>
        <w:t xml:space="preserve">Liquidity metrics reflected the impact of reduced profitability and working capital dynamics. Net cash used in operating activities was $11.2 million in fiscal 2025, compared to generating $36.4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totaled $8.1 million, entirely used for capital expenditures while fiscal 2024 reflected investment activities of $23.4 million with $9.6 million used for capital expenditures and $13.8 million used as payment for the acquisitions of Dia and Avenue.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totaled $7.7 million, compared to $53.5 million in the prior year, primarily due to reduced voluntary paydown of the term loan in 2025 as compared to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prioritize balance sheet flexibility, disciplined inventory management, and controlled capital expenditures in light of ongoing macroeconomic uncertainty. The pending Merger, if consummated, is expected to materially strengthen FBB’s capital position. The approximately $107 million reduction in First Lien Term Loan principal through equity contributions and debt-for-equity exchanges, together with the extension of the remaining maturity to August 2029, is expected to reduce leverage, address the near-term refinancing maturity, and provide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or termination of the Merger Agreement. See Note 1 to our annual audited consolidated financial statements included elsewhere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2"/>
        <w:gridCol w:w="184"/>
        <w:gridCol w:w="160"/>
        <w:gridCol w:w="929"/>
        <w:gridCol w:w="60"/>
        <w:gridCol w:w="143"/>
        <w:gridCol w:w="60"/>
        <w:gridCol w:w="642"/>
        <w:gridCol w:w="276"/>
        <w:gridCol w:w="224"/>
        <w:gridCol w:w="160"/>
        <w:gridCol w:w="928"/>
        <w:gridCol w:w="60"/>
        <w:gridCol w:w="143"/>
        <w:gridCol w:w="60"/>
        <w:gridCol w:w="642"/>
        <w:gridCol w:w="276"/>
        <w:gridCol w:w="224"/>
        <w:gridCol w:w="160"/>
        <w:gridCol w:w="929"/>
        <w:gridCol w:w="60"/>
        <w:gridCol w:w="143"/>
        <w:gridCol w:w="60"/>
        <w:gridCol w:w="642"/>
        <w:gridCol w:w="288"/>
      </w:tblGrid>
      <w:tr>
        <w:trPr/>
        <w:tc>
          <w:tcPr>
            <w:tcW w:w="275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752"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81.7</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81.8</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80.8</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13.7</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13.1</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13.5</w:t>
            </w:r>
          </w:p>
        </w:tc>
        <w:tc>
          <w:tcPr>
            <w:tcW w:w="288" w:type="dxa"/>
            <w:tcBorders/>
            <w:vAlign w:val="bottom"/>
          </w:tcPr>
          <w:p>
            <w:pPr>
              <w:pStyle w:val="TableContents"/>
              <w:bidi w:val="0"/>
              <w:spacing w:before="0" w:after="283"/>
              <w:jc w:val="left"/>
              <w:rPr>
                <w:i/>
              </w:rPr>
            </w:pPr>
            <w:r>
              <w:rPr>
                <w:i/>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4.6</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5.1</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5.7</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88" w:type="dxa"/>
            <w:tcBorders/>
            <w:vAlign w:val="bottom"/>
          </w:tcPr>
          <w:p>
            <w:pPr>
              <w:pStyle w:val="TableContents"/>
              <w:bidi w:val="0"/>
              <w:spacing w:before="0" w:after="283"/>
              <w:jc w:val="left"/>
              <w:rPr>
                <w:i/>
              </w:rPr>
            </w:pPr>
            <w:r>
              <w:rPr>
                <w:i/>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decreased to $720.3 million in fiscal 2025 from $805.1 million in fiscal 2024 and $918.6 million in fiscal 2023. The 10.5% decline in fiscal 2025 follows a 12.4% decline in fiscal 2024 compared to fiscal 2023, reflecting continued softness in demand.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$588.2 million (81.7% of net sales) in fiscal 2025, compared to $658.3 million (81.8%) in fiscal 2024 and $742.0 million (80.8%) in fiscal 2023. Men’s net sales were $98.4 million (13.7%) in fiscal 2025, compared to $105.8 million (13.1%) in fiscal 2024 and $123.8 million (13.5%) in fiscal 2023. The Men’s business, anchored by KingSize, applies the Company’s proprietary fit expertise and exclusive assortment model to the big &amp; tall men’s demographic, operating within the Classic Mall platform infrastructure. Home Décor net sales declined to $33.8 million (4.6%) in fiscal 2025 from $41.0 million (5.1%) in fiscal 2024 and $52.8 million (5.7%) in fiscal 2023.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decline in both fiscal 2025 as compared to fiscal 2024 as well as fiscal 2024 as compared to fiscal 2023 reflects primarily the impact of reduced traffic and new customer acquisition headwinds rather than deterioration in its core customer relationships. The Company’s most engaged customers — those purchasing four or more times over their lifetime — continue to drive approximately 91% of active customer sales, and approximately 76% of active customers are multi-purchase buyers. These retention dynamics may suggest the Company’s brand loyalty and fit-driven customer relationships remain intact, with fiscal 2025 revenue performance more closely tied to top-of-funnel traffic and acquisition conditions than to meaningful erosion of its established customer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totaled approximately $430.5 million in fiscal 2025, compared to $504.4 million in fiscal 2024 and $567.6 million in fiscal 2023. Gross profit was 59.8% in fiscal 2025, compared to 62.7% in fiscal 2024 and 61.8% in fiscal 2023. The 290 basis point decline in fiscal 2025 compared to fiscal 2024 follows a 90 basis point increase in fiscal 2024 compared to fiscal 2023. The decline in 2025 was driven by a 190 basis point decrease in product margin as product mix and promotion pressure caused a decrease in selling price of 2.7% while tariffs contributed to an increase in average unit cost of 2.8%. Shipping costs per order were also up in 2025 due to an increase in split shipments. In 2024, the increase was a result of an 80 basis point increase in product margin due to lower product costs. The Company’s merchandise strategy, weighted toward core replenishment styles that carry over across seasons, is designed to reduce markdown exposure and support margin stability over time as transitory headwinds moderate.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$406.2 million, or 56.4% of net sales, in fiscal 2025, compared to $445.8 million, or 55.4% of net sales, in fiscal 2024 and $490.3 million, or 53.4% of net sales,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$39.6 million in fiscal 2025 compared to fiscal 2024 and decreased by $44.5 million in fiscal 2024 compared to fiscal 2023. The reductions reflect actions taken to align operating expenses with lower net sales levels.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56.4% in fiscal 2025 from 55.4% in fiscal 2024 and 53.4% in fiscal 2023. The increase in SG&amp;A as a percentage of net sales reflects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pressure from fixed cost deleverage, the Company continued to make deliberate investments in capabilities central to its long-term platform strategy, including technology infrastructure supporting the Universal Cart and multi-brand cross-shopping, digital marketing analytics and customer lifetime value modeling, and ongoing product development in fit and proprietary design. During fiscal 2025, the Company also executed a meaningful reduction in its technology cost structure through offshore outsourcing of certain technology and other corporate functions, capturing labor cost arbitrage that is expected to yield further benefit to SG&amp;A in fiscal 2026 and beyond. The Company believes that maintaining investment in its core platform capabilities while actively managing its cost base positions it to capture operating leverage as demand stabilizes and revenue returns to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fiscal 2025 was $13.6 million, as compared to $12.1 million in fiscal 2024 and $14.4 million in fiscal 2023. The increase in fiscal 2025 compared to fiscal 2024 reflects the increase in capital expenditures in 2024 relative to 2023 generating more depreciation in 2025. The decrease in fiscal 2024 compared to fiscal 2023 reflects the decrease in amortization of the customer list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fiscal 2025 were $4.8 million and primarily related to fees paid for professional services in connection with the Company’s pending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2025, the Company recorded $5.9 million of impairment charges related to intangible assets and $10.1 million of goodwill impairment. No impairment charges were recorded in fiscal 2024. In fiscal 2023, the Company recorded $14.8 million of impairment charges related to tradenames of $11.5 million and property, plant and equipment of $3.3 million. </w:t>
      </w:r>
    </w:p>
    <w:p>
      <w:pPr>
        <w:pStyle w:val="TextBody"/>
        <w:bidi w:val="0"/>
        <w:spacing w:before="240" w:after="0"/>
        <w:jc w:val="left"/>
        <w:rPr>
          <w:rFonts w:ascii="Times New Roman" w:hAnsi="Times New Roman"/>
          <w:sz w:val="20"/>
        </w:rPr>
      </w:pPr>
      <w:r>
        <w:rPr>
          <w:rFonts w:ascii="Times New Roman" w:hAnsi="Times New Roman"/>
          <w:sz w:val="20"/>
        </w:rPr>
        <w:t xml:space="preserve">The impairment charges recognized in fiscal 2025 reflect the results of the Company’s impairment assessments performed in accordance with applicable accounting guidance. These assessments incorporate estimates of future cash flows and other valuation assumptions. The impairment charge recorded in fiscal 2023 similarly resulted from the Company’s evaluation of the recoverability of certain intangible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$38.8 million in fiscal 2025, compared to $41.8 million in fiscal 2024 and $48.1 million in fiscal 2023. The decrease in fiscal 2025 compared to fiscal 2024, and in fiscal 2024 compared to fiscal 2023, reflects lower average outstanding debt balances and changes in interest rates over the three-year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There was no loss on extinguishment of debt in fiscal 2025, as compared to $3.2 million in fiscal 2024 and $1.7 million in fiscal 2023. The losses in 2024 and 2023 were related to early paydowns of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fiscal 2025, fiscal 2024 and fiscal 2023, the Company’s effective tax rate was (16.4%), 35.5% and (506.7%) respectively. The decrease in the effective tax rate in fiscal 2025 compared to fiscal 2024 was primarily due to a $19.0 million valuation allowance recorded in 2025. The effective tax rate before the valuation allowance was 22.5% for fiscal 2025. The Company’s effective tax rate for fiscal 2023 was distorted by the fact that income was close to zero. The most significant item affecting the effective tax rate in 2023 was a nontaxable revaluation of the Company’s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In fiscal 2025, the Company recorded a valuation allowance of $19.0 million against its deferred tax asset for disallowed interest carryforwards. Over the past two years, the plus-size apparel sector has been adversely affected by general economic weakness, including higher interest rates and rising costs, which has reduced discretionary consumer spending. Consistent with these trends, the Company has experienced declining revenue over the past two years and generated an operating loss in fiscal 2025. While we believe that profitability will return over the longer term, in the near term we are forecasting operating losses. Management concluded that this negative evidence outweighs available positive evidence regarding realizability of its disallowed interest carryforward and consequently recorded a valuation allowance. We will continue to monitor our tax position and will reassess recognition of the deferred tax asset for disallowed interest carryforwards in subsequent reporting periods. If these estimates and related assumptions change in the future, the Company may be required to record additional valuation allowances against its deferred tax assets and its effective tax rate may increase which could result in a material adverse impact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$56.7 million in fiscal 2025, compared to net income of $1.5 million in fiscal 2024 and $0.5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Fiscal 2025 results included $5.9 million of intangible asset impairment charges and $10.1 million of goodwill impairment, which adversely impacted net income for the year. In fiscal 2023, the Company recorded $14.8 million of impairment charges related to tradenames of $11.5 million and property, plant and equipment of $3.3 million while no impairment charges were recorded in fiscal 2024. There was a charge related to adjusting our valuation allowance of $19.0 million in 2025 while neither 2024 nor 2023 had a valuation allowance.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$36.3 million in fiscal 2025 from $62.6 million in fiscal 2024 and $82.7 million in fiscal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margin declined to 5.0% in fiscal 2025, compared to 7.8% in fiscal 2024 and 9.0% in fiscal 2023.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The compression in Adjusted EBITDA margin from 7.8% to 5.0% in fiscal 2025 reflects the fixed cost deleverage inherent in a platform business during a period of revenue decline. This was evident in the decrease from 9.0% in fiscal 2023 to 7.8% in fiscal 2024 as well. The Company’s continued positive Adjusted EBITDA generation during fiscal 2025, despite the magnitude of revenue pressure, reflects the resilience of its underlying business economics and its disciplined approach to cost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shows relative consistency by semester with net sales in spring summer, fiscal January through fiscal June, and fall winter, fiscal July through fiscal December, being very comparable and approximately an even split of the annual results. A comparison of net sales by semester for each of the past three fiscal years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3"/>
        <w:gridCol w:w="178"/>
        <w:gridCol w:w="158"/>
        <w:gridCol w:w="1022"/>
        <w:gridCol w:w="60"/>
        <w:gridCol w:w="178"/>
        <w:gridCol w:w="60"/>
        <w:gridCol w:w="635"/>
        <w:gridCol w:w="313"/>
        <w:gridCol w:w="126"/>
        <w:gridCol w:w="158"/>
        <w:gridCol w:w="1022"/>
        <w:gridCol w:w="60"/>
        <w:gridCol w:w="178"/>
        <w:gridCol w:w="60"/>
        <w:gridCol w:w="635"/>
        <w:gridCol w:w="313"/>
        <w:gridCol w:w="126"/>
        <w:gridCol w:w="157"/>
        <w:gridCol w:w="1022"/>
        <w:gridCol w:w="60"/>
        <w:gridCol w:w="141"/>
        <w:gridCol w:w="60"/>
        <w:gridCol w:w="635"/>
        <w:gridCol w:w="285"/>
      </w:tblGrid>
      <w:tr>
        <w:trPr/>
        <w:tc>
          <w:tcPr>
            <w:tcW w:w="25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i/>
              </w:rPr>
            </w:pPr>
            <w:r>
              <w:rPr>
                <w:i/>
              </w:rPr>
              <w:t>(in thousands)</w:t>
            </w:r>
          </w:p>
        </w:tc>
        <w:tc>
          <w:tcPr>
            <w:tcW w:w="178"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5" w:type="dxa"/>
            <w:tcBorders/>
            <w:vAlign w:val="bottom"/>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half</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50.1</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410,715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51.0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461,157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50.2</w:t>
            </w:r>
          </w:p>
        </w:tc>
        <w:tc>
          <w:tcPr>
            <w:tcW w:w="285" w:type="dxa"/>
            <w:tcBorders/>
            <w:shd w:fill="CCEEFF" w:val="clear"/>
            <w:vAlign w:val="bottom"/>
          </w:tcPr>
          <w:p>
            <w:pPr>
              <w:pStyle w:val="TableContents"/>
              <w:bidi w:val="0"/>
              <w:spacing w:before="0" w:after="283"/>
              <w:jc w:val="left"/>
              <w:rPr>
                <w:i/>
              </w:rPr>
            </w:pPr>
            <w:r>
              <w:rPr>
                <w:i/>
              </w:rPr>
              <w:t>% </w:t>
            </w:r>
          </w:p>
        </w:tc>
      </w:tr>
      <w:tr>
        <w:trPr/>
        <w:tc>
          <w:tcPr>
            <w:tcW w:w="2563" w:type="dxa"/>
            <w:tcBorders/>
          </w:tcPr>
          <w:p>
            <w:pPr>
              <w:pStyle w:val="TableContents"/>
              <w:bidi w:val="0"/>
              <w:spacing w:before="0" w:after="0"/>
              <w:jc w:val="left"/>
              <w:rPr>
                <w:rFonts w:ascii="Times New Roman" w:hAnsi="Times New Roman"/>
                <w:sz w:val="20"/>
              </w:rPr>
            </w:pPr>
            <w:r>
              <w:rPr>
                <w:rFonts w:ascii="Times New Roman" w:hAnsi="Times New Roman"/>
                <w:sz w:val="20"/>
              </w:rPr>
              <w:t>Second half</w:t>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359,752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49.9</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394,382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49.0</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457,433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49.8</w:t>
            </w:r>
          </w:p>
        </w:tc>
        <w:tc>
          <w:tcPr>
            <w:tcW w:w="285" w:type="dxa"/>
            <w:tcBorders/>
            <w:vAlign w:val="bottom"/>
          </w:tcPr>
          <w:p>
            <w:pPr>
              <w:pStyle w:val="TableContents"/>
              <w:bidi w:val="0"/>
              <w:spacing w:before="0" w:after="283"/>
              <w:jc w:val="left"/>
              <w:rPr>
                <w:i/>
              </w:rPr>
            </w:pPr>
            <w:r>
              <w:rPr>
                <w:i/>
              </w:rPr>
              <w:t>% </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720,332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805,097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918,590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285" w:type="dxa"/>
            <w:tcBorders/>
            <w:shd w:fill="CCEEFF" w:val="clear"/>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are our cash and cash equivalents, cash generated from operations and availability under our ABL Credit Facility, as discussed below. We believe that our cash, cash equivalents, cash generated from operations, and borrowings available to us under our ABL Credit Facility will be adequate to meet our liquidity needs and capital expenditure requirements for at least the next 12 months assuming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second fiscal quarter of 2026 and 2025,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38"/>
        <w:gridCol w:w="463"/>
        <w:gridCol w:w="210"/>
        <w:gridCol w:w="1033"/>
        <w:gridCol w:w="155"/>
        <w:gridCol w:w="463"/>
        <w:gridCol w:w="245"/>
        <w:gridCol w:w="1205"/>
        <w:gridCol w:w="160"/>
      </w:tblGrid>
      <w:tr>
        <w:trPr/>
        <w:tc>
          <w:tcPr>
            <w:tcW w:w="4638"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463"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operating activities (GAAP basis)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(27.6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(8.9</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(4.4</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by/(used in) financing activities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period end</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21.0</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 </w:t>
            </w:r>
            <w:r>
              <w:rPr/>
              <w:t>279.1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 </w:t>
            </w:r>
            <w:r>
              <w:rPr/>
              <w:t>253.8</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71.3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$27.6 million for the first six months of fiscal 2026, compared to $8.9 million for the first six months of fiscal 2025. The increase in cash used in operating activities primarily reflected the higher net loss in the current-year period and changes in working capital. The year-over-year change in working capital was primarily attributable to a smaller reduction in merchandise inventories and an increase in accounts receivable in fiscal 2026, partially offset by favorable changes in accounts payable and accrued expenses and other liabilities. Cash interest paid during the first six months of fiscal 2026 was $18.7 million. As described under Recent Developments — The Merger, the First Lien Term Loan is expected to be reduced by approximately $107 million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was $4.1 million for the first six months of fiscal 2026, compared to $4.4 million for the first six months of fiscal 2025. Investing activities in both periods consisted of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$23.5 million for the first six months of fiscal 2026, compared to net cash used in financing activities of $4.0 million for the first six months of fiscal 2025. During the first six months of fiscal 2026, the Company received $124.0 million of proceeds from borrowings and made $100.4 million of debt repayments, in each case principally reflecting routine revolving borrowings and repayments under the ABL Facility. In comparison, financing activities during the first six months of fiscal 2025 primarily consisted of $3.5 million of debt repayments and $0.5 million of dividend payments.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activities, cash and cash equivalents decreased by $8.1 million during the first six months of fiscal 2026, from $11.3 million at the beginning of the period to $3.2 million at July 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past three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59"/>
        <w:gridCol w:w="361"/>
        <w:gridCol w:w="195"/>
        <w:gridCol w:w="958"/>
        <w:gridCol w:w="155"/>
        <w:gridCol w:w="361"/>
        <w:gridCol w:w="195"/>
        <w:gridCol w:w="958"/>
        <w:gridCol w:w="155"/>
        <w:gridCol w:w="361"/>
        <w:gridCol w:w="195"/>
        <w:gridCol w:w="958"/>
        <w:gridCol w:w="161"/>
      </w:tblGrid>
      <w:tr>
        <w:trPr/>
        <w:tc>
          <w:tcPr>
            <w:tcW w:w="3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in)/provided by operating activities (GAAP basis)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77.3</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(8.2</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(31.3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year end</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78.7</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252.9</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254.8</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298.9</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66.9</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83.0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cash flow from operating activities for fiscal 2025 compared to fiscal 2024 was primarily driven by a net loss of $(56.7) million in the current year, including non-cash impairment charges of $10.1 million related to goodwill and $5.9 million related to intangible assets, partially offset by favorable changes in working capital, particularly a $6.4 million reduction in merchandise inventories. For fiscal 2024, cash flow from </w:t>
      </w:r>
    </w:p>
    <w:p>
      <w:pPr>
        <w:pStyle w:val="TextBody"/>
        <w:bidi w:val="0"/>
        <w:spacing w:before="0" w:after="0"/>
        <w:jc w:val="left"/>
        <w:rPr>
          <w:rFonts w:ascii="Times New Roman" w:hAnsi="Times New Roman"/>
          <w:sz w:val="20"/>
        </w:rPr>
      </w:pPr>
      <w:r>
        <w:rPr>
          <w:rFonts w:ascii="Times New Roman" w:hAnsi="Times New Roman"/>
          <w:sz w:val="20"/>
        </w:rPr>
        <w:t xml:space="preserve">operating activities decreased to $36.4 million as compared to $77.3 million for fiscal 2023. The decrease in cash flow from operating activities in fiscal 2024 compared to fiscal 2023 was primarily due to unfavorable changes in working capital, which generated $9.8 million in 2024 versus $42.5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$8.1 million for fiscal 2025 as compared to $23.4 million for fiscal 2024. The decrease was primarily due to $13.8 million use of cash as payment for the acquisitions of Dia and Avenue in 2024. Net cash used in investing activities was $23.4 million for fiscal 2024 as compared to $17.1 million for fiscal 2023. The increase was primarily due to the acquisition costs of Dia and Avenue which totaled $13.8 million in 2024, compared to the acquisitions of Eloquii and CUUP in 2023, which totaled $8.9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for fiscal 2025, 2024 and 2023 was $7.7 million, $53.5 million and $31.3 million, respectively, and was primarily for debt repayments.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Reconciliations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non-GAAP financial measures on a regular basis in order to track the progress of our business, including the measures below. These non-GAAP financial measures include EBITDA, adjusted EBITDA and adjusted EBITDA margin. We believe that these measures provide helpful information with respect to the Company’s operating performance to stockholders, investors and analysts, and that the inclusion of these non-GAAP measures is important to assist investors in comparing our performance in the periods presented,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Adjusted EBITDA and Adjusted EBITDA Margin </w:t>
      </w:r>
    </w:p>
    <w:p>
      <w:pPr>
        <w:pStyle w:val="TextBody"/>
        <w:bidi w:val="0"/>
        <w:spacing w:before="120" w:after="0"/>
        <w:jc w:val="left"/>
        <w:rPr>
          <w:rFonts w:ascii="Times New Roman" w:hAnsi="Times New Roman"/>
          <w:sz w:val="20"/>
        </w:rPr>
      </w:pPr>
      <w:r>
        <w:rPr>
          <w:rFonts w:ascii="Times New Roman" w:hAnsi="Times New Roman"/>
          <w:sz w:val="20"/>
        </w:rPr>
        <w:t xml:space="preserve">EBITDA, 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severance tied to restructuring, transaction expenses and other non-recurring expenses, such as one time workforce transformation costs, stock compensation expenses and specialized one-time consulting charges. The adjustments are excluded from adjusted EBITDA due to their unusual and non-recurring nature.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net income on a GAAP basis to EBITDA and then adjusted EBITDA and adjusted EBITDA margin, on a non-GAAP basis, for each fiscal year as well as the second quarter of fiscal 2026 and 2025: </w:t>
      </w:r>
    </w:p>
    <w:p>
      <w:pPr>
        <w:pStyle w:val="TextBody"/>
        <w:bidi w:val="0"/>
        <w:spacing w:before="0" w:after="0"/>
        <w:jc w:val="left"/>
        <w:rPr/>
      </w:pPr>
      <w:r>
        <w:rPr/>
        <w:t> </w:t>
      </w:r>
    </w:p>
    <w:tbl>
      <w:tblPr>
        <w:tblW w:w="12672" w:type="dxa"/>
        <w:jc w:val="center"/>
        <w:tblInd w:w="0" w:type="dxa"/>
        <w:tblLayout w:type="fixed"/>
        <w:tblCellMar>
          <w:top w:w="0" w:type="dxa"/>
          <w:left w:w="0" w:type="dxa"/>
          <w:bottom w:w="0" w:type="dxa"/>
          <w:right w:w="0" w:type="dxa"/>
        </w:tblCellMar>
      </w:tblPr>
      <w:tblGrid>
        <w:gridCol w:w="1325"/>
        <w:gridCol w:w="60"/>
        <w:gridCol w:w="235"/>
        <w:gridCol w:w="940"/>
        <w:gridCol w:w="275"/>
        <w:gridCol w:w="60"/>
        <w:gridCol w:w="235"/>
        <w:gridCol w:w="940"/>
        <w:gridCol w:w="275"/>
        <w:gridCol w:w="60"/>
        <w:gridCol w:w="235"/>
        <w:gridCol w:w="940"/>
        <w:gridCol w:w="275"/>
        <w:gridCol w:w="60"/>
        <w:gridCol w:w="247"/>
        <w:gridCol w:w="988"/>
        <w:gridCol w:w="275"/>
        <w:gridCol w:w="60"/>
        <w:gridCol w:w="283"/>
        <w:gridCol w:w="1132"/>
        <w:gridCol w:w="275"/>
        <w:gridCol w:w="60"/>
        <w:gridCol w:w="246"/>
        <w:gridCol w:w="989"/>
        <w:gridCol w:w="421"/>
        <w:gridCol w:w="91"/>
        <w:gridCol w:w="281"/>
        <w:gridCol w:w="1134"/>
        <w:gridCol w:w="27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2025</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2024</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2023</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2" w:type="dxa"/>
            <w:gridSpan w:val="6"/>
            <w:tcBorders/>
            <w:vAlign w:val="bottom"/>
          </w:tcPr>
          <w:p>
            <w:pPr>
              <w:pStyle w:val="TableContents"/>
              <w:bidi w:val="0"/>
              <w:spacing w:before="0" w:after="283"/>
              <w:jc w:val="center"/>
              <w:rPr>
                <w:b/>
              </w:rPr>
            </w:pPr>
            <w:r>
              <w:rPr>
                <w:b/>
              </w:rPr>
              <w:t>Twenty-Six Weeks Ended</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on a 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(29.6</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4.1</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6.1</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3.0</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0.2</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0.7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on a non-GAAP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82.7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7.3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17.7</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720.3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805.1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918.6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191.1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311.7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360.6</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margin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-9.5</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on a non-GAAP basis: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second quarter of fiscal 2026, Adjusted EBITDA was $12.3 million, compared to $15.6 million in the second quarter of fiscal 2025. Adjustments for the second quarter of fiscal 2026 included $0.6 million of transaction-related expenses associated with the pending Merger, $0.4 million of litigation-related expenses and $0.1 million of non-recurring expenses. Adjustments for the second quarter of fiscal 2025 included $0.3 million of litigation-related expenses and $0.3 million of non-recurring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Adjusted EBITDA was $7.3 million, compared to $17.7 million for the first six months of fiscal 2025. Adjustments for the first six months of fiscal 2026 included $2.3 million of transaction-related expenses associated with the pending Merger, $1.2 million of litigation-related expenses, $0.7 million of non-recurring expenses and $0.2 million of severance costs. Adjustments for the first six months of fiscal 2025 included $5.9 million of non-cash impairment charges related to certain tradenames, $2.1 million of non-recurring expenses and $0.3 million of litigation-related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was 7.6% in the second quarter of fiscal 2026, compared to 8.2% in the second quarter of fiscal 2025. For the first six months of fiscal 2026, Adjusted EBITDA margin was 2.3%, compared to 4.9% for the first six months of fiscal 2025. The decreases in Adjusted EBITDA and Adjusted EBITDA margin for both the second quarter and first six months of fiscal 2026 primarily reflect lower net sales and underlying gross margin pressure, partially offset by lower SG&amp;A expenses and the impact of IEEPA-related tariff refunds recognized during the current-year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a supplemental measure of operating performance. Management believes Adjusted EBITDA, when considered together with the corresponding GAAP measures, provides useful information regarding the Company’s underlying operating performance and facilitates comparisons of operating performance between periods. Adjusted EBITDA should not be considered in isolation or as a substitute for net income (loss) or other measures of financial performance prepared in accordance with GAAP, and certain items excluded from Adjusted EBITDA may recur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senior secured asset-based revolving credit facility (the “ABL Facility”). The ABL Facility was amended in May 2021 to extend the maturity date and was further amended in December 2022 to increase total commitments to $120.0 million and extend the maturity to the earlier of December 2027 or 91 days prior to the maturity of the Company’s First Lien Term Loan (as defined below). The ABL Facility provides for borrowings of up to $120.0 million, subject to a borrowing base derived primarily from eligible inventory, in-transit inventory, and certain credit card receivables, and is reduced by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availability under the ABL Facility was $47.4 million, reflecting total capacity of $77.4 million, less $3.0 million of outstanding letters of credit and $27.0 million of outstanding borrowings.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Facility bear interest, at the Borrower’s option, at either a base rate (based on the greatest of the Prime Rate, the Federal Funds rate plus 0.50%, or SOFR plus 1.00%) or a SOFR-based rate, in each case plus an applicable margin that varies based on excess availability. The Borrower is also required to pay a commitment fee on unused commitments and customary letter of credit and agency fees. There is no scheduled amortization under the ABL Facility. Obligations under the ABL Facility are guaranteed by the Borrower and substantially all of its wholly owned domestic subsidiaries and are secured by the assets of the Borrower and the other loan parties. The ABL Facility contains customary representations and warranties, affirmative covenants and events of default and, among other things and subject to certain exceptions, restricts the ability of the Borrower and its subsidiaries to incur additional indebtedness or liens, make investments or acquisitions, dispose of assets, pay dividends, or engage in transactions with affiliates, and requires the Borrower to maintain a minimum fixed charge coverage ratio of 1.0 to 1.0 under certain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ABL Facility is described in more detail in Note 11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entering into a First Lien Security Agreement (the “First Lien Term Loan”), the Company raised $350.0 million and used the proceeds to repay its existing first lien and second lien debt facilities, including accrued interest. In addition, the Company used a portion of the proceeds to pay a dividend to shareholders, pay lender fees and original issue discount, and issue warrants to the debt holders. The First Lien Term Loan has a maturity date of August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First Lien Term Loan bear interest, at the Company’s option, at either a base rate (based on the highest of the Prime Rate, the Federal Funds rate plus 0.50%, adjusted one-month SOFR plus 1.00%, or 2.00%) or a SOFR-based rate, in each case plus an applicable margin, subject to a 1.00% floor. The First Lien Term Loan requires scheduled quarterly amortization payments of $1.75 million, as well as an annual payment based on a percentage of excess cash flow, subject to certain leverage thresholds and reductions for voluntary prepayments, with the remaining balance due at maturity. Obligations under the First Lien Term Loan are guaranteed by the borrower and substantially all of its existing wholly owned domestic subsidiaries and are required to be guaranteed by certain future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Term Loan includes customary representations and warranties, affirmative covenants, and events of default, and contains covenants that, among other things and subject to certain exceptions, restrict the ability of the Company and its subsidiaries to incur additional indebtedness or liens, make investments or acquisitions, dispose of assets, engage in affiliate transactions, or pay dividends, and requires the Company to maintain a maximum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with DXL or termination of the Merger Agreement. In connection with the Merger, the First Lien Term Loan is expected to be reduced by approximately $107 million through equity contributions and debt-for-equity exchanges and its maturity extended to August 2029, which the Company expects would reduce leverage and address the near-term maturity described above. See Note 1 to our annual audited consolidated financial statements included elsewhere in this proxy statement. The First Lien Term Loan is described in more detail in Note 11 to our consolidated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Cash interest paid was $10.8 million in the second quarter of 2026 and $8.2 million in the second quarter of 2025. Cash interest paid was $18.7 million in the first six months of 2026 and $16.8 million in the first six months of 2025. Cash interest paid was $33.0 million for fiscal 2025, $38.4 million for fiscal 2024 and $43.8 million for fiscal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off-balance sheet arrangements as defined by 303(b)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$2.5 million in the second quarter of 2026, compared to $2.6 million in the second quarter of 2025. Capital expenditures were $8.1 million in fiscal 2025, compared to $9.6 million in fiscal 2024 and $8.2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Capital investments during 2025 and continuing into the first six months of 2026 were primarily focused on the technology infrastructure supporting the Company’s multi-brand platform strategy, including continued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Universal Cart and cross-shopping capabilities, customer data and analytics systems, and e-commerce platform enhancements. The Company also continued to invest in robotic automation and other fulfillment center initiatives designed to improve throughput efficiency and reduce unit fulfillment costs over time. The Company’s direct-to-consumer model, which does not require investment in a retail store base, has historically allowed it to sustain these platform investments at capital expenditure levels of approximately 1.1% of net sales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financial statements in accordance with U.S. GAAP requires management to make estimates and assumptions that affect the amounts reported and disclosed. These estimates are based on historical experience, current business conditions, and various other assumptions that we believe to be reasonable under the circumstances. However, because future events and economic conditions are inherently uncertain, actual results may differ materially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We consider an accounting estimate to be critical if it requires significant judgment and involves a high degree of estimation uncertainty, and if changes in the estimate could have a material impact on our consolidated financial statements. Our most significant critical accounting estimates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Merchandise Inventories </w:t>
      </w:r>
    </w:p>
    <w:p>
      <w:pPr>
        <w:pStyle w:val="TextBody"/>
        <w:bidi w:val="0"/>
        <w:spacing w:before="120" w:after="0"/>
        <w:jc w:val="left"/>
        <w:rPr>
          <w:rFonts w:ascii="Times New Roman" w:hAnsi="Times New Roman"/>
          <w:sz w:val="20"/>
        </w:rPr>
      </w:pPr>
      <w:r>
        <w:rPr>
          <w:rFonts w:ascii="Times New Roman" w:hAnsi="Times New Roman"/>
          <w:sz w:val="20"/>
        </w:rPr>
        <w:t xml:space="preserve">Merchandise inventories consist primarily of purchased finished goods and are stated at the lower of cost or net realizable value. Cost is determined using a standard cost method, which includes the cost of merchandise and import-related costs such as freight, duties, and agent commissions. Inventory is relieved on a first-in, first-out (“FIFO”) basis.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net realizable value requires significant management judgment. We continually evaluate merchandise inventory to assess whether the carrying value exceeds its estimated net realizable value. This evaluation requires us to make assumptions and estimates based on a variety of factors, including the age of the inventory, the average selling cycle, current and anticipated economic conditions and estimated loss rates. </w:t>
      </w:r>
    </w:p>
    <w:p>
      <w:pPr>
        <w:pStyle w:val="TextBody"/>
        <w:bidi w:val="0"/>
        <w:spacing w:before="240" w:after="0"/>
        <w:jc w:val="left"/>
        <w:rPr>
          <w:rFonts w:ascii="Times New Roman" w:hAnsi="Times New Roman"/>
          <w:sz w:val="20"/>
        </w:rPr>
      </w:pPr>
      <w:r>
        <w:rPr>
          <w:rFonts w:ascii="Times New Roman" w:hAnsi="Times New Roman"/>
          <w:sz w:val="20"/>
        </w:rPr>
        <w:t xml:space="preserve">When we determine that the carrying value of inventory is not recoverable, we record a write-down to reduce inventory to its estimated net realizable value.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merchandise inventories totaled $117.2 million, compared to $123.6 million as of December 28, 2024. Given the significance of inventory to our consolidated financial statements, changes in assumptions regarding demand, pricing, or macroeconomic conditions could have a material impact on inventory valuation and gross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intangible assets consist primarily of tradenames (indefinite-lived). Indefinite-lived intangible assets are not amortized but are evaluated for impairment annually, or more frequently if events or changes in circumstances indicate potential impairment. </w:t>
      </w:r>
    </w:p>
    <w:p>
      <w:pPr>
        <w:pStyle w:val="TextBody"/>
        <w:bidi w:val="0"/>
        <w:spacing w:before="240" w:after="0"/>
        <w:jc w:val="left"/>
        <w:rPr>
          <w:rFonts w:ascii="Times New Roman" w:hAnsi="Times New Roman"/>
          <w:sz w:val="20"/>
        </w:rPr>
      </w:pPr>
      <w:r>
        <w:rPr>
          <w:rFonts w:ascii="Times New Roman" w:hAnsi="Times New Roman"/>
          <w:sz w:val="20"/>
        </w:rPr>
        <w:t xml:space="preserve">We may first perform a qualitative assessment to determine whether it is more likely than not that the asset is impaired. If necessary, a quantitative assessment is performed by comparing the estimated fair value of the asset to its carrying value. Fair value is determined using the relief-from-royalty method, which requires significant assumptions, including projected revenue growth, long-term growth rates, royalty rates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These assumptions are inherently subjective and highly sensitive to changes in market conditions and business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we recorded an impairment expense of $5.9 million related to certain tradenames, primarily driven by declines in demand for certain brands. No impairment was recorded in 2024. Changes in future operating performance or market conditions could result in additional impairment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over the fair value of identifiable net assets acquired and is not amortized. Goodwill is tested for impairment at least annually, or more frequently if triggering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perform either a qualitative assessment or a quantitative assessment. Qualitative factors may include, but are not limited to, economic conditions, industry and market considerations, expense factors, overall financial performance, entity specific and reporting unit events, capital markets and pricing and breakeven multiples. The quantitative test compares the fair value of the reporting unit to its carrying value. Fair value is estimated using valuation techniques that incorporate significant assumptions, including projected future cash flows, discount rates, growth rates, market multiples and comparable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estimates require significant judgment and are sensitive to changes in financial performance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 goodwill impairment charge of $10.1 million following a quantitative assessment triggered by declines in net sales and gross profit. No impairment was recorded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 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which requires recognition of deferred tax assets and liabilities for temporary differences between the financial statement and tax bases of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realizability of deferred tax assets on a periodic basis by assessing whether it is more likely than not that such assets will be realized. This assessment requires significant judgment and is based on historical operating results, forecasted future taxable income, reversal of existing temporary differences and available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When it is determined that some or all of a deferred tax asset is not realizable,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we recorded a valuation allowance of $19.0 million against deferred tax assets related to disallowed interest carryforwards, reflecting our assessment that it is more likely than not that these assets will not be realized. No valuation allowance was recorded as of December 28, 2024. Changes in our profitability assumptions or tax planning strategies could materially impact the valuation allowance and our effective tax rate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accounting pronouncements and interpretations thereof that have effective dates during the periods reported and in future periods. See Note 2 to our consolidated annual financial statements included elsewhere in this proxy statement for information on recent accounting pronouncements and the impact of impending standards on our future filings.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form of changes in interest rates, as our outstanding debt is subject to interest computed based upon variable interest rates. A 1% increase in the base interest rate applied to our debt outstanding at July 4, 2026 would result in an annual increase to interest expense of $2.9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76201_79"/>
      <w:bookmarkEnd w:id="8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Destination XL Group, Inc., a Delaware corporation (“DXL”), Divine Merger Sub I, Inc., a Delaware corporation and wholly owned direct subsidiary of DXL (the “merger subsidiary”), and FBB Holdings I, Inc., a Delaware corporation (“FBB”), entered into an Agreement and Plan of Merger (the “merger agreement”), pursuant to which the merger subsidiary will merge with and into FBB, with FBB continuing as the surviving corporation and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The following unaudited pro forma condensed combined financial information has been prepared in accordance with Article 11 of Regulation S-X. The unaudited pro forma condensed combined financial information assumes that the merger is accounted for as a reverse acquisition under the acquisition method of accounting for business combinations in accordance with U.S. generally accepted accounting principles (“U.S. GAAP”), with FBB as the accounting acquirer pursuant to Accounting Standards Codification Topic 805, Business Combinations (“ASC 805”). Accordingly, the unaudited pro forma condensed combined financial information also assumes that the assets and liabilities of DXL will be recorded by FBB at their respective fair values as of the effective date. The historical financial statements of FBB and DXL have been adjusted in the accompanying unaudited pro forma condensed combined financial information to give pro forma effect to the transaction accounting adjustments which are necessary to account for the merger (the “Transaction Accounting Adjustments”) and other transactions (the “Other Transaction Accounting Adjustments”, collectively the “Transactions”), in accordance with U.S. GAAP. See the “</w:t>
      </w:r>
      <w:r>
        <w:rPr>
          <w:rFonts w:ascii="Times New Roman" w:hAnsi="Times New Roman"/>
          <w:i/>
          <w:sz w:val="20"/>
        </w:rPr>
        <w:t>Description of the Concurrent Financing and Equity Transactions</w:t>
      </w:r>
      <w:r>
        <w:rPr>
          <w:rFonts w:ascii="Times New Roman" w:hAnsi="Times New Roman"/>
          <w:sz w:val="20"/>
        </w:rPr>
        <w:t xml:space="preserve">” section below for further explanation of the Other Transaction Accounting Adjustments. The unaudited pro forma adjustments are based upon available information and certain assumptions that our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 Accounting Adjustments and Other Transaction Accounting Adjustments (collectively, the “Adjustments”) as if those transactions had been completed on May 2, 2026 and combines the unaudited condensed consolidated balance sheet of FBB as of April 4, 2026 with DXL’s unaudited consolidated balance sheet as of May 2,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three months ended May 2, 2026 and the fiscal year ended January 31, 2026 gives effect to the Transactions as if those Transactions had occurred on February 2, 2025. The unaudited pro forma condensed combined statement of operations for the three months ended May 2, 2026 combines the unaudited condensed consolidated statement of operations of FBB for the thirteen weeks ended April 4, 2026 and DXL’s unaudited consolidated statement of operations for the three months ended May 2, 2026. The unaudited pro forma condensed combined statement of operations for the fiscal year ended January 31, 2026 combines the audited consolidated statement of operations of FBB for the fiscal year ended January 3, 2026 and DXL’s audited consolidated statement of operations for the fiscal year ended January 31, 2026. Amounts, including share amounts, in the unaudited pro forma financial information below may not foot due to immaterial rounding differences.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FBB as of and for the thirteen weeks ended April 4,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FBB as of and for the fiscal year ended January 3, 2026 and the related notes, included elsewhere in this proxy statement;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DXL as of and for the three months ended May 2, 2026 and the related notes, included in DXL’s Quarterly Report on Form 10-Q for the period ended May 2, 2026, as filed with the Securities and Exchange Commission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DXL as of and for the fiscal year ended January 31, 2026 and the related notes, included in DXL’s Annual Report on Form 10-K for the fiscal year ended January 31, 2026, as filed with the Securities and Exchange Commission (the “SEC”) on March 19,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DXL, merger subsidiary, and FBB, entered into the merger agreement, pursuant to which the merger subsidiary will merge with and into FBB, with FBB continuing as the surviving corporation as a wholly owned subsidiary of DXL.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(“Excluded Shares”), (ii) any dissenting shares (“Appraisal Shares”), and (iii) any shares held by a FBB stockholder that is an unaccredited investor (“Unaccredited Investor Shares”)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and subject to certain assumptions, including, but not limited to: (i) the closing date and (ii) FBB issuing approximately 111.4 million shares of common stock in the private placement. The post-closing equity split is subject to certain adjustments, including the closing date, the number of shares of FBB common stock issued in the private placement, and to account for the effect of a reverse stock split.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share of FBB common stock held immediately prior to the effective time by an FBB stockholder that is an unaccredited investor, the Unaccredited Investor Shares, will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10 consecutive trading days immediately preceding the trading day 2 days before the closing date of the merger. No unaccredited investor will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unaudited pro forma condensed combined financial information, the estimated number of shares of DXL common stock that DXL expects to issue to FBB’s stockholders (ignoring rounding of fractional shares) is determined as follows, prior to giving effect to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8"/>
        <w:gridCol w:w="468"/>
        <w:gridCol w:w="60"/>
        <w:gridCol w:w="805"/>
        <w:gridCol w:w="60"/>
        <w:gridCol w:w="468"/>
        <w:gridCol w:w="250"/>
        <w:gridCol w:w="1575"/>
        <w:gridCol w:w="281"/>
      </w:tblGrid>
      <w:tr>
        <w:trPr/>
        <w:tc>
          <w:tcPr>
            <w:tcW w:w="37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(shares, in thousands)</w:t>
            </w:r>
          </w:p>
        </w:tc>
        <w:tc>
          <w:tcPr>
            <w:tcW w:w="468"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 Held</w:t>
              <w:br/>
              <w:t>at Close</w:t>
            </w:r>
          </w:p>
        </w:tc>
        <w:tc>
          <w:tcPr>
            <w:tcW w:w="281"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issued and outstanding at April 4, 2026(1)</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converted into common stock immediately prior to close(2)</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that will be sold and issued for the private placement prior to closing</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111,426</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112,444</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ratio(3)</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0.6086</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DXL common stock expected to be issued to FBB upon closing</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68,431</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DXL on closing, on a diluted basis</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55,989</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total shares of DXL upon closing, on a diluted basis</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124,420</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following FBB common stock, due to immaterial impact; (i) Excluded Shares, (ii) Appraisal Shares, and (iii) Unaccredited Investor Shares.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elsewhere in the proxy statement, Holders of Preferred Stock will convert their shares to common stock at a pro-rata conversion equal to 15% of outstanding common stock as of April 4, 2026.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calculation assumes that there were 55,988,908 outstanding shares of DXL common stock on a fully diluted basis using the treasury stock method as of May 2, 2026 for purposes of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DXL common stock expected to be issued in connection with the merger is preliminary, and the estimated number of shares utilized in the unaudited pro forma condensed combined financial information is based upon FBB and DXL common stock outstanding as of their respective fiscal year-end dates presented above and estimated common stock in connection with the merger. The actual number of shares issued at closing will depend on the number of shares outstanding immediately prior to the effective time of the merger, including shares issued in connection with the private placement, as well as any changes in equity structure or other adjustments in accordance with the merger agreement. Accordingly, the final number of shares issued at closing may differ from the amounts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DXL will seek the approval of its stockholders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as discussed below.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will remain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be unaffected by the merger, other than adjustments for the reverse stock split and those shares subject to acceleration upon the consummation of the merger. The consideration transferred has been updated to include the fair value of these awards attributable to pre-combination service. DXL’s deferred stock automatically vest upon a change in control and the fair value at the closing date is attributable to pre-combination service and included in consideration transferred.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issued and outstanding under the DXL long-term incentive plan at the effective time of the merger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in shares of DXL common stock. The performance conditions are not considered probable of vesting and there is no impact to stock-based compensation expense or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Vesting of FBB’s equity awards was accelerated in connection with the merger. As a result, the related stock-based compensation expense has been reflected in the pro forma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Concurrent Financing and Equity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stipulated in the merger agreement, FBB will issue and sell FBB common stock for aggregate gross proceeds of approximately $107 million (the “private placement”). The proceeds of the private placement will be used to cancel a portion of FBB’s indebtedness by certain commitment and subscription agreements with certain of its existing stockholders and lenders prior to the closing of the effective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purchasers named therein (the “private placement investors”), pursuant to which the private placement investors agreed to purchase, and FBB agreed to sell, shares of FBB common stock for an aggregate purchase price of approximately $107 million. In addition, in connection with the private placement, the private placement investors were granted certain registration rights with respect to the shares of FBB common stock purchased in the private placement, which will be exchanged for shares of DXL common stock at the effective time. Such registration rights will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 Following the closing date of the Merger, the intent is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and DXL, as a combined company, to enter into a new ABL credit agreement, cancelling the Existing FBB ABL Agreement and Existing DXL ABL Agreement, and draw on the new ABL to pay off a portion of the FBB term loan and Existing FBB ABL. In connection with the Merger, FBB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These debt and equity transactions contemplated in the merger agreement and this proxy statement, as well as the reverse stock split are referred to herein as the Other Transaction Accounting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being accounted for as a business combination, and reverse acquisition, using the acquisition method in accordance with ASC 805, where FBB, the legal acquiree, is determined to be the accounting acquirer of DXL. Refer to Note 1 - Basis of Presentation for more information. Under this method of accounting, the aggregate merger consideration will be allocated to DXL’s assets acquired and liabilities assumed based upon their estimated fair values at the date of completion of the merger. The process of valuing the aggregate merger consideration and net assets of DXL immediately prior to the merger, as well as evaluating accounting policies for conformity, is preliminary. Any excess or shortfall between the estimated fair value of the consideration transferred and the estimated fair value of the assets acquired and liabilities assumed will be recorded as goodwill or gain on bargain purchase, respectively. Fair value measurements can be highly subjective, and it is possible the application of reasonable judgment could develop different assumptions resulting in a range of alternative estimates using the same facts and circumstances. Accordingly, the aggregate merger consideration allocation and related adjustments reflected in this unaudited pro forma condensed combined financial information are preliminary and subject to revision as additional information becomes available, change in market conditions, and management’s final determinations of fair value.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financial data included in the accompanying notes to the unaudited combined financial information is presented in millions of U.S. Dollars, unless otherwise stated, and has been prepared on the basis of U.S. GAAP.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presented is for informational purposes only and is not necessarily indicative of the financial position or results of operations that would have been realized if the merger and the private placement had been completed on the dates set forth above, nor is it indicative of the future results or financial position of the combined company. The unaudited pro forma condensed combined financial information does not reflect any anticipated synergies,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management believes are reasonable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center"/>
        <w:rPr>
          <w:rFonts w:ascii="Times New Roman" w:hAnsi="Times New Roman"/>
          <w:b/>
          <w:sz w:val="16"/>
        </w:rPr>
      </w:pPr>
      <w:r>
        <w:rPr>
          <w:rFonts w:ascii="Times New Roman" w:hAnsi="Times New Roman"/>
          <w:b/>
          <w:sz w:val="16"/>
        </w:rPr>
        <w:t xml:space="preserve">As of May 2, 2026 </w:t>
      </w:r>
    </w:p>
    <w:p>
      <w:pPr>
        <w:pStyle w:val="TextBody"/>
        <w:bidi w:val="0"/>
        <w:spacing w:before="0" w:after="0"/>
        <w:jc w:val="center"/>
        <w:rPr>
          <w:rFonts w:ascii="Times New Roman" w:hAnsi="Times New Roman"/>
          <w:b/>
          <w:sz w:val="16"/>
        </w:rPr>
      </w:pPr>
      <w:r>
        <w:rPr>
          <w:rFonts w:ascii="Times New Roman" w:hAnsi="Times New Roman"/>
          <w:b/>
          <w:sz w:val="16"/>
        </w:rPr>
        <w:t xml:space="preserve">($ in thousands) </w:t>
      </w:r>
    </w:p>
    <w:p>
      <w:pPr>
        <w:pStyle w:val="TextBody"/>
        <w:bidi w:val="0"/>
        <w:spacing w:before="0" w:after="0"/>
        <w:jc w:val="left"/>
        <w:rPr/>
      </w:pPr>
      <w:r>
        <w:rPr/>
        <w:t> </w:t>
      </w:r>
    </w:p>
    <w:tbl>
      <w:tblPr>
        <w:tblW w:w="10860" w:type="dxa"/>
        <w:jc w:val="center"/>
        <w:tblInd w:w="0" w:type="dxa"/>
        <w:tblLayout w:type="fixed"/>
        <w:tblCellMar>
          <w:top w:w="0" w:type="dxa"/>
          <w:left w:w="0" w:type="dxa"/>
          <w:bottom w:w="0" w:type="dxa"/>
          <w:right w:w="0" w:type="dxa"/>
        </w:tblCellMar>
      </w:tblPr>
      <w:tblGrid>
        <w:gridCol w:w="1085"/>
        <w:gridCol w:w="60"/>
        <w:gridCol w:w="220"/>
        <w:gridCol w:w="1375"/>
        <w:gridCol w:w="155"/>
        <w:gridCol w:w="60"/>
        <w:gridCol w:w="201"/>
        <w:gridCol w:w="1259"/>
        <w:gridCol w:w="155"/>
        <w:gridCol w:w="60"/>
        <w:gridCol w:w="180"/>
        <w:gridCol w:w="1130"/>
        <w:gridCol w:w="155"/>
        <w:gridCol w:w="60"/>
        <w:gridCol w:w="164"/>
        <w:gridCol w:w="591"/>
        <w:gridCol w:w="155"/>
        <w:gridCol w:w="60"/>
        <w:gridCol w:w="204"/>
        <w:gridCol w:w="1106"/>
        <w:gridCol w:w="155"/>
        <w:gridCol w:w="60"/>
        <w:gridCol w:w="164"/>
        <w:gridCol w:w="591"/>
        <w:gridCol w:w="155"/>
        <w:gridCol w:w="60"/>
        <w:gridCol w:w="149"/>
        <w:gridCol w:w="936"/>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As of</w:t>
              <w:br/>
              <w:t>May 2,</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As of</w:t>
              <w:br/>
              <w:t>April 4,</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r>
            <w:r>
              <w:rPr/>
              <w:br/>
            </w:r>
            <w:r>
              <w:rPr>
                <w:b/>
              </w:rP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 </w:t>
            </w:r>
          </w:p>
        </w:tc>
        <w:tc>
          <w:tcPr>
            <w:tcW w:w="1375"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pPr>
            <w:r>
              <w:rPr/>
              <w:t> </w:t>
            </w:r>
          </w:p>
        </w:tc>
        <w:tc>
          <w:tcPr>
            <w:tcW w:w="1259"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pPr>
            <w:r>
              <w:rPr/>
              <w:t> </w:t>
            </w:r>
          </w:p>
        </w:tc>
        <w:tc>
          <w:tcPr>
            <w:tcW w:w="1130"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pPr>
            <w:r>
              <w:rPr/>
              <w:t> </w:t>
            </w:r>
          </w:p>
        </w:tc>
        <w:tc>
          <w:tcPr>
            <w:tcW w:w="110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 </w:t>
            </w:r>
          </w:p>
        </w:tc>
        <w:tc>
          <w:tcPr>
            <w:tcW w:w="93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11,098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14,518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5,078</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7,590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122,473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203,867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9,503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18,524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27,951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108,847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152,378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259,004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31,898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(48,244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41,955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197,078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(17,395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206,273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130,417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130,417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2,560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16,595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16,595</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366,120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359,227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(68,268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656,804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155" w:type="dxa"/>
            <w:tcBorders/>
            <w:shd w:fill="CCEEFF" w:val="clear"/>
          </w:tcPr>
          <w:p>
            <w:pPr>
              <w:pStyle w:val="TableContents"/>
              <w:bidi w:val="0"/>
              <w:spacing w:before="0" w:after="0"/>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30,064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47,561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77,625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20,237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50,077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73,200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Short-term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36,273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r>
              <w:rPr/>
              <w:t>7,982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44,255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86,574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112,620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202,080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3,446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2,636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269,217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(72,767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196,450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Long-term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176,810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198,531</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176,976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294,384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(72,767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397,617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263,550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407,004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(72,767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599,697</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Convertible preferred stock</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1,241</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331,439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(272,588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72,089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334,554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Treasury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(85,694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(273,112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80,393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(278,688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102,570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(69,489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(44,116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69,255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58,220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366,120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359,227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(63,918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661,154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Three Months Ended May 2,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300"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48"/>
        <w:gridCol w:w="1422"/>
        <w:gridCol w:w="155"/>
        <w:gridCol w:w="60"/>
        <w:gridCol w:w="236"/>
        <w:gridCol w:w="1074"/>
        <w:gridCol w:w="155"/>
        <w:gridCol w:w="60"/>
        <w:gridCol w:w="110"/>
        <w:gridCol w:w="645"/>
        <w:gridCol w:w="60"/>
        <w:gridCol w:w="60"/>
        <w:gridCol w:w="236"/>
        <w:gridCol w:w="1074"/>
        <w:gridCol w:w="155"/>
        <w:gridCol w:w="60"/>
        <w:gridCol w:w="129"/>
        <w:gridCol w:w="626"/>
        <w:gridCol w:w="60"/>
        <w:gridCol w:w="60"/>
        <w:gridCol w:w="170"/>
        <w:gridCol w:w="975"/>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w:t>
              <w:br/>
              <w:t>Three Months</w:t>
              <w:br/>
              <w:t>Ended May 2,</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 I,</w:t>
              <w:br/>
              <w:t>Inc. Thirteen</w:t>
              <w:br/>
              <w:t>Weeks Ended</w:t>
              <w:br/>
              <w:t>April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103,335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151,174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254,509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58,022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62,230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119,475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45,313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88,944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135,034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46,043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95,553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141,596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3,968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3,153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(3,172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3,949</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1,241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1,703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2,944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51,252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100,409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(3,172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148,489</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(11,465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(13,455</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11,332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(7,610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3,641</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(5,877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(22,797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3,968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7,610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(17,096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965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1,850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6,586</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(5,939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3,003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5,760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(23,682</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4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(0.19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54,916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123,347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January 31,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0495" w:type="dxa"/>
        <w:jc w:val="center"/>
        <w:tblInd w:w="0" w:type="dxa"/>
        <w:tblLayout w:type="fixed"/>
        <w:tblCellMar>
          <w:top w:w="0" w:type="dxa"/>
          <w:left w:w="0" w:type="dxa"/>
          <w:bottom w:w="0" w:type="dxa"/>
          <w:right w:w="0" w:type="dxa"/>
        </w:tblCellMar>
      </w:tblPr>
      <w:tblGrid>
        <w:gridCol w:w="1400"/>
        <w:gridCol w:w="60"/>
        <w:gridCol w:w="235"/>
        <w:gridCol w:w="1345"/>
        <w:gridCol w:w="155"/>
        <w:gridCol w:w="60"/>
        <w:gridCol w:w="217"/>
        <w:gridCol w:w="1243"/>
        <w:gridCol w:w="155"/>
        <w:gridCol w:w="60"/>
        <w:gridCol w:w="204"/>
        <w:gridCol w:w="1106"/>
        <w:gridCol w:w="155"/>
        <w:gridCol w:w="60"/>
        <w:gridCol w:w="560"/>
        <w:gridCol w:w="60"/>
        <w:gridCol w:w="204"/>
        <w:gridCol w:w="1106"/>
        <w:gridCol w:w="155"/>
        <w:gridCol w:w="60"/>
        <w:gridCol w:w="560"/>
        <w:gridCol w:w="60"/>
        <w:gridCol w:w="140"/>
        <w:gridCol w:w="980"/>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w:t>
              <w:br/>
              <w:t>January 31,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Year</w:t>
              <w:br/>
              <w:t>Ended</w:t>
              <w:br/>
              <w:t>January 3,</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5)</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435,017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1,155,349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247,645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(3,106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534,393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187,372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620,956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406,227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594,404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(12,686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16,237</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11,930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(gain) of assets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Total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440,600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(7,385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638,746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10,491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(17,790</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(o)</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(23,721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14,133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(f)</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10,604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23,507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(31,923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5,717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34,861</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8,025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17,790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(66,784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(0.55</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54,104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122,535</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DXL and FBB’s historical financial statements were prepared in accordance with U.S. GAAP and presented in U.S. dollars. As discussed in Note 2, certain reclassifications were made to align DXL and FBB’s financial statement presentation. Management is currently in the process of evaluating the alignment of accounting policies, which will be finalized upon completion of the merger, or as more information becomes available. As a result of that review, additional differences could be identified between the accounting policies of the two companies. With the information currently available, FBB has determined that no significant adjustments are necessary to conform DXL’s financial statements to the accounting policies used by FBB.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business combination and a reverse acquisition pursuant to ASC 805, where FBB, the legal acquiree, is determined to be the accounting acquirer of DXL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FBB shareholders will have approximately 55%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surpasses DXL in size as measured in key performance metrics including revenue, assets and Earnings Before Interest, Taxes, Depreciation, and Amortization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existing senior management team is expected to have greater influence and control, including the FBB chief executive officer continuing as the chief executive officer and becoming a director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DXL and committees thereof will be comprised of four members designated by DXL, four members designated by FBB, including the FBB chief executive officer, and an additional board member to be appointed upon approval of both DXL and FBB.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assets and liabilities of DXL as of the closing date will be recognized by FBB at their respective fair values, and the excess or shortfall of the purchase price consideration over the fair value of DXL’s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Upon consummation of the merger, the historical financial statements of FBB will become the historical consolidated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and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DXL existing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Transactions as if those Transactions had been completed on May 2, 2026 and combines the unaudited condensed consolidated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of FBB as of April 4, 2026 with DXL’s unaudited consolidated balance sheet as of May 2, 2026. The unaudited pro forma condensed combined statement of operations for the three months ended May 2, 2026 and fiscal year ended January 31, 2026 gives effect to the Transactions as if those Transactions had occurred on February 2, 2025, the beginning of DXL’s fiscal year ended and combines the historical results of FBB and DXL. </w:t>
      </w:r>
    </w:p>
    <w:p>
      <w:pPr>
        <w:pStyle w:val="TextBody"/>
        <w:bidi w:val="0"/>
        <w:spacing w:before="240" w:after="0"/>
        <w:jc w:val="left"/>
        <w:rPr>
          <w:rFonts w:ascii="Times New Roman" w:hAnsi="Times New Roman"/>
          <w:sz w:val="20"/>
        </w:rPr>
      </w:pPr>
      <w:r>
        <w:rPr>
          <w:rFonts w:ascii="Times New Roman" w:hAnsi="Times New Roman"/>
          <w:sz w:val="20"/>
        </w:rPr>
        <w:t xml:space="preserve">DXL’s fiscal year ends on January 31, 2026 and FBB’s fiscal year ends on January 3, 2026. The unaudited pro forma condensed combined financial information has been prepared utilizing periods that differ by less than one quarter, as permitted by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presented are for illustrative purposes only and are not necessarily indicative of what the condensed combined statements of operations would have been had the merger and other related transactions been consummated as of the dates indicated or will be for any future periods. The unaudited pro forma condensed combined financial statements do not purport to project the future results of operations of the combined companies following the closing date of the merger. The unaudited pro forma condensed combined financial information does not reflect any anticipated synergies or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FBB and DXL believe are reasonable under the circumstances. FBB is not aware of any material transactions between FBB and DXL during the period presented. Accordingly, adjustments to eliminate transactions between FBB and DXL have not been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FBB and DXL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this unaudited pro forma condensed combined financial information, management performed a preliminary analysis of DXL’s and FBB’s financial information to identify material differences in accounting policies and differences in financial statement presentation. With the information currently available, management has determined that no significant adjustments are necessary to conform accounting policies of the combined companies. However, certain reclassification adjustments have been made to conform historical financial statement presentation to the financial statement presentation of the combined company. Following the merger, the combined company will finalize the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reclassification adjustments made to present DXL’s balance sheet as of May 2, 2026 to conform with that of FBB’s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76"/>
        <w:gridCol w:w="3808"/>
        <w:gridCol w:w="176"/>
        <w:gridCol w:w="389"/>
        <w:gridCol w:w="2437"/>
        <w:gridCol w:w="159"/>
      </w:tblGrid>
      <w:tr>
        <w:trPr/>
        <w:tc>
          <w:tcPr>
            <w:tcW w:w="30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Destination XL Group, Inc. Historical</w:t>
              <w:br/>
              <w:t>Consolidated Balance Sheet Line Items</w:t>
            </w:r>
          </w:p>
        </w:tc>
        <w:tc>
          <w:tcPr>
            <w:tcW w:w="176" w:type="dxa"/>
            <w:tcBorders/>
            <w:vAlign w:val="bottom"/>
          </w:tcPr>
          <w:p>
            <w:pPr>
              <w:pStyle w:val="TableContents"/>
              <w:bidi w:val="0"/>
              <w:spacing w:before="0" w:after="283"/>
              <w:jc w:val="left"/>
              <w:rPr/>
            </w:pPr>
            <w:r>
              <w:rPr/>
              <w:t>  </w:t>
            </w:r>
          </w:p>
        </w:tc>
        <w:tc>
          <w:tcPr>
            <w:tcW w:w="38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FBB Holdings I, Inc. Historical Consolidated</w:t>
            </w:r>
          </w:p>
          <w:p>
            <w:pPr>
              <w:pStyle w:val="TableContents"/>
              <w:bidi w:val="0"/>
              <w:spacing w:before="0" w:after="20"/>
              <w:jc w:val="center"/>
              <w:rPr>
                <w:rFonts w:ascii="Times New Roman" w:hAnsi="Times New Roman"/>
                <w:b/>
                <w:sz w:val="16"/>
              </w:rPr>
            </w:pPr>
            <w:r>
              <w:rPr>
                <w:rFonts w:ascii="Times New Roman" w:hAnsi="Times New Roman"/>
                <w:b/>
                <w:sz w:val="16"/>
              </w:rPr>
              <w:t>Balance Sheet Line Items</w:t>
            </w:r>
          </w:p>
        </w:tc>
        <w:tc>
          <w:tcPr>
            <w:tcW w:w="176" w:type="dxa"/>
            <w:tcBorders/>
            <w:vAlign w:val="bottom"/>
          </w:tcPr>
          <w:p>
            <w:pPr>
              <w:pStyle w:val="TableContents"/>
              <w:bidi w:val="0"/>
              <w:spacing w:before="0" w:after="283"/>
              <w:jc w:val="left"/>
              <w:rPr/>
            </w:pPr>
            <w:r>
              <w:rPr/>
              <w:t>  </w:t>
            </w:r>
          </w:p>
        </w:tc>
        <w:tc>
          <w:tcPr>
            <w:tcW w:w="2826"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Reclassed</w:t>
            </w:r>
            <w:r>
              <w:rPr/>
              <w:br/>
            </w:r>
            <w:r>
              <w:rPr>
                <w:b/>
              </w:rPr>
              <w:t>As of May 2, 2026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Cash and cash equivalents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2437" w:type="dxa"/>
            <w:tcBorders/>
            <w:shd w:fill="CCEEFF" w:val="clear"/>
            <w:vAlign w:val="bottom"/>
          </w:tcPr>
          <w:p>
            <w:pPr>
              <w:pStyle w:val="TableContents"/>
              <w:bidi w:val="0"/>
              <w:spacing w:before="0" w:after="283"/>
              <w:jc w:val="right"/>
              <w:rPr/>
            </w:pPr>
            <w:r>
              <w:rPr/>
              <w:t>11,098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5,078</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Accounts receivable</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1,774</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Merchandise inventories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81,394</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9,503</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and amortization</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Property, plant, and equipment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58,301</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197,078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Intangible assets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1,150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non-current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744</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Accounts payable</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30,064</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Accrued expenses and other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20,237</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current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Short-term operating lease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36,273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noncurrent</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Long-term operating lease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176,810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Other non-current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166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Common stock</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810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Additional paid-in capital</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331,439</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(143,985</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Accumulated deficit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(85,694</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three months ended May 2, 2026 to conform with that of FBB’s (in thousands): </w:t>
      </w:r>
    </w:p>
    <w:p>
      <w:pPr>
        <w:pStyle w:val="TextBody"/>
        <w:bidi w:val="0"/>
        <w:spacing w:before="0" w:after="0"/>
        <w:jc w:val="left"/>
        <w:rPr/>
      </w:pPr>
      <w:r>
        <w:rPr/>
        <w:t> </w:t>
      </w:r>
    </w:p>
    <w:tbl>
      <w:tblPr>
        <w:tblW w:w="14155"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371"/>
        <w:gridCol w:w="1209"/>
        <w:gridCol w:w="155"/>
        <w:gridCol w:w="60"/>
        <w:gridCol w:w="60"/>
        <w:gridCol w:w="440"/>
        <w:gridCol w:w="155"/>
        <w:gridCol w:w="60"/>
        <w:gridCol w:w="335"/>
        <w:gridCol w:w="192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Three Months Ended</w:t>
            </w:r>
            <w:r>
              <w:rPr/>
              <w:br/>
            </w:r>
            <w:r>
              <w:rPr>
                <w:b/>
              </w:rPr>
              <w:t>May 2,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w:t>
              <w:br/>
              <w:t>Group, Inc. Reclassed</w:t>
            </w:r>
            <w:r>
              <w:rPr/>
              <w:br/>
            </w:r>
            <w:r>
              <w:rPr>
                <w:b/>
              </w:rPr>
              <w:t>Three Months</w:t>
              <w:br/>
              <w:t>Ended May 2, 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103,335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920" w:type="dxa"/>
            <w:tcBorders/>
            <w:shd w:fill="CCEEFF" w:val="clear"/>
            <w:vAlign w:val="bottom"/>
          </w:tcPr>
          <w:p>
            <w:pPr>
              <w:pStyle w:val="TableContents"/>
              <w:bidi w:val="0"/>
              <w:spacing w:before="0" w:after="283"/>
              <w:jc w:val="right"/>
              <w:rPr/>
            </w:pPr>
            <w:r>
              <w:rPr/>
              <w:t>103,335</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57,583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58,022</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46,482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46,043</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3,968</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Interest expense - net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Income tax expense (benefit)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$0.8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$0.4 million of third-party commissions from cost of goods sold to selling, general, and administrative.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year ended January 31, 2026 to conform with that of FBB’s (in thousands): </w:t>
      </w:r>
    </w:p>
    <w:p>
      <w:pPr>
        <w:pStyle w:val="TextBody"/>
        <w:bidi w:val="0"/>
        <w:spacing w:before="0" w:after="0"/>
        <w:jc w:val="left"/>
        <w:rPr/>
      </w:pPr>
      <w:r>
        <w:rPr/>
        <w:t> </w:t>
      </w:r>
    </w:p>
    <w:tbl>
      <w:tblPr>
        <w:tblW w:w="13870"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285"/>
        <w:gridCol w:w="1295"/>
        <w:gridCol w:w="155"/>
        <w:gridCol w:w="60"/>
        <w:gridCol w:w="60"/>
        <w:gridCol w:w="440"/>
        <w:gridCol w:w="155"/>
        <w:gridCol w:w="60"/>
        <w:gridCol w:w="293"/>
        <w:gridCol w:w="1677"/>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Year Ended</w:t>
            </w:r>
            <w:r>
              <w:rPr/>
              <w:br/>
            </w:r>
            <w:r>
              <w:rPr>
                <w:b/>
              </w:rPr>
              <w:t>January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 January 31,</w:t>
              <w:br/>
              <w:t>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246,030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247,645</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187,377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185,762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(gain) of assets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Depreciation and amortization</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Interest expense - net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Income tax expense (benefit)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$3.4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$1.7 million of third-party commissions from cost of goods sold to selling, general, and administrative.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 Preliminary Purchase Price Allocation </w:t>
      </w:r>
    </w:p>
    <w:p>
      <w:pPr>
        <w:pStyle w:val="TextBody"/>
        <w:bidi w:val="0"/>
        <w:spacing w:before="120" w:after="0"/>
        <w:jc w:val="left"/>
        <w:rPr>
          <w:rFonts w:ascii="Times New Roman" w:hAnsi="Times New Roman"/>
          <w:i/>
          <w:sz w:val="20"/>
        </w:rPr>
      </w:pPr>
      <w:r>
        <w:rPr>
          <w:rFonts w:ascii="Times New Roman" w:hAnsi="Times New Roman"/>
          <w:i/>
          <w:sz w:val="20"/>
        </w:rPr>
        <w:t xml:space="preserve">Estimated Aggregate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acquiree DXL’s stock price is used to measure the consideration transferred in this reverse acquisition, as DXL’s stock price is more reliably measurable than the value of the equity interest of the accounting acquirer FBB, which is a privately held entity. The following table presents the calculation of the estimated preliminary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9"/>
        <w:gridCol w:w="365"/>
        <w:gridCol w:w="146"/>
        <w:gridCol w:w="767"/>
        <w:gridCol w:w="62"/>
      </w:tblGrid>
      <w:tr>
        <w:trPr/>
        <w:tc>
          <w:tcPr>
            <w:tcW w:w="5599"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36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shares issued and outstanding as of May 2, 2026, on a fully diluted basis using the treasury stock method</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55,989</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DXL stock price (1)</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0.62</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purchase price consideration for DXL’s stock outstanding</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34,713</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 payable for FBB Unaccredited Investor Shares and Appraisal Shares</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DXL stock-based compensation awards attributable to pre-combination service</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1,734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aggregate merger consideration</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35,447</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closing stock price on August 20, 2026 is used as proxy for the market price of DXL shares on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preliminary estimated aggregate merger consideration could significantly differ from the amounts presented, principally due to movements in the DXL share price up to the closing date. A sensitivity analysis related to the fluctuation in the DXL share price was performed to assess the impact a hypothetical change of 10% on the closing price of DXL common stock on August 20, 2026 would have on the estimated preliminary aggregate merger consideration as of the closing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16"/>
        <w:gridCol w:w="285"/>
        <w:gridCol w:w="894"/>
        <w:gridCol w:w="60"/>
        <w:gridCol w:w="416"/>
        <w:gridCol w:w="282"/>
        <w:gridCol w:w="1403"/>
        <w:gridCol w:w="64"/>
      </w:tblGrid>
      <w:tr>
        <w:trPr/>
        <w:tc>
          <w:tcPr>
            <w:tcW w:w="393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41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Estimated</w:t>
              <w:br/>
              <w:t>Consideration</w:t>
            </w:r>
          </w:p>
        </w:tc>
        <w:tc>
          <w:tcPr>
            <w:tcW w:w="64"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increase</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0.68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38,918</w:t>
            </w:r>
          </w:p>
        </w:tc>
        <w:tc>
          <w:tcPr>
            <w:tcW w:w="64"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10% decrease</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0.56</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31,976</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Estimated Aggregate Merger Consideration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accounting for the merger, including the estimated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DXL, management used a combination of publicly available benchmarking information as well as market-based and cost-based valuation approaches and inputs representative of market participant assumptions based on information available at the timing of filing of this proxy statement. Management expects to use updated inputs and information as of the merger close date in conjunction with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and the actual amounts eventually recorded may differ materially from the information presented, which may result in an increase or decrease the fair value of identifiable assets as well as result in the recognition of goodwill or a gain on bargain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preliminary aggregate merger consideration allocation as of May 2,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9"/>
        <w:gridCol w:w="518"/>
        <w:gridCol w:w="141"/>
        <w:gridCol w:w="879"/>
        <w:gridCol w:w="62"/>
      </w:tblGrid>
      <w:tr>
        <w:trPr/>
        <w:tc>
          <w:tcPr>
            <w:tcW w:w="5339"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w:t>
            </w:r>
          </w:p>
        </w:tc>
        <w:tc>
          <w:tcPr>
            <w:tcW w:w="51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Assets</w:t>
            </w:r>
            <w:r>
              <w:rPr>
                <w:rFonts w:ascii="Times New Roman" w:hAnsi="Times New Roman"/>
                <w:sz w:val="20"/>
              </w:rPr>
              <w: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11,098</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5,078</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1,774</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81,394</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9,427</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 net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10,057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179,683</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486</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30,064</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20,237</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36,273</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166</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176,810</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35,447</w:t>
            </w:r>
          </w:p>
        </w:tc>
        <w:tc>
          <w:tcPr>
            <w:tcW w:w="62" w:type="dxa"/>
            <w:tcBorders/>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aggregate merger consideration</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35,447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 Adjustments to the Unaudited Pro Forma Condensed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Explanations of the Transaction Accounting Adjustments to the unaudited condensed combined pro financial statements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4.a Adjustments to the Unaudited Pro Forma Condensed Combined Balance Sheet as of May 2, 2026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71"/>
        <w:gridCol w:w="407"/>
        <w:gridCol w:w="157"/>
        <w:gridCol w:w="743"/>
        <w:gridCol w:w="161"/>
      </w:tblGrid>
      <w:tr>
        <w:trPr/>
        <w:tc>
          <w:tcPr>
            <w:tcW w:w="5471"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1" w:type="dxa"/>
            <w:tcBorders/>
            <w:vAlign w:val="bottom"/>
          </w:tcPr>
          <w:p>
            <w:pPr>
              <w:pStyle w:val="TableContents"/>
              <w:bidi w:val="0"/>
              <w:spacing w:before="0" w:after="283"/>
              <w:jc w:val="center"/>
              <w:rPr>
                <w:i/>
              </w:rPr>
            </w:pPr>
            <w:r>
              <w:rPr>
                <w:i/>
              </w:rPr>
              <w:t>Description (in thousands)</w:t>
            </w:r>
          </w:p>
        </w:tc>
        <w:tc>
          <w:tcPr>
            <w:tcW w:w="407"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5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dividends to FBB’s equity awards with accelerated vesting in connection with the Merger</w:t>
            </w:r>
          </w:p>
        </w:tc>
        <w:tc>
          <w:tcPr>
            <w:tcW w:w="4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(976</w:t>
            </w:r>
          </w:p>
        </w:tc>
        <w:tc>
          <w:tcPr>
            <w:tcW w:w="161" w:type="dxa"/>
            <w:tcBorders/>
            <w:shd w:fill="CCEEFF" w:val="clear"/>
            <w:vAlign w:val="bottom"/>
          </w:tcPr>
          <w:p>
            <w:pPr>
              <w:pStyle w:val="TableContents"/>
              <w:bidi w:val="0"/>
              <w:spacing w:before="0" w:after="283"/>
              <w:jc w:val="left"/>
              <w:rPr/>
            </w:pPr>
            <w:r>
              <w:rPr/>
              <w:t>) </w:t>
            </w:r>
          </w:p>
        </w:tc>
      </w:tr>
      <w:tr>
        <w:trPr/>
        <w:tc>
          <w:tcPr>
            <w:tcW w:w="5471"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(169</w:t>
            </w:r>
          </w:p>
        </w:tc>
        <w:tc>
          <w:tcPr>
            <w:tcW w:w="161" w:type="dxa"/>
            <w:tcBorders/>
            <w:vAlign w:val="bottom"/>
          </w:tcPr>
          <w:p>
            <w:pPr>
              <w:pStyle w:val="TableContents"/>
              <w:bidi w:val="0"/>
              <w:spacing w:before="0" w:after="283"/>
              <w:jc w:val="left"/>
              <w:rPr/>
            </w:pPr>
            <w:r>
              <w:rPr/>
              <w:t>) </w:t>
            </w:r>
          </w:p>
        </w:tc>
      </w:tr>
      <w:tr>
        <w:trPr/>
        <w:tc>
          <w:tcPr>
            <w:tcW w:w="5471"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(1,145</w:t>
            </w:r>
          </w:p>
        </w:tc>
        <w:tc>
          <w:tcPr>
            <w:tcW w:w="161" w:type="dxa"/>
            <w:tcBorders/>
            <w:shd w:fill="CCEEFF" w:val="clear"/>
            <w:vAlign w:val="bottom"/>
          </w:tcPr>
          <w:p>
            <w:pPr>
              <w:pStyle w:val="TableContents"/>
              <w:bidi w:val="0"/>
              <w:spacing w:before="0" w:after="283"/>
              <w:jc w:val="left"/>
              <w:rPr/>
            </w:pPr>
            <w:r>
              <w:rPr/>
              <w:t>) </w:t>
            </w:r>
          </w:p>
        </w:tc>
      </w:tr>
      <w:tr>
        <w:trPr/>
        <w:tc>
          <w:tcPr>
            <w:tcW w:w="5471"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$0.1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for property, plant, and equipment based on the acquisition method of accounting, adjusted to their preliminary estimated fair value.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fair value of property, plant, and equipment acquired</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10,057</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DXL’s historical net carrying value of property, plant, and equipment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(58,301</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Property, plant, and equipment - net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(48,244</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to right-of-use assets of $16.0 million, to measure the operating lease right-of-use assets at the same amount as the associated lease liability in accordance with the acquisition method of accounting, which is offset by an adjustment of $33.4 million related to the net unfavorable terms of the leases when compared with market terms. The calculated value is preliminary and subject to change and could vary materially from the final purchase price allocation.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e)</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of $1.2 million to reduce the fair value of intangible assets to zero.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$0.3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considered the impact of the business combination fair value and other pro forma adjustments that impact deferred taxes, and due to the significant valuation allowances at DXL, no adjustments to the deferred taxes are needed. As such, post-merger, there will be a full valuation allowance against DXL’s deferred tax assets resulting in no overall impact on deferred taxes. The effective tax rate of the combined company could be different (either higher or lower) depending on post-merger activities and valuation allowance assessments, including cash needs, the geographical mix of income and changes in tax law. Because the tax rates used for the unaudited pro forma condensed combined financial information are estimated, the blended rate will likely vary from the actual effective rate in reporting periods subsequent to completion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estimated transaction costs to be incurred in order to consummate the merger amounts to $2.9 million.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i)</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accrued dividends for FBB’s equity awards with accelerated vesting in connection with the merger of $1.0 million.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j)</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stockholders’ equity, including elimination of the acquiree’s historical equity and transaction costs.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175"/>
        <w:gridCol w:w="157"/>
        <w:gridCol w:w="866"/>
        <w:gridCol w:w="155"/>
        <w:gridCol w:w="120"/>
        <w:gridCol w:w="229"/>
        <w:gridCol w:w="739"/>
        <w:gridCol w:w="155"/>
        <w:gridCol w:w="120"/>
        <w:gridCol w:w="143"/>
        <w:gridCol w:w="838"/>
        <w:gridCol w:w="60"/>
        <w:gridCol w:w="174"/>
        <w:gridCol w:w="218"/>
        <w:gridCol w:w="1364"/>
        <w:gridCol w:w="155"/>
        <w:gridCol w:w="120"/>
        <w:gridCol w:w="234"/>
        <w:gridCol w:w="1147"/>
        <w:gridCol w:w="166"/>
      </w:tblGrid>
      <w:tr>
        <w:trPr/>
        <w:tc>
          <w:tcPr>
            <w:tcW w:w="287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i/>
                <w:sz w:val="16"/>
              </w:rPr>
              <w:t>Description</w:t>
            </w:r>
            <w:r>
              <w:rPr>
                <w:rFonts w:ascii="Times New Roman" w:hAnsi="Times New Roman"/>
                <w:sz w:val="16"/>
              </w:rPr>
              <w:t xml:space="preserve"> </w:t>
            </w:r>
            <w:r>
              <w:rPr>
                <w:rFonts w:ascii="Times New Roman" w:hAnsi="Times New Roman"/>
                <w:i/>
                <w:sz w:val="16"/>
              </w:rPr>
              <w:t>(in thousands)</w:t>
            </w:r>
          </w:p>
        </w:tc>
        <w:tc>
          <w:tcPr>
            <w:tcW w:w="175"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Treasury</w:t>
              <w:br/>
              <w:t xml:space="preserve">Stock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 Capital</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DXL’s historical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(331,439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85,694</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FBB equity</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21,715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DXL</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34,890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(2,886</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FBB share-based compensation expense related to accelerated vesting in connection with the Merger</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2,246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(2,246</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(169</w:t>
            </w:r>
          </w:p>
        </w:tc>
        <w:tc>
          <w:tcPr>
            <w:tcW w:w="1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stockholders’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(272,588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80,393</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4.b Adjustments to the Unaudited Pro Forma Condensed Combined Statement of Operations for the three months ended May 2,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$0.8 million and $3.1 million for the three months ended May 2, 2026 and the year ended January 31, 2026, respectively, to cost of merchandise sold for lease expense related to the remeasurement of the right-of-use assets, including the fair value of the off-market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$2.4 million for the year ended January 31, 2026 to selling, general and administrative expenses for FBB’s share-based compensation expense, and anti-dilutive protection that was triggered as a result of the Transactions.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$3.2 million and $12.7 million for the three months ended May 2, 2026 and the year ended January 31, 2026, respectively, to eliminate historical depreciation and amortization expense related to the write-down of property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$2.9 million for the year ended January 31, 2026 related to FBB’s transaction-related expenses. Additionally, transaction-related expenses incurred by DXL and FBB during the applicable historical periods are reflected in the respective historical financial statements included herein.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$19.1 thousand and $0.1 million for the three months ended May 2, 2026 and the year ended January 31, 2026, respectively, of interest expense related to the write-off of DXL’s capitalized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 Other Transaction Accounting Adjustments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5.a Adjustments to the Unaudited Pro Forma Condensed Combined Balance Sheet as of May 2,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4"/>
        <w:gridCol w:w="473"/>
        <w:gridCol w:w="145"/>
        <w:gridCol w:w="768"/>
        <w:gridCol w:w="159"/>
      </w:tblGrid>
      <w:tr>
        <w:trPr/>
        <w:tc>
          <w:tcPr>
            <w:tcW w:w="5394"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9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47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additional term loan payment</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44,095</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Cash from private placement used to paydown term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9,720</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(30,020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(23,795</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ABL deferred financing costs</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(1,000</w:t>
            </w:r>
          </w:p>
        </w:tc>
        <w:tc>
          <w:tcPr>
            <w:tcW w:w="159"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other non-current assets for $1.0 million of New ABL deferred financing costs net of the $0.3 million related to the write-off of deferred financing costs associated with the Existing FBB ABL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long-term debt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debt with the private placement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(97,173</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original issuance discount/premium related to the private placement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34,126</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loan payments</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44,095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(30,020</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(23,795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Long-term debt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(72,767</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of $0.7 million and $68.8 million to common stock and additional paid-in capital related to the private placement and payoff of the term loan, respectively, as well as the adjustment of $0.3 million to accumulated deficit related to the write-off of deferred financing costs associated with the Existing FBB ABL loan.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5.b Adjustments to the Unaudited Pro Forma Condensed Combined Statement of Operations for the three months ended May 2,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interest expense on transaction financing adjustments included in the unaudited pro forma condensed combined statements of operations reflects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16"/>
        <w:gridCol w:w="316"/>
        <w:gridCol w:w="230"/>
        <w:gridCol w:w="1307"/>
        <w:gridCol w:w="162"/>
        <w:gridCol w:w="316"/>
        <w:gridCol w:w="200"/>
        <w:gridCol w:w="1124"/>
        <w:gridCol w:w="168"/>
      </w:tblGrid>
      <w:tr>
        <w:trPr/>
        <w:tc>
          <w:tcPr>
            <w:tcW w:w="3116"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16"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May 2,</w:t>
              <w:br/>
              <w:t>2026</w:t>
            </w:r>
          </w:p>
        </w:tc>
        <w:tc>
          <w:tcPr>
            <w:tcW w:w="16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8"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FBB’s historical interest expense and fee amortization</w:t>
            </w:r>
          </w:p>
        </w:tc>
        <w:tc>
          <w:tcPr>
            <w:tcW w:w="31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(11,153</w:t>
            </w:r>
          </w:p>
        </w:tc>
        <w:tc>
          <w:tcPr>
            <w:tcW w:w="16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(38,173</w:t>
            </w:r>
          </w:p>
        </w:tc>
        <w:tc>
          <w:tcPr>
            <w:tcW w:w="168" w:type="dxa"/>
            <w:tcBorders/>
            <w:shd w:fill="CCEEFF" w:val="clear"/>
            <w:vAlign w:val="bottom"/>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financing costs associated with the Existing FBB ABL loan</w:t>
            </w:r>
          </w:p>
        </w:tc>
        <w:tc>
          <w:tcPr>
            <w:tcW w:w="31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275</w:t>
            </w:r>
          </w:p>
        </w:tc>
        <w:tc>
          <w:tcPr>
            <w:tcW w:w="168" w:type="dxa"/>
            <w:tcBorders/>
            <w:vAlign w:val="bottom"/>
          </w:tcPr>
          <w:p>
            <w:pPr>
              <w:pStyle w:val="TableContents"/>
              <w:bidi w:val="0"/>
              <w:spacing w:before="0" w:after="283"/>
              <w:jc w:val="left"/>
              <w:rPr/>
            </w:pPr>
            <w:r>
              <w:rPr/>
              <w:t> </w:t>
            </w:r>
          </w:p>
        </w:tc>
      </w:tr>
      <w:tr>
        <w:trPr/>
        <w:tc>
          <w:tcPr>
            <w:tcW w:w="3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including amortization of premium related to debt capitalization with respect to the private placement and New ABL including amortization of deferred financing costs</w:t>
            </w:r>
          </w:p>
        </w:tc>
        <w:tc>
          <w:tcPr>
            <w:tcW w:w="31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3,543</w:t>
            </w:r>
          </w:p>
        </w:tc>
        <w:tc>
          <w:tcPr>
            <w:tcW w:w="162"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xml:space="preserve">14,177 </w:t>
            </w:r>
          </w:p>
        </w:tc>
        <w:tc>
          <w:tcPr>
            <w:tcW w:w="168" w:type="dxa"/>
            <w:tcBorders/>
            <w:shd w:fill="CCEEFF" w:val="clear"/>
            <w:vAlign w:val="bottom"/>
          </w:tcPr>
          <w:p>
            <w:pPr>
              <w:pStyle w:val="TableContents"/>
              <w:bidi w:val="0"/>
              <w:spacing w:before="0" w:after="283"/>
              <w:jc w:val="left"/>
              <w:rPr/>
            </w:pPr>
            <w:r>
              <w:rPr/>
              <w:t> </w:t>
            </w:r>
          </w:p>
        </w:tc>
      </w:tr>
      <w:tr>
        <w:trPr/>
        <w:tc>
          <w:tcPr>
            <w:tcW w:w="3116"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11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financing adjustment to Interest expense, net</w:t>
            </w:r>
          </w:p>
        </w:tc>
        <w:tc>
          <w:tcPr>
            <w:tcW w:w="31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(7,610</w:t>
            </w:r>
          </w:p>
        </w:tc>
        <w:tc>
          <w:tcPr>
            <w:tcW w:w="16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(23,721</w:t>
            </w:r>
          </w:p>
        </w:tc>
        <w:tc>
          <w:tcPr>
            <w:tcW w:w="168" w:type="dxa"/>
            <w:tcBorders/>
            <w:vAlign w:val="bottom"/>
          </w:tcPr>
          <w:p>
            <w:pPr>
              <w:pStyle w:val="TableContents"/>
              <w:bidi w:val="0"/>
              <w:spacing w:before="0" w:after="283"/>
              <w:jc w:val="left"/>
              <w:rPr/>
            </w:pPr>
            <w:r>
              <w:rPr/>
              <w:t>) </w:t>
            </w:r>
          </w:p>
        </w:tc>
      </w:tr>
      <w:tr>
        <w:trPr/>
        <w:tc>
          <w:tcPr>
            <w:tcW w:w="3116"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one-eighth of a percentage point increase or decrease in the interest rate would result in a change in interest expense of approximately $0.1 million and $0.3 million for the three months ended May 2, 2026 and for year ended January 31,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$0.2 million for the year ended January 31, 2026 to eliminate the historical gain on the fair value 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 of operations assumes that the Transactions as if those Transactions had occurred on February 2, 2025, the beginning of the earliest period presented, the calculation of weighted average shares outstanding for basic and diluted earnings per share assumes that the shares issuable relating to the merger and Other Transaction Accounting Adjustments have been outstanding for the entirety of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06"/>
        <w:gridCol w:w="212"/>
        <w:gridCol w:w="219"/>
        <w:gridCol w:w="1281"/>
        <w:gridCol w:w="158"/>
        <w:gridCol w:w="212"/>
        <w:gridCol w:w="189"/>
        <w:gridCol w:w="1100"/>
        <w:gridCol w:w="162"/>
      </w:tblGrid>
      <w:tr>
        <w:trPr/>
        <w:tc>
          <w:tcPr>
            <w:tcW w:w="3406"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i/>
                <w:sz w:val="16"/>
              </w:rPr>
            </w:pPr>
            <w:r>
              <w:rPr>
                <w:rFonts w:ascii="Times New Roman" w:hAnsi="Times New Roman"/>
                <w:i/>
                <w:sz w:val="16"/>
              </w:rPr>
              <w:t>(in thousands, except per share amounts)</w:t>
            </w:r>
          </w:p>
        </w:tc>
        <w:tc>
          <w:tcPr>
            <w:tcW w:w="212"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May 2,</w:t>
              <w:br/>
              <w:t>2026</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2"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(23,682</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(66,784</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 (1)</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54,916</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68,431</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68,431</w:t>
            </w:r>
          </w:p>
        </w:tc>
        <w:tc>
          <w:tcPr>
            <w:tcW w:w="162"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 and diluted</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123,347</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122,535</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(0.19</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(0.55</w:t>
            </w:r>
          </w:p>
        </w:tc>
        <w:tc>
          <w:tcPr>
            <w:tcW w:w="162"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DXL historical weighted average shares outstanding as of May 2, 2026 and January 31, 2026. Due to the pro forma condensed combined company’s net loss, the DXL historical weighted average shares outstanding excludes deferred shares and stock options that would be considered dilutive.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present the effect of the proposed reverse stock split range, the unaudited pro forma condensed combined financial earnings per share has been prepared using the assumptions below: </w:t>
      </w:r>
    </w:p>
    <w:p>
      <w:pPr>
        <w:pStyle w:val="TextBody"/>
        <w:bidi w:val="0"/>
        <w:spacing w:before="120" w:after="0"/>
        <w:jc w:val="left"/>
        <w:rPr>
          <w:rFonts w:ascii="Times New Roman" w:hAnsi="Times New Roman"/>
          <w:i/>
          <w:sz w:val="20"/>
        </w:rPr>
      </w:pPr>
      <w:r>
        <w:rPr>
          <w:rFonts w:ascii="Times New Roman" w:hAnsi="Times New Roman"/>
          <w:i/>
          <w:sz w:val="20"/>
        </w:rPr>
        <w:t xml:space="preserve">For the three months ended May 2,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7"/>
        <w:gridCol w:w="161"/>
        <w:gridCol w:w="175"/>
        <w:gridCol w:w="850"/>
        <w:gridCol w:w="155"/>
        <w:gridCol w:w="161"/>
        <w:gridCol w:w="175"/>
        <w:gridCol w:w="703"/>
        <w:gridCol w:w="155"/>
        <w:gridCol w:w="160"/>
        <w:gridCol w:w="214"/>
        <w:gridCol w:w="856"/>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6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27,458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3,432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1,831</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34,215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4,277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2,281</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61,673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7,709</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4,112</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(0.38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(3.07</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(5.76</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the year ended January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7"/>
        <w:gridCol w:w="157"/>
        <w:gridCol w:w="175"/>
        <w:gridCol w:w="853"/>
        <w:gridCol w:w="155"/>
        <w:gridCol w:w="157"/>
        <w:gridCol w:w="175"/>
        <w:gridCol w:w="700"/>
        <w:gridCol w:w="155"/>
        <w:gridCol w:w="157"/>
        <w:gridCol w:w="193"/>
        <w:gridCol w:w="879"/>
        <w:gridCol w:w="159"/>
      </w:tblGrid>
      <w:tr>
        <w:trPr/>
        <w:tc>
          <w:tcPr>
            <w:tcW w:w="465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57"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w:t>
              <w:br/>
              <w:t>(1 for 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(1 for 30)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27,052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1,803</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34,215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4,277</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2,281</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61,267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7,659</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4,084</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(8.72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(16.35</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76201_80"/>
      <w:bookmarkEnd w:id="83"/>
      <w:r>
        <w:rPr>
          <w:rFonts w:ascii="Times New Roman" w:hAnsi="Times New Roman"/>
          <w:b/>
          <w:sz w:val="20"/>
        </w:rPr>
        <w:t xml:space="preserve">DESCRIPTION OF DXL’S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DXL’s common stock and preferred stock summarizes the material terms and provisions of DXL common stock and preferred stock. The following description of DXL’s capital stock does not purport to be complete and is subject to, and qualified in its entirety by, DXL’s restated certificate of incorporation, as amended, referred to in this section as the restated certificate of incorporation, and DXL’s By-Laws, as may be amended, referred to in this section as the By-Laws, which are incorporated by reference to Exhibits 3.2 and 3.3, respectively, of DXL’s Annual Report on Form 10-K for the fiscal year ended January 31, 2026 as filed with the SEC on March 19, 2026, and does not include changes resulting from the adoption of DXL’s amendment to the restated certificate of incorporation to effect a reverse stock split of DXL common stock. The terms of DXL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authorized stock of DXL is 126,000,000 shares, consisting of 125,000,000 shares of DXL common stock, par value $0.01 per share, and 1,000,000 shares of DXL preferred stock, par value of $0.01 per share. As of the record date, there were (1) [●] shares of DXL common stock issued and outstanding (not including shares held in treasury), (2) [●] shares of DXL common stock held in the treasury of DXL or by its subsidiaries, (3) [●] shares of DXL common stock subject to outstanding DXL options, all of which are exercisable, (4) [●] shares of DXL common stock subject to outstanding DXL restricted stock unit awards, (5) [●] shares of DXL common stock subject to DXL deferred stock awards, (6) [●] shares of DXL common stock subject to outstanding DXL performance stock unit awards, and (7) no shares of DXL preferred stock issued and outstanding. Each outstanding share of DXL common stock is duly and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rights of any series of DXL preferred stock, which may from time to time be outstanding, the holders of DXL’s common stock are entitled to receive such dividends, if any, as may be declared from time to time by DXL’s Board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DXL is liquidated, dissolved or DXL’s affairs are wound up, the holders of DXL’s common stock will be entitled to share pro rata in the net assets available for distribution to holders of DXL common stock after satisfaction of the prior claims of the holders of DXL preferred stock or any other class of capital stock ranking senior to the DXL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DXL common stock is entitled to one vote per share on all matters submitted to a vote of DXL stockholders. Generally, a matter submitted for stockholder action shall be approved if the votes cast “for” the matter exceed the votes cast “against” such matter, unless a greater or different vote is required by statute, any applicable law or regulation, or DXL’s restated certificate of incorporation or DXL’s By-Laws. Other than in a contested election where directors are elected by a plurality vote, a director nominee shall be elected to the DXL Board by the majority of the votes properly cast at a meeting of stockholders at which a quorum is present.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DXL stock, all shares of DXL common stock have equal dividend, distribution, liquidation and other rights, and have no preference, appraisal or exchange rights, except for any appraisal rights provided by Delaware law. Furthermore, holders of DXL common stock have no conversion, sinking fund or redemption rights, or preemptive rights to subscribe for any of DXL’s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Restrictions on Alienability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restated certificate of incorporation contains provisions that generally restrict any person or entity from attempting to transfer DXL stock, without prior permission from the DXL Board, to the extent that such transfer would (i) create or result in an individual or entity becoming a five-percent stockholder of DXL stock, or (ii) increase DXL stock ownership percentage of any existing five-percent stockholder. These provisions provide that any transfer that violates such provisions shall be null and void and would require the purported transferee to, upon demand by DXL, transfer the shares that exceed the five percent limit to an agent designated by DXL for the purpose of conducting a sale of such excess shares. By requiring prior permission from the DXL Board, this restriction attempts to prevent certain future transfers of DXL capital stock that could adversely affect DXL’s ability to utilize its net operating loss carryforwards to reduce federal income taxes of DXL.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to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is authorized, subject to limitations prescribed by law, to issue preferred stock in series, to establish from time to time the number of shares to be included in each series, and to fix the designation, powers, preferences and rights of each series and any of their qualifications, limitations or restrictions. The authority of the DXL Board with respect to each series includes, but is not limited to, determination of the number of shares and the designation of each series, dividend rights, voting rights, conversion rights, redemption rights and liquidation rights,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DXL does not currently have any plans for the issuance of DXL preferred stock, the issuance of such DXL preferred stock could adversely affect the rights of the holders of DXL common stock and, therefore, reduce the value of the DXL common stock. Although it is not possible to state the actual effect of the issuance of DXL preferred stock on the rights of holders of the DXL common stock until the DXL Board determines the specific rights of the holders of the DXL preferred stock, these effects may adversely affect the dividend rights, voting power or liquidation rights on the DXL common stock or delay or prevent a change of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DXL Charter and By-Laws That May Have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Special Meetings of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except as otherwise required by law and subject to the rights, if any, of the holders of any series of DXL preferred stock, only the DXL Board may call a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include advance notice and informational requirements and time limitations on any director nomination or any new proposal, which a stockholder wishes to make at an annual meeting of DXL stockholders. Generally, for business to be properly brought before an annual meeting, a stockholder’s notice will be timely if delivered to the DXL corporate secretary at the principal executive offices of DXL not later than the close of business on the 90th day nor earlier than the close of business on the 120th day prior to the first anniversary of the preceding year’s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Blank Check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DXL has shares of preferred stock available for future issuance without stockholder approval, except to the extent holders of DXL preferred stock have a consent right under the terms of their preferred stock. The existence of authorized but unissued shares of DXL preferred stock may enable the DXL Board to render more difficult or to discourage an attempt to obtain control of DXL by means of a merger, tender offer, proxy contest or otherwise. For example, if in the due exercise of its fiduciary obligations, the DXL Board were to determine that a takeover proposal is not in the best interests of DXL or the DXL stockholders, the DXL Board could cause shares of preferred stock to be issued without stockholder approval in one or more private offerings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might dilute the voting or other rights of the proposed acquirer or insurgent stockholder or stockholder group. In this regard, the DXL restated certificate of incorporation grants the DXL Board broad power to establish the rights and preferences of authorized and unissued shares of DXL preferred stock. The issuance of shares of DXL preferred stock could decrease the amount of earnings and assets available for distribution to holders of shares of DXL common stock. The issuance may also adversely affect the rights and powers, including voting rights, of these holders and may have the effect of delaying, deterring or preventing a change in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The Nasdaq Capital Market tier of the Nasdaq under the symbol “DXLG”.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reported sale price for DXL common stock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DXL common stock is EQ,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76201_81"/>
      <w:bookmarkEnd w:id="84"/>
      <w:r>
        <w:rPr>
          <w:rFonts w:ascii="Times New Roman" w:hAnsi="Times New Roman"/>
          <w:b/>
          <w:sz w:val="20"/>
        </w:rPr>
        <w:t xml:space="preserve">EXECUTIVE OFFICERS AND DIRECTORS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of the Combined Company Following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company’s board of directors would initially be fixed at nine members, composed of four directors designated by DXL (the “DXL nominee directors”), four directors designated by FBB (the “FBB nominee directors”), and one director mutually agreed to by DXL and FBB (the “independent director,” and together with the DXL nominee directors and the FBB nominee directors, the “post-closing directors”). Each of the post-closing directors would be required to have completed a background check reasonably satisfactory to DXL and be “independent” for purposes of Nasdaq rules (excluding, for the avoidance of doubt, those rules applicable solely to audit committee members), and otherwise comply with applicable Nasdaq and SEC rules and requirements governing directors. It is expected that Lionel F. Conacher would serve as chairman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is consummated, at the effective time of the merger, DXL and FBB would cooperate to take all reasonable actions necessary to cause (i) the chief executive officer of FBB immediately prior to the effective time to serve as the chief executive officer of the combined company following the merger, and (ii) the officers of the combined company after the merger to be such individuals as DXL and FBB may agree, through a process overseen by the chief executive officer of FBB in consultation with the DXL nominee directors and FBB nominee directors, who would cooperate in good faith to identify such individuals prior to the effective time of the merger. Each executive officer would serve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names and ages as of August 15, 2026, and positions of the individuals who are expected to serve as executive officers and directors of the combined company if the merger is consummated upon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219"/>
        <w:gridCol w:w="60"/>
        <w:gridCol w:w="261"/>
        <w:gridCol w:w="60"/>
        <w:gridCol w:w="219"/>
        <w:gridCol w:w="5366"/>
      </w:tblGrid>
      <w:tr>
        <w:trPr/>
        <w:tc>
          <w:tcPr>
            <w:tcW w:w="4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402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Jim Fogarty</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Executive Officer, 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Financial Officer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b/>
                <w:sz w:val="20"/>
              </w:rPr>
              <w:t>(1)</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Yasir Anwar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Steven Tesoriere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Josh Beer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additional independent director is expected to be appointed by mutual agreement between DXL and FBB.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Jim Fogarty</w:t>
      </w:r>
      <w:r>
        <w:rPr>
          <w:rFonts w:ascii="Times New Roman" w:hAnsi="Times New Roman"/>
          <w:sz w:val="20"/>
        </w:rPr>
        <w:t xml:space="preserve"> has been the chief executive officer and a director of FULLBEAUTY Brands, Inc., a privately held branded multichannel retailer focused on fashion apparel and home goods for plus-sized women and men, since June 2019. Previously, he was the chief executive officer and a director of Orchard Brands, a multi-channel marketer of apparel and home products, from 2011 until its sale in 2015, at which time he became a senior advisor to Bluestem Group Inc., the acquirer of Orchard Brands, through 2015. Prior to that, Mr. Fogarty was a private investor from 2010 to 2011. From 2009 until 2010, Mr. Fogarty was president, chief executive officer and director of Charming Shoppes, Inc., a multi-brand, specialty apparel retailer. Other prior executive positions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Mr. Fogarty include managing director of Alvarez &amp; Marsal, an independent global professional services firm, from 1994 until 2009, president and chief operating officer of Lehman Brothers Holdings (subsequent to its Chapter 11 bankruptcy filing) from 2008 until 2009, president and chief executive officer of American Italian Pasta Company, the largest producer of dry pasta in North America, from 2005 through 2008, chief financial officer of Levi Strauss &amp; Co., a brand-name apparel company, from 2003 until 2005, and from 2001 through 2003, senior vice president and chief financial officer and for a period a director of The Warnaco Group, a global apparel maker. </w:t>
      </w:r>
    </w:p>
    <w:p>
      <w:pPr>
        <w:pStyle w:val="TextBody"/>
        <w:bidi w:val="0"/>
        <w:spacing w:before="240" w:after="0"/>
        <w:jc w:val="left"/>
        <w:rPr>
          <w:rFonts w:ascii="Times New Roman" w:hAnsi="Times New Roman"/>
          <w:sz w:val="20"/>
        </w:rPr>
      </w:pPr>
      <w:r>
        <w:rPr>
          <w:rFonts w:ascii="Times New Roman" w:hAnsi="Times New Roman"/>
          <w:b/>
          <w:i/>
          <w:sz w:val="20"/>
        </w:rPr>
        <w:t>Peter H. Stratton, Jr.</w:t>
      </w:r>
      <w:r>
        <w:rPr>
          <w:rFonts w:ascii="Times New Roman" w:hAnsi="Times New Roman"/>
          <w:sz w:val="20"/>
        </w:rPr>
        <w:t xml:space="preserve"> has been the executive vice president, chief financial officer and treasurer of DXL since November 2017. Peter was appointed senior vice president, chief financial officer and treasurer in June 2014. Prior to that, he was senior vice president of finance, corporate controller, and chief accounting officer since August 2009. Mr. Stratton joined DXL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 Mr. Stratton holds a B.S. in Accounting from Babson College and an M.B.A. in Finance from Miami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Lionel F. Conacher</w:t>
      </w:r>
      <w:r>
        <w:rPr>
          <w:rFonts w:ascii="Times New Roman" w:hAnsi="Times New Roman"/>
          <w:sz w:val="20"/>
        </w:rPr>
        <w:t xml:space="preserve"> has been a director of DXL since June 2018 and Chairman of the DXL Board since August 2020. In August 2026, Mr. Conacher was appointed to serve as interim chief executive officer of DXL.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DXL Board believes that Mr. Conacher brings extensive financial and operational experience, and his significant experience as a director for other publicly traded companies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Carmen R. Bauza</w:t>
      </w:r>
      <w:r>
        <w:rPr>
          <w:rFonts w:ascii="Times New Roman" w:hAnsi="Times New Roman"/>
          <w:sz w:val="20"/>
        </w:rPr>
        <w:t xml:space="preserve"> has been a director of DXL since December 2021. Effective August 12, 2026, Ms. Bauza was appointed lead independent director of DXL.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The DXL Board believes that Ms. Bauza’s extensive retail and merchandising experience qualifies her to serve on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Jack Boyle</w:t>
      </w:r>
      <w:r>
        <w:rPr>
          <w:rFonts w:ascii="Times New Roman" w:hAnsi="Times New Roman"/>
          <w:sz w:val="20"/>
        </w:rPr>
        <w:t xml:space="preserve"> has been a director of DXL since August 2017. In July 2025, Mr. Boyle joined the board of directors of Wolverine World Wide, Inc., a publicly 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The DXL Board believes that Mr. Boyle’s extensive experience in merchandising, brand management and omni-channel leadership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Willem Mesdag</w:t>
      </w:r>
      <w:r>
        <w:rPr>
          <w:rFonts w:ascii="Times New Roman" w:hAnsi="Times New Roman"/>
          <w:sz w:val="20"/>
        </w:rPr>
        <w:t xml:space="preserve"> has been a director of DXL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the DXL Board believes that Mr. Mesdag brings significant knowledge and experience related to business and financial issues, and his corporate governance and investor’s perspective qualify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Yasir Anwar</w:t>
      </w:r>
      <w:r>
        <w:rPr>
          <w:rFonts w:ascii="Times New Roman" w:hAnsi="Times New Roman"/>
          <w:sz w:val="20"/>
        </w:rPr>
        <w:t xml:space="preserve"> has served as a director of FBB since February 2019. Since May 2024, Mr. Anwar has served as Chief Technology &amp; AI Acceleration Officer of Inspire Brands, a multi-brand restaurant company whose portfolio includes more than 33,000 Arby’s, Baskin-Robbins, Buffalo Wild Wings, Dunkin’, Jimmy John’s, and SONIC restaurants worldwide. Prior to Inspire Brands, from February 2018 to February 2024, Mr. Anwar served as Chief Technology and Digital Officer for Williams-Sonoma, Inc. Before Williams-Sonoma, from February 2017 to February 2018, Mr. Anwar was the Chief Technology Officer for Macy’s. His experience also includes senior engineering and architecture roles at Walmart, Wells Fargo, and several other companies. The DXL Board believes that Mr. Anwar’s extensive experience leading technology transformation and digital innovation across major retail and consumer brands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Steven Tesoriere</w:t>
      </w:r>
      <w:r>
        <w:rPr>
          <w:rFonts w:ascii="Times New Roman" w:hAnsi="Times New Roman"/>
          <w:sz w:val="20"/>
        </w:rPr>
        <w:t xml:space="preserve"> has served as a director of FBB, as designee of Oaktree, since February 2019. Mr. Tesoriere joined Oaktree, a global asset management firm specializing in alternative investment strategies, in July 2016, where he serves as a Managing Director and Portfolio Manager. Prior to Oaktree, Mr. Tesoriere was Managing Principal and Portfolio Manager of Altai Capital Management, an investment manager he co-founded in 2009, which focused on investing in distressed debt and event-driven equities. Previously, Mr. Tesoriere worked at Anchorage Capital Group, a registered investment adviser, for six years, where he was a founding analyst. He began his career with Blackstone in the Restructuring and Reorganization Group before working at Goldman Sachs in distressed debt research. Mr. Tesoriere joined the board of directors of Garrett Motion Inc. in April 2021 and currently serves as a member of their talent management and compensation committee.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believes that Mr. Tesoriere brings significant knowledge and experience in distressed debt, restructuring and reorganization, and that his perspective as a portfolio manager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Josh Beer</w:t>
      </w:r>
      <w:r>
        <w:rPr>
          <w:rFonts w:ascii="Times New Roman" w:hAnsi="Times New Roman"/>
          <w:sz w:val="20"/>
        </w:rPr>
        <w:t xml:space="preserve"> is a private investor and advisor with extensive experience in private equity and corporate strategy. He previously spent more than 20 years at Charlesbank Capital Partners, a private investment firm focused on management-led buyouts and growth capital investments in middle-market companies, where he served as a Managing Director from July 2016 to October 2024, and then as a Senior Advisor until his retirement in December 2025. During his tenure, Mr. Beer was responsible for sourcing, evaluating, and overseeing investments across a range of industries and partnering with management teams to drive operational and strategic growth initiatives. He began his career with Bain &amp; Company, advising corporate clients on strategy, performance improvement, and operational effectiveness. The DXL Board believes that Mr. Beer’s extensive experience in private equity, including overseeing middle-market investments and partnering with management teams to drive strategic and operational growth, qualifies him to serve on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current DXL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Rule 5605 of the Nasdaq rules requires a majority of a listed company’s board of directors to be composed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DXL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compensatory fee paid by such company to the director; and (2) whether the director is affiliated with DXL or any of its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information requested from and provided by each director concerning his or her background, employment and affiliations, including family relationships, the DXL Board believes that each of the directors of the combined company, with the exception of Jim Fogarty, would be an “independent director” as defined under Rule 5605(a)(2) of the Nasdaq rules following the consummation of the transaction with FBB.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Combined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we expect that the following individuals would serve as chair of the audit committee, compensation committee and nominating and corporate governance committee of the combined company’s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Willem Mesdag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Josh Beer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Governance Committee Chair: Steven Tesoriere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an independent director under Rule 5605(c)(2)(A)(i) and (ii) of the Nasdaq listing standards and under Rule 10A-3 under the Exchange Act. Each member of the audit committee must be able read and understand fundamental financial statements in accordance with Nasdaq audit committee requirements. In arriving at this determination, the DXL Board will examine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expert serving on the audit committee must qualify as a financial expert within the meaning of SEC regulations and must meet the financial sophistication requirements of the Nasdaq listing rules. In making this determination, the DXL Board will consider the financial expert’s formal education and previous and current experience in financial and accounting roles. Both our independent registered public accounting firm and management will periodically meet privately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compensation committee must be a non-employee director, as defined in Rule 16b-3 promulgated under the Exchange Act and satisfies the Nasdaq independence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76201_82"/>
      <w:bookmarkEnd w:id="85"/>
      <w:r>
        <w:rPr>
          <w:rFonts w:ascii="Times New Roman" w:hAnsi="Times New Roman"/>
          <w:b/>
          <w:sz w:val="20"/>
        </w:rPr>
        <w:t xml:space="preserve">PRINCIPAL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relating to the beneficial ownership of DXL common stock as of August 15,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DXL to beneficially own more than 5% of the outstanding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August 15, 2026 through the exercise of any stock option, warrants or other rights. Except as otherwise indicated, and subject to applicable community property laws, the persons named in the table have sole voting and investment power with respect to all shares of DXL common stock held by such persons. </w:t>
      </w:r>
    </w:p>
    <w:p>
      <w:pPr>
        <w:pStyle w:val="TextBody"/>
        <w:bidi w:val="0"/>
        <w:spacing w:before="120" w:after="0"/>
        <w:jc w:val="left"/>
        <w:rPr>
          <w:rFonts w:ascii="Times New Roman" w:hAnsi="Times New Roman"/>
          <w:sz w:val="20"/>
        </w:rPr>
      </w:pPr>
      <w:r>
        <w:rPr>
          <w:rFonts w:ascii="Times New Roman" w:hAnsi="Times New Roman"/>
          <w:sz w:val="20"/>
        </w:rPr>
        <w:t xml:space="preserve">The percentage of shares beneficially owned is computed on the basis of 55,453,550 shares of DXL common stock outstanding as of August 15, 2026. Shares of DXL common stock that a person has the right to acquire within 60 days of August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Destination XL Group, Inc., 555 Turnpike Street, Canton, Massachusetts 02021.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6"/>
        <w:gridCol w:w="464"/>
        <w:gridCol w:w="76"/>
        <w:gridCol w:w="1342"/>
        <w:gridCol w:w="377"/>
        <w:gridCol w:w="375"/>
        <w:gridCol w:w="74"/>
        <w:gridCol w:w="751"/>
        <w:gridCol w:w="280"/>
      </w:tblGrid>
      <w:tr>
        <w:trPr/>
        <w:tc>
          <w:tcPr>
            <w:tcW w:w="401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64" w:type="dxa"/>
            <w:tcBorders/>
            <w:vAlign w:val="bottom"/>
          </w:tcPr>
          <w:p>
            <w:pPr>
              <w:pStyle w:val="TableContents"/>
              <w:bidi w:val="0"/>
              <w:spacing w:before="0" w:after="283"/>
              <w:jc w:val="left"/>
              <w:rPr/>
            </w:pPr>
            <w:r>
              <w:rPr/>
              <w:t>  </w:t>
            </w:r>
          </w:p>
        </w:tc>
        <w:tc>
          <w:tcPr>
            <w:tcW w:w="141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501,625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and Interim Chief Executive Officer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1,716,317</w:t>
            </w:r>
          </w:p>
        </w:tc>
        <w:tc>
          <w:tcPr>
            <w:tcW w:w="377" w:type="dxa"/>
            <w:tcBorders/>
            <w:shd w:fill="CCEEFF" w:val="clear"/>
            <w:vAlign w:val="bottom"/>
          </w:tcPr>
          <w:p>
            <w:pPr>
              <w:pStyle w:val="TableContents"/>
              <w:bidi w:val="0"/>
              <w:spacing w:before="0" w:after="283"/>
              <w:jc w:val="left"/>
              <w:rPr/>
            </w:pPr>
            <w:r>
              <w:rPr/>
              <w:t>(3)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3.04</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President and Chief Executive Officer and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634,149</w:t>
            </w:r>
          </w:p>
        </w:tc>
        <w:tc>
          <w:tcPr>
            <w:tcW w:w="377" w:type="dxa"/>
            <w:tcBorders/>
            <w:vAlign w:val="bottom"/>
          </w:tcPr>
          <w:p>
            <w:pPr>
              <w:pStyle w:val="TableContents"/>
              <w:bidi w:val="0"/>
              <w:spacing w:before="0" w:after="283"/>
              <w:jc w:val="left"/>
              <w:rPr/>
            </w:pPr>
            <w:r>
              <w:rPr/>
              <w:t>(4)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Jr. Executive Vice President, Chief Financial Officer and Treasurer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Stores and Real Estate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421,842</w:t>
            </w:r>
          </w:p>
        </w:tc>
        <w:tc>
          <w:tcPr>
            <w:tcW w:w="377" w:type="dxa"/>
            <w:tcBorders/>
            <w:shd w:fill="CCEEFF" w:val="clear"/>
            <w:vAlign w:val="bottom"/>
          </w:tcPr>
          <w:p>
            <w:pPr>
              <w:pStyle w:val="TableContents"/>
              <w:bidi w:val="0"/>
              <w:spacing w:before="0" w:after="283"/>
              <w:jc w:val="left"/>
              <w:rPr/>
            </w:pPr>
            <w:r>
              <w:rPr/>
              <w:t>(5)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511,214</w:t>
            </w:r>
          </w:p>
        </w:tc>
        <w:tc>
          <w:tcPr>
            <w:tcW w:w="377" w:type="dxa"/>
            <w:tcBorders/>
            <w:vAlign w:val="bottom"/>
          </w:tcPr>
          <w:p>
            <w:pPr>
              <w:pStyle w:val="TableContents"/>
              <w:bidi w:val="0"/>
              <w:spacing w:before="0" w:after="283"/>
              <w:jc w:val="left"/>
              <w:rPr/>
            </w:pPr>
            <w:r>
              <w:rPr/>
              <w:t>(6)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359,190</w:t>
            </w:r>
          </w:p>
        </w:tc>
        <w:tc>
          <w:tcPr>
            <w:tcW w:w="377" w:type="dxa"/>
            <w:tcBorders/>
            <w:shd w:fill="CCEEFF" w:val="clear"/>
            <w:vAlign w:val="bottom"/>
          </w:tcPr>
          <w:p>
            <w:pPr>
              <w:pStyle w:val="TableContents"/>
              <w:bidi w:val="0"/>
              <w:spacing w:before="0" w:after="283"/>
              <w:jc w:val="left"/>
              <w:rPr/>
            </w:pPr>
            <w:r>
              <w:rPr/>
              <w:t>(7)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Merchandising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Jack Boyle,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679,725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 Lead Independent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217,058</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3,366,499</w:t>
            </w:r>
          </w:p>
        </w:tc>
        <w:tc>
          <w:tcPr>
            <w:tcW w:w="377" w:type="dxa"/>
            <w:tcBorders/>
            <w:vAlign w:val="bottom"/>
          </w:tcPr>
          <w:p>
            <w:pPr>
              <w:pStyle w:val="TableContents"/>
              <w:bidi w:val="0"/>
              <w:spacing w:before="0" w:after="283"/>
              <w:jc w:val="left"/>
              <w:rPr/>
            </w:pPr>
            <w:r>
              <w:rPr/>
              <w:t>(8)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Ivy Ross,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373,274</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Elaine K. Rubin,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308,570</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 (12 persons)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9,627,426</w:t>
            </w:r>
          </w:p>
        </w:tc>
        <w:tc>
          <w:tcPr>
            <w:tcW w:w="377" w:type="dxa"/>
            <w:tcBorders/>
            <w:shd w:fill="CCEEFF" w:val="clear"/>
            <w:vAlign w:val="bottom"/>
          </w:tcPr>
          <w:p>
            <w:pPr>
              <w:pStyle w:val="TableContents"/>
              <w:bidi w:val="0"/>
              <w:spacing w:before="0" w:after="283"/>
              <w:jc w:val="left"/>
              <w:rPr/>
            </w:pPr>
            <w:r>
              <w:rPr/>
              <w:t>(9)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16.49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35"/>
        <w:gridCol w:w="484"/>
        <w:gridCol w:w="76"/>
        <w:gridCol w:w="1307"/>
        <w:gridCol w:w="483"/>
        <w:gridCol w:w="397"/>
        <w:gridCol w:w="92"/>
        <w:gridCol w:w="700"/>
        <w:gridCol w:w="281"/>
      </w:tblGrid>
      <w:tr>
        <w:trPr/>
        <w:tc>
          <w:tcPr>
            <w:tcW w:w="393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84"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483"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1" w:type="dxa"/>
            <w:tcBorders/>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AWM Investment Company, Inc.</w:t>
            </w:r>
          </w:p>
          <w:p>
            <w:pPr>
              <w:pStyle w:val="TableContents"/>
              <w:bidi w:val="0"/>
              <w:spacing w:before="0" w:after="0"/>
              <w:jc w:val="left"/>
              <w:rPr>
                <w:rFonts w:ascii="Times New Roman" w:hAnsi="Times New Roman"/>
                <w:sz w:val="20"/>
              </w:rPr>
            </w:pPr>
            <w:r>
              <w:rPr>
                <w:rFonts w:ascii="Times New Roman" w:hAnsi="Times New Roman"/>
                <w:sz w:val="20"/>
              </w:rPr>
              <w:t>c/o Special Situations Funds</w:t>
            </w:r>
          </w:p>
          <w:p>
            <w:pPr>
              <w:pStyle w:val="TableContents"/>
              <w:bidi w:val="0"/>
              <w:spacing w:before="0" w:after="0"/>
              <w:jc w:val="left"/>
              <w:rPr>
                <w:rFonts w:ascii="Times New Roman" w:hAnsi="Times New Roman"/>
                <w:sz w:val="20"/>
              </w:rPr>
            </w:pPr>
            <w:r>
              <w:rPr>
                <w:rFonts w:ascii="Times New Roman" w:hAnsi="Times New Roman"/>
                <w:sz w:val="20"/>
              </w:rPr>
              <w:t>527 Madison Avenue, Suite 2600</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9,399,297</w:t>
            </w:r>
          </w:p>
        </w:tc>
        <w:tc>
          <w:tcPr>
            <w:tcW w:w="483" w:type="dxa"/>
            <w:tcBorders/>
            <w:shd w:fill="CCEEFF" w:val="clear"/>
            <w:vAlign w:val="bottom"/>
          </w:tcPr>
          <w:p>
            <w:pPr>
              <w:pStyle w:val="TableContents"/>
              <w:bidi w:val="0"/>
              <w:spacing w:before="0" w:after="283"/>
              <w:jc w:val="left"/>
              <w:rPr/>
            </w:pPr>
            <w:r>
              <w:rPr/>
              <w:t>(10)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17.0</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Fund 1 Investments, LLC</w:t>
            </w:r>
          </w:p>
          <w:p>
            <w:pPr>
              <w:pStyle w:val="TableContents"/>
              <w:bidi w:val="0"/>
              <w:spacing w:before="0" w:after="0"/>
              <w:jc w:val="left"/>
              <w:rPr>
                <w:rFonts w:ascii="Times New Roman" w:hAnsi="Times New Roman"/>
                <w:sz w:val="20"/>
              </w:rPr>
            </w:pPr>
            <w:r>
              <w:rPr>
                <w:rFonts w:ascii="Times New Roman" w:hAnsi="Times New Roman"/>
                <w:sz w:val="20"/>
              </w:rPr>
              <w:t>100 Carr 115 Unit 1900</w:t>
            </w:r>
          </w:p>
          <w:p>
            <w:pPr>
              <w:pStyle w:val="TableContents"/>
              <w:bidi w:val="0"/>
              <w:spacing w:before="0" w:after="20"/>
              <w:jc w:val="left"/>
              <w:rPr>
                <w:rFonts w:ascii="Times New Roman" w:hAnsi="Times New Roman"/>
                <w:sz w:val="20"/>
              </w:rPr>
            </w:pPr>
            <w:r>
              <w:rPr>
                <w:rFonts w:ascii="Times New Roman" w:hAnsi="Times New Roman"/>
                <w:sz w:val="20"/>
              </w:rPr>
              <w:t>Rincon, Puerto Rico 00677</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5,758,261</w:t>
            </w:r>
          </w:p>
        </w:tc>
        <w:tc>
          <w:tcPr>
            <w:tcW w:w="483" w:type="dxa"/>
            <w:tcBorders/>
            <w:vAlign w:val="bottom"/>
          </w:tcPr>
          <w:p>
            <w:pPr>
              <w:pStyle w:val="TableContents"/>
              <w:bidi w:val="0"/>
              <w:spacing w:before="0" w:after="283"/>
              <w:jc w:val="left"/>
              <w:rPr/>
            </w:pPr>
            <w:r>
              <w:rPr/>
              <w:t>(11) </w:t>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10.4</w:t>
            </w:r>
          </w:p>
        </w:tc>
        <w:tc>
          <w:tcPr>
            <w:tcW w:w="281"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p>
            <w:pPr>
              <w:pStyle w:val="TableContents"/>
              <w:bidi w:val="0"/>
              <w:spacing w:before="0" w:after="0"/>
              <w:jc w:val="left"/>
              <w:rPr>
                <w:rFonts w:ascii="Times New Roman" w:hAnsi="Times New Roman"/>
                <w:sz w:val="20"/>
              </w:rPr>
            </w:pPr>
            <w:r>
              <w:rPr>
                <w:rFonts w:ascii="Times New Roman" w:hAnsi="Times New Roman"/>
                <w:sz w:val="20"/>
              </w:rPr>
              <w:t>130 Main St., 2nd Floor</w:t>
            </w:r>
          </w:p>
          <w:p>
            <w:pPr>
              <w:pStyle w:val="TableContents"/>
              <w:bidi w:val="0"/>
              <w:spacing w:before="0" w:after="20"/>
              <w:jc w:val="left"/>
              <w:rPr>
                <w:rFonts w:ascii="Times New Roman" w:hAnsi="Times New Roman"/>
                <w:sz w:val="20"/>
              </w:rPr>
            </w:pPr>
            <w:r>
              <w:rPr>
                <w:rFonts w:ascii="Times New Roman" w:hAnsi="Times New Roman"/>
                <w:sz w:val="20"/>
              </w:rPr>
              <w:t>New Canaan, Connecticut 06840</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4,505,000</w:t>
            </w:r>
          </w:p>
        </w:tc>
        <w:tc>
          <w:tcPr>
            <w:tcW w:w="483" w:type="dxa"/>
            <w:tcBorders/>
            <w:shd w:fill="CCEEFF" w:val="clear"/>
            <w:vAlign w:val="bottom"/>
          </w:tcPr>
          <w:p>
            <w:pPr>
              <w:pStyle w:val="TableContents"/>
              <w:bidi w:val="0"/>
              <w:spacing w:before="0" w:after="283"/>
              <w:jc w:val="left"/>
              <w:rPr/>
            </w:pPr>
            <w:r>
              <w:rPr/>
              <w:t>(12)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7.5</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Holdings Inc</w:t>
            </w:r>
          </w:p>
          <w:p>
            <w:pPr>
              <w:pStyle w:val="TableContents"/>
              <w:bidi w:val="0"/>
              <w:spacing w:before="0" w:after="0"/>
              <w:jc w:val="left"/>
              <w:rPr>
                <w:rFonts w:ascii="Times New Roman" w:hAnsi="Times New Roman"/>
                <w:sz w:val="20"/>
              </w:rPr>
            </w:pPr>
            <w:r>
              <w:rPr>
                <w:rFonts w:ascii="Times New Roman" w:hAnsi="Times New Roman"/>
                <w:sz w:val="20"/>
              </w:rPr>
              <w:t>13-1, Nihonbashi 1-chome</w:t>
            </w:r>
          </w:p>
          <w:p>
            <w:pPr>
              <w:pStyle w:val="TableContents"/>
              <w:bidi w:val="0"/>
              <w:spacing w:before="0" w:after="20"/>
              <w:jc w:val="left"/>
              <w:rPr>
                <w:rFonts w:ascii="Times New Roman" w:hAnsi="Times New Roman"/>
                <w:sz w:val="20"/>
              </w:rPr>
            </w:pPr>
            <w:r>
              <w:rPr>
                <w:rFonts w:ascii="Times New Roman" w:hAnsi="Times New Roman"/>
                <w:sz w:val="20"/>
              </w:rPr>
              <w:t>Chuo-ku, Tokyo 103-8645, Japan</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3,393,348</w:t>
            </w:r>
          </w:p>
        </w:tc>
        <w:tc>
          <w:tcPr>
            <w:tcW w:w="483" w:type="dxa"/>
            <w:tcBorders/>
            <w:shd w:fill="CCEEFF" w:val="clear"/>
            <w:vAlign w:val="bottom"/>
          </w:tcPr>
          <w:p>
            <w:pPr>
              <w:pStyle w:val="TableContents"/>
              <w:bidi w:val="0"/>
              <w:spacing w:before="0" w:after="283"/>
              <w:jc w:val="left"/>
              <w:rPr/>
            </w:pPr>
            <w:r>
              <w:rPr/>
              <w:t>(13)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6.1</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55,453,550 shares of our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15,000 shares subject to stock options exercisable within 60 days and 48,386 shares to be issued as monthly compensation pursuant to Mr. Conacher’s offer letter within 60 days of August 15, 2026, based on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914,853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286,096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217,688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190,597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225,114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772,741 shares of deferred stock receivable upon the earlier of Mr. Mesdag’s separation from the DXL Board or the closing of the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2,115,120 shares subject to stock options exercisable within 60 days, 772,741 shares of deferred stock, and 48,386 shares to be issued as monthly compensation pursuant to Mr. Conacher’s offer letter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13D filed January 22, 2025, Fund 1 Investments, LLC holds sole voting power for 5,758,261 shares and sole dispositive power for 5,758,261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November 11, 2025. Nantahala Capital Management, LLC, Wilmot B. Harkey, and Daniel Mack hold shared voting power for 4,505,000 shares and shared dispositive power for 4,505,000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August 14, 2026. Nomura Holdings Inc. and its wholly owned subsidiary, Nomura Global Financial Products Inc., hold shared voting power for 3,393,348 shares and shared dispositive power for 3,393,348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76201_83"/>
      <w:bookmarkEnd w:id="8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files reports, proxy statements and other information with the SEC as required by the Exchange Act. You can review DXL’s electronically filed reports, proxy and information statements on the SEC’s website at </w:t>
      </w:r>
      <w:r>
        <w:rPr>
          <w:rFonts w:ascii="Times New Roman" w:hAnsi="Times New Roman"/>
          <w:i/>
          <w:sz w:val="20"/>
        </w:rPr>
        <w:t>http://www.sec.gov</w:t>
      </w:r>
      <w:r>
        <w:rPr>
          <w:rFonts w:ascii="Times New Roman" w:hAnsi="Times New Roman"/>
          <w:sz w:val="20"/>
        </w:rPr>
        <w:t xml:space="preserve"> or on DXL’s website at </w:t>
      </w:r>
      <w:r>
        <w:rPr>
          <w:rFonts w:ascii="Times New Roman" w:hAnsi="Times New Roman"/>
          <w:i/>
          <w:sz w:val="20"/>
        </w:rPr>
        <w:t>https://investor.dxl.com</w:t>
      </w:r>
      <w:r>
        <w:rPr>
          <w:rFonts w:ascii="Times New Roman" w:hAnsi="Times New Roman"/>
          <w:sz w:val="20"/>
        </w:rPr>
        <w:t xml:space="preserve">. Information included on DXL’s website is not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or on information to which DXL has referred you. DXL has not authorized anyone else to provide you with any information. DXL provided the information concerning DXL, and FBB provided the information concerning FBB, appearing in this proxy statement. </w:t>
      </w:r>
    </w:p>
    <w:p>
      <w:pPr>
        <w:pStyle w:val="TextBody"/>
        <w:bidi w:val="0"/>
        <w:spacing w:before="480" w:after="0"/>
        <w:jc w:val="center"/>
        <w:rPr>
          <w:rFonts w:ascii="Times New Roman" w:hAnsi="Times New Roman"/>
          <w:b/>
          <w:sz w:val="20"/>
        </w:rPr>
      </w:pPr>
      <w:bookmarkStart w:id="87" w:name="tx76201_84"/>
      <w:bookmarkEnd w:id="87"/>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DXL has adopted a procedure called “householding,” which the SEC has approved. Under this procedure, stockholders of record who have the same address and last name and did not receive the proxy materials electronically will receive only one copy of the proxy materials unless DXL receives contrary instructions from one or more of such stockholders. Upon oral or written request, DXL will deliver promptly a separate copy of the proxy materials to a stockholder at a shared address to which a single copy of the proxy materials was delivered. If you are a stockholder of record at a shared address to which DXL delivered a single copy of the proxy materials and you desire to receive a separate copy of the proxy materials for the special meeting or for DXL’s future meetings, or if you are a stockholder at a shared address to which DXL delivered multiple copies of the proxy materials and you desire to receive one copy in the future, please submit your request to EQ, LLC at P.O. Box 500, Newark, New Jersey, 07101, by telephone at (800) 937-5449.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 </w:t>
      </w:r>
    </w:p>
    <w:p>
      <w:pPr>
        <w:pStyle w:val="TextBody"/>
        <w:bidi w:val="0"/>
        <w:spacing w:before="480" w:after="0"/>
        <w:jc w:val="center"/>
        <w:rPr>
          <w:rFonts w:ascii="Times New Roman" w:hAnsi="Times New Roman"/>
          <w:b/>
          <w:sz w:val="20"/>
        </w:rPr>
      </w:pPr>
      <w:bookmarkStart w:id="88" w:name="tx76201_85"/>
      <w:bookmarkEnd w:id="88"/>
      <w:r>
        <w:rPr>
          <w:rFonts w:ascii="Times New Roman" w:hAnsi="Times New Roman"/>
          <w:b/>
          <w:sz w:val="20"/>
        </w:rPr>
        <w:t xml:space="preserve">FUTURE STOCKHOLDER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Stockholder Proposals to be Considered for Inclusion in DXL’s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14a-8 of the Exchange Act, to be considered for inclusion in DXL’s proxy statement and proxy card for the DXL 2026 Annual Meeting of Stockholders (the “2026 Annual Meeting”), stockholder proposals must have been received by DXL’s corporate secretary at DXL’s principal executive offices by March 2, 2026,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As the March 2, 2026 deadline has now passed, any proposal received after March 2, 2026 will not be considered for inclusion in DXL’s proxy statement for the 2026 Annual Meeting,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stockholder proposal (including director nominations) that is not submitted for inclusion in next year’s proxy statement under Rule 14a-8, but is instead sought to be presented directly at the 2026 Annual Meeting, must be delivered to DXL’s principal executive offices no earlier than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120th day and no later than the close of business on the 90th day prior to the anniversary date of the immediately preceding annual meeting (the “Anniversary Date”). Accordingly, to submit any such proposal, DXL stockholders must submit the required notice no earlier than the close of business on April 9, 2026, and no later than the close of business on May 8, 2026, except as described above. In each case, the notice must include the information specified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If the 2026 Annual Meeting is held more than 30 days before or more than 60 days after the Anniversary Date, notice must be delivered no later than the close of business on the later of the 90th day prior to the 2026 Annual Meeting or the 10th day after the date on which a public announcement of the date of the 2026 Annual Meeting is first made by DXL.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for business to be properly brought before an annual meeting of stockholders (or any special meeting), a stockholder must: (i) give timely written notice to the DXL corporate secretary describing any proposal to be brought before such meeting; and (ii) be present at such annual meeting, either in person or by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order for stockholders to give timely notice of nominations for directors for inclusion on a universal proxy card in connection with the 2026 Annual Meeting, notice must be submitted by the same deadline as disclosed above under the advance notice provisions of the By-Laws, and must include all information required by the By-Laws and by Rule 14a-19(b)(2) and Rule 14a-19(b)(3)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procedural requirements for submitting stockholder proposals and director nominations are fully set forth in Section 3.13 of the By-Laws. Copies of the By-Laws are available upon request from the corporate secretary at the DXL principal executive offices. </w:t>
      </w:r>
    </w:p>
    <w:p>
      <w:pPr>
        <w:pStyle w:val="TextBody"/>
        <w:bidi w:val="0"/>
        <w:spacing w:before="480" w:after="0"/>
        <w:jc w:val="center"/>
        <w:rPr>
          <w:rFonts w:ascii="Times New Roman" w:hAnsi="Times New Roman"/>
          <w:b/>
          <w:sz w:val="20"/>
        </w:rPr>
      </w:pPr>
      <w:bookmarkStart w:id="89" w:name="tx76201_86"/>
      <w:bookmarkEnd w:id="8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has been “incorporated by reference” into this proxy statement, which means that DXL has disclosed important information to you by referring you to another document filed separately with the SEC. The documents incorporated by reference into this proxy statement contain important information that you should read about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January 31, 2026 as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5">
              <w:r>
                <w:rPr>
                  <w:rStyle w:val="InternetLink"/>
                  <w:rFonts w:ascii="Times New Roman" w:hAnsi="Times New Roman"/>
                  <w:sz w:val="20"/>
                </w:rPr>
                <w:t>Form 10-K/A</w:t>
              </w:r>
            </w:hyperlink>
            <w:r>
              <w:rPr>
                <w:rFonts w:ascii="Times New Roman" w:hAnsi="Times New Roman"/>
                <w:sz w:val="20"/>
              </w:rPr>
              <w:t xml:space="preserve"> for the year ended January 31, 2026 as filed with the SEC on May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DXL’s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May 2, 2026 as filed with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Current Reports on Form 8-K as filed with the SEC on </w:t>
            </w:r>
            <w:hyperlink r:id="rId7">
              <w:r>
                <w:rPr>
                  <w:rStyle w:val="InternetLink"/>
                  <w:rFonts w:ascii="Times New Roman" w:hAnsi="Times New Roman"/>
                  <w:sz w:val="20"/>
                </w:rPr>
                <w:t>February 6, 2026</w:t>
              </w:r>
            </w:hyperlink>
            <w:r>
              <w:rPr>
                <w:rFonts w:ascii="Times New Roman" w:hAnsi="Times New Roman"/>
                <w:sz w:val="20"/>
              </w:rPr>
              <w:t xml:space="preserve"> and </w:t>
            </w:r>
            <w:hyperlink r:id="rId8">
              <w:r>
                <w:rPr>
                  <w:rStyle w:val="InternetLink"/>
                  <w:rFonts w:ascii="Times New Roman" w:hAnsi="Times New Roman"/>
                  <w:sz w:val="20"/>
                </w:rPr>
                <w:t>May 15,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DXL’s common stock contained in its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with the SEC on September 7, 2021, including all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report on Form 8-K, or any exhibit thereto, was furnished to, rather than filed with, the SEC by DXL, such information or exhibit is specifically not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that DXL subsequently files pursuant to Sections 13(a), 13(c), 14 or 15(d) of the Exchange Act, after the date of this proxy statement and prior to the special meeting will be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also available, without charge. You may obtain documents incorporated by reference in this proxy statement by requesting them by telephone or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sz w:val="20"/>
        </w:rPr>
        <w:t xml:space="preserve">c/o Secretary </w:t>
      </w:r>
    </w:p>
    <w:p>
      <w:pPr>
        <w:pStyle w:val="TextBody"/>
        <w:bidi w:val="0"/>
        <w:spacing w:before="0" w:after="0"/>
        <w:jc w:val="center"/>
        <w:rPr>
          <w:rFonts w:ascii="Times New Roman" w:hAnsi="Times New Roman"/>
          <w:sz w:val="20"/>
        </w:rPr>
      </w:pPr>
      <w:r>
        <w:rPr>
          <w:rFonts w:ascii="Times New Roman" w:hAnsi="Times New Roman"/>
          <w:sz w:val="20"/>
        </w:rPr>
        <w:t xml:space="preserve">555 Turnpike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center"/>
        <w:rPr>
          <w:rFonts w:ascii="Times New Roman" w:hAnsi="Times New Roman"/>
          <w:sz w:val="20"/>
        </w:rPr>
      </w:pPr>
      <w:r>
        <w:rPr>
          <w:rFonts w:ascii="Times New Roman" w:hAnsi="Times New Roman"/>
          <w:sz w:val="20"/>
        </w:rPr>
        <w:t xml:space="preserve">Tel: (781) 828-9300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investor.relations@dxlg.com </w:t>
      </w:r>
    </w:p>
    <w:p>
      <w:pPr>
        <w:pStyle w:val="TextBody"/>
        <w:bidi w:val="0"/>
        <w:spacing w:before="480" w:after="0"/>
        <w:jc w:val="center"/>
        <w:rPr>
          <w:rFonts w:ascii="Times New Roman" w:hAnsi="Times New Roman"/>
          <w:b/>
          <w:sz w:val="20"/>
        </w:rPr>
      </w:pPr>
      <w:bookmarkStart w:id="90" w:name="tx76201_87"/>
      <w:bookmarkEnd w:id="90"/>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You may vote by submitting a proxy via the Internet or by telephone, as specified in the Internet and telephone voting instructions on your proxy card, returning your proxy card using the postage prepaid envelope provided, or attending the special meeting and voting at the meeting. If you have any questions about this proxy statement, the special meeting or the merger or need assistance with voting procedures, you should contact: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center"/>
        <w:rPr>
          <w:rFonts w:ascii="Times New Roman" w:hAnsi="Times New Roman"/>
          <w:sz w:val="20"/>
        </w:rPr>
      </w:pPr>
      <w:r>
        <w:rPr>
          <w:rFonts w:ascii="Times New Roman" w:hAnsi="Times New Roman"/>
          <w:sz w:val="20"/>
        </w:rPr>
        <w:t xml:space="preserve">Tel (for stockholders): (800) 322-2885 </w:t>
      </w:r>
    </w:p>
    <w:p>
      <w:pPr>
        <w:pStyle w:val="TextBody"/>
        <w:bidi w:val="0"/>
        <w:spacing w:before="0" w:after="0"/>
        <w:jc w:val="center"/>
        <w:rPr>
          <w:rFonts w:ascii="Times New Roman" w:hAnsi="Times New Roman"/>
          <w:sz w:val="20"/>
        </w:rPr>
      </w:pPr>
      <w:r>
        <w:rPr>
          <w:rFonts w:ascii="Times New Roman" w:hAnsi="Times New Roman"/>
          <w:sz w:val="20"/>
        </w:rPr>
        <w:t xml:space="preserve">Tel (for banks or brokers): (212) 929-5500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brokerage firm, bank, trust or other nominee and you wish to vote at the special meeting, you must instruct the brokerage firm, bank, trust or other nominee how to vote your shares or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DXL HAS NOT AUTHORIZED ANYONE TO GIVE YOU ANY INFORMATION OR TO MAKE ANY REPRESENTATION ABOUT THE PROPOSED MERGER OR DXL THAT IS DIFFERENT FROM OR ADDS TO THE INFORMATION CONTAINED IN THIS PROXY STATEMENT OR IN THE DOCUMENTS DXL HAS PUBLICLY FILED WITH THE SEC. DXL IS NOT RESPONSIBLE FOR, AND CAN PROVIDE NO ASSURANCES AS TO THE RELIABILITY OF, ANY INFORMATION OTHER THAN THE INFORMATION CONTAINED OR INCORPORATED BY REFERENCE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 w:after="0"/>
        <w:jc w:val="center"/>
        <w:rPr>
          <w:rFonts w:ascii="Times New Roman" w:hAnsi="Times New Roman"/>
          <w:b/>
          <w:sz w:val="20"/>
        </w:rPr>
      </w:pPr>
      <w:bookmarkStart w:id="91" w:name="tx76201_88"/>
      <w:bookmarkEnd w:id="91"/>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4">
              <w:r>
                <w:rPr>
                  <w:rStyle w:val="InternetLink"/>
                  <w:rFonts w:ascii="Times New Roman" w:hAnsi="Times New Roman"/>
                  <w:sz w:val="20"/>
                </w:rPr>
                <w:t>Consolidated Balance Sheets as of January 3, 2026 and December  28,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5">
              <w:r>
                <w:rPr>
                  <w:rStyle w:val="InternetLink"/>
                  <w:rFonts w:ascii="Times New Roman" w:hAnsi="Times New Roman"/>
                  <w:sz w:val="20"/>
                </w:rPr>
                <w:t>Consolidated Statements of Operations and Comprehensive (Loss) Income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6">
              <w:r>
                <w:rPr>
                  <w:rStyle w:val="InternetLink"/>
                  <w:rFonts w:ascii="Times New Roman" w:hAnsi="Times New Roman"/>
                  <w:sz w:val="20"/>
                </w:rPr>
                <w:t>Consolidated Statements of Convertible Preferred Stock and Stockholders’ (Deficit) Equity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7">
              <w:r>
                <w:rPr>
                  <w:rStyle w:val="InternetLink"/>
                  <w:rFonts w:ascii="Times New Roman" w:hAnsi="Times New Roman"/>
                  <w:sz w:val="20"/>
                </w:rPr>
                <w:t>Consolidated Statements of Cash Flows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8">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99">
              <w:r>
                <w:rPr>
                  <w:rStyle w:val="InternetLink"/>
                  <w:rFonts w:ascii="Times New Roman" w:hAnsi="Times New Roman"/>
                  <w:sz w:val="20"/>
                </w:rPr>
                <w:t>Condensed Consolidated Balance Sheets as of April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0">
              <w:r>
                <w:rPr>
                  <w:rStyle w:val="InternetLink"/>
                  <w:rFonts w:ascii="Times New Roman" w:hAnsi="Times New Roman"/>
                  <w:sz w:val="20"/>
                </w:rPr>
                <w:t>Condensed Consolidated Statements of Operations and Comprehensive Loss for the Thirteen Weeks ended April 4, 2026 and 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1">
              <w:r>
                <w:rPr>
                  <w:rStyle w:val="InternetLink"/>
                  <w:rFonts w:ascii="Times New Roman" w:hAnsi="Times New Roman"/>
                  <w:sz w:val="20"/>
                </w:rPr>
                <w:t>Condensed Consolidated Statements of Convertible Preferred Stock and Stockholders’ (Deficit) Equity for the Thirteen Weeks ended April 4, 2026 and 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2">
              <w:r>
                <w:rPr>
                  <w:rStyle w:val="InternetLink"/>
                  <w:rFonts w:ascii="Times New Roman" w:hAnsi="Times New Roman"/>
                  <w:sz w:val="20"/>
                </w:rPr>
                <w:t>Condensed Consolidated Statements of Cash Flows for the Thirteen Weeks ended April 4, 2026 and 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3">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4">
              <w:r>
                <w:rPr>
                  <w:rStyle w:val="InternetLink"/>
                  <w:rFonts w:ascii="Times New Roman" w:hAnsi="Times New Roman"/>
                  <w:sz w:val="20"/>
                </w:rPr>
                <w:t>Condensed Consolidated Balance Sheets as of July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5">
              <w:r>
                <w:rPr>
                  <w:rStyle w:val="InternetLink"/>
                  <w:rFonts w:ascii="Times New Roman" w:hAnsi="Times New Roman"/>
                  <w:sz w:val="20"/>
                </w:rPr>
                <w:t>Condensed Consolidated Statements of Operations and Comprehensive Loss for the Thirteen Weeks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6">
              <w:r>
                <w:rPr>
                  <w:rStyle w:val="InternetLink"/>
                  <w:rFonts w:ascii="Times New Roman" w:hAnsi="Times New Roman"/>
                  <w:sz w:val="20"/>
                </w:rPr>
                <w:t>Condensed Consolidated Statements of Convertible Preferred Stock and Stockholders’ (Deficit) Equity for the Thirteen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7">
              <w:r>
                <w:rPr>
                  <w:rStyle w:val="InternetLink"/>
                  <w:rFonts w:ascii="Times New Roman" w:hAnsi="Times New Roman"/>
                  <w:sz w:val="20"/>
                </w:rPr>
                <w:t>Condensed Consolidated Statements of Cash Flows for the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8">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76201_93"/>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of FBB Holdings I,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FBB Holdings I, Inc. and subsidiaries (the “Company”), which comprise the consolidated balance sheets as of January 3, 2026 and December 28, 2024, the related consolidated statements of operations and comprehensive (loss) income, convertible preferred stock and stockholders’ (deficit) equity, and cash flows for each of the three years in the period ended January 3, 2026,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January 3, 2026 and December 28, 2024, and the results of its operations and its cash flows for each of the three years in the period ended January 3, 2026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at January 3, 2026, the Company is not in compliance with certain covenants of its long-term loan agreement, does not have sufficient capital to repay such loans, if they become due, and has stated that substantial doubt exists about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3" w:name="tx76201_94"/>
      <w:bookmarkEnd w:id="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January 3, 2026 and December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217"/>
        <w:gridCol w:w="153"/>
        <w:gridCol w:w="984"/>
        <w:gridCol w:w="155"/>
        <w:gridCol w:w="178"/>
        <w:gridCol w:w="198"/>
        <w:gridCol w:w="1224"/>
        <w:gridCol w:w="158"/>
      </w:tblGrid>
      <w:tr>
        <w:trPr/>
        <w:tc>
          <w:tcPr>
            <w:tcW w:w="693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38,308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5,580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117,174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123,611</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19,476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15,680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152,077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183,179</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34,682</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36,425</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131,064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139,651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570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17,859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27,632</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283"/>
              <w:jc w:val="left"/>
              <w:rPr>
                <w:b/>
              </w:rPr>
            </w:pPr>
            <w:r>
              <w:rPr>
                <w:b/>
              </w:rPr>
              <w:t>LIABILITIES, CONVERTIBLE PREFERRED STOCK AND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47,128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44,147</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$2,508 and $2,731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47,961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55,614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8,153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7,000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110,193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114,914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 (includes $0 and $178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2,311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(includes $203,710 and $205,347 to related parties, respectively)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245,857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247,833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23,572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31,396</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383,240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396,454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283"/>
              <w:jc w:val="left"/>
              <w:rPr/>
            </w:pPr>
            <w:r>
              <w:rPr/>
              <w:t>COMMITMENTS AND CONTINGENCIES (See Note 16)</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283"/>
              <w:jc w:val="left"/>
              <w:rPr/>
            </w:pPr>
            <w:r>
              <w:rPr/>
              <w:t>CONVERTIBLE PREFERRED STOCK:</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73 shares issued and outstanding at January 3, 2026 and December 28, 2024,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31,205</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1,174 shares issued and outstanding at January 3, 2026 and December 28, 2024)</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194,120</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(189,542</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(43,013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4,588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4" w:name="tx76201_95"/>
      <w:bookmarkEnd w:id="94"/>
      <w:r>
        <w:rPr>
          <w:rFonts w:ascii="Times New Roman" w:hAnsi="Times New Roman"/>
          <w:b/>
          <w:sz w:val="20"/>
        </w:rPr>
        <w:t xml:space="preserve">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257"/>
        <w:gridCol w:w="166"/>
        <w:gridCol w:w="959"/>
        <w:gridCol w:w="155"/>
        <w:gridCol w:w="210"/>
        <w:gridCol w:w="218"/>
        <w:gridCol w:w="1214"/>
        <w:gridCol w:w="155"/>
        <w:gridCol w:w="210"/>
        <w:gridCol w:w="218"/>
        <w:gridCol w:w="1214"/>
        <w:gridCol w:w="161"/>
      </w:tblGrid>
      <w:tr>
        <w:trPr/>
        <w:tc>
          <w:tcPr>
            <w:tcW w:w="506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805,097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918,590</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300,654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350,982</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504,443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567,608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406,227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445,802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490,299</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13,592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12,083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14,364</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4,816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3,275</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11,532</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46,558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48,138</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$31,503, $35,285, and $40,784 to related parties, respectively)</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48,112</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(includes $0, $2,625, and $1,387 to related parties, respectively)</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1,674</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 (includes $178, $589 and $1,440 to related parties, respectivel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(1,738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546</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5" w:name="tx76201_96"/>
      <w:bookmarkEnd w:id="95"/>
      <w:r>
        <w:rPr>
          <w:rFonts w:ascii="Times New Roman" w:hAnsi="Times New Roman"/>
          <w:b/>
          <w:sz w:val="20"/>
        </w:rPr>
        <w:t xml:space="preserve">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72"/>
        <w:gridCol w:w="96"/>
        <w:gridCol w:w="629"/>
        <w:gridCol w:w="155"/>
        <w:gridCol w:w="60"/>
        <w:gridCol w:w="155"/>
        <w:gridCol w:w="715"/>
        <w:gridCol w:w="162"/>
        <w:gridCol w:w="72"/>
        <w:gridCol w:w="77"/>
        <w:gridCol w:w="647"/>
        <w:gridCol w:w="162"/>
        <w:gridCol w:w="72"/>
        <w:gridCol w:w="300"/>
        <w:gridCol w:w="561"/>
        <w:gridCol w:w="155"/>
        <w:gridCol w:w="72"/>
        <w:gridCol w:w="163"/>
        <w:gridCol w:w="951"/>
        <w:gridCol w:w="155"/>
        <w:gridCol w:w="72"/>
        <w:gridCol w:w="199"/>
        <w:gridCol w:w="1276"/>
        <w:gridCol w:w="155"/>
        <w:gridCol w:w="72"/>
        <w:gridCol w:w="140"/>
        <w:gridCol w:w="762"/>
        <w:gridCol w:w="166"/>
      </w:tblGrid>
      <w:tr>
        <w:trPr/>
        <w:tc>
          <w:tcPr>
            <w:tcW w:w="19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9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114" w:type="dxa"/>
            <w:gridSpan w:val="2"/>
            <w:vMerge w:val="restart"/>
            <w:tcBorders/>
            <w:vAlign w:val="bottom"/>
          </w:tcPr>
          <w:p>
            <w:pPr>
              <w:pStyle w:val="TableContents"/>
              <w:bidi w:val="0"/>
              <w:spacing w:before="0" w:after="283"/>
              <w:jc w:val="center"/>
              <w:rPr>
                <w:b/>
              </w:rPr>
            </w:pPr>
            <w:r>
              <w:rPr>
                <w:b/>
              </w:rPr>
              <w:t>Additional</w:t>
              <w:br/>
              <w:t>Paid In</w:t>
              <w:b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475" w:type="dxa"/>
            <w:gridSpan w:val="2"/>
            <w:vMerge w:val="restart"/>
            <w:tcBorders/>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bidi w:val="0"/>
              <w:spacing w:before="0" w:after="283"/>
              <w:jc w:val="center"/>
              <w:rPr>
                <w:b/>
              </w:rPr>
            </w:pPr>
            <w:r>
              <w:rPr>
                <w:b/>
              </w:rPr>
              <w:t>Total</w:t>
            </w:r>
          </w:p>
        </w:tc>
        <w:tc>
          <w:tcPr>
            <w:tcW w:w="166" w:type="dxa"/>
            <w:vMerge w:val="restart"/>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center"/>
              <w:rPr>
                <w:b/>
              </w:rPr>
            </w:pPr>
            <w:r>
              <w:rPr>
                <w:b/>
              </w:rPr>
              <w:t>Amount</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283"/>
              <w:jc w:val="center"/>
              <w:rPr>
                <w:b/>
              </w:rPr>
            </w:pPr>
            <w:r>
              <w:rPr>
                <w:b/>
              </w:rPr>
              <w:t>Shares</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2" w:type="dxa"/>
            <w:vMerge w:val="continue"/>
            <w:tcBorders/>
            <w:vAlign w:val="bottom"/>
          </w:tcPr>
          <w:p>
            <w:pPr>
              <w:pStyle w:val="Normal"/>
              <w:bidi w:val="0"/>
              <w:jc w:val="left"/>
              <w:rPr/>
            </w:pPr>
            <w:r>
              <w:rPr/>
            </w:r>
          </w:p>
        </w:tc>
        <w:tc>
          <w:tcPr>
            <w:tcW w:w="111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14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31,026</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1,181</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195,131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4,902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($13.47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(600</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issuance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179</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(942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(942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546</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30, 2023</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31,205</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1,180</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194,331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(190,293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4,048</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($13.32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(709</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(212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1,460</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31,205</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1,174</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194,120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(189,542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4,588</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($9.99 per convertible preferred share)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(403</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(9,493</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(289</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9,493</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(56,691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21,712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885</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203,614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(43,013</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6" w:name="tx76201_97"/>
      <w:bookmarkEnd w:id="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2"/>
        <w:gridCol w:w="259"/>
        <w:gridCol w:w="174"/>
        <w:gridCol w:w="944"/>
        <w:gridCol w:w="155"/>
        <w:gridCol w:w="209"/>
        <w:gridCol w:w="221"/>
        <w:gridCol w:w="1208"/>
        <w:gridCol w:w="155"/>
        <w:gridCol w:w="209"/>
        <w:gridCol w:w="221"/>
        <w:gridCol w:w="1208"/>
        <w:gridCol w:w="160"/>
      </w:tblGrid>
      <w:tr>
        <w:trPr/>
        <w:tc>
          <w:tcPr>
            <w:tcW w:w="508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546</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income to net cash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14,364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sale of fixed assets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operating right-of-use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8,242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8,745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9,190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property, plant, and equipment -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3,275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11,532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 net of valuation allowance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(9,943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issue costs (includes $4,358, $4,361 and $4,636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5,259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5,264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5,595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 (includes $0, $2,625 and $1,387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1,674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 (includes $178, $589 and $1,440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expense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equity-based compensation</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Changes in working capital:</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1,444</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6,437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29,952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51,910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2,981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(10,529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liabilities (includes ($224), ($947) and $3,532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(7,653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(9,329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(2,602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(8,250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(8,771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(9,221</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 and liabilities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(2,107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11,520</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36,423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77,338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(9,606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(8,235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Payment for acquisitions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(13,768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(8,875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(23,374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(17,110</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48,382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debt (includes $5,800, $43,293 and $22,537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(55,382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(52,250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(27,200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debt financing costs (includes $0, $0 and $126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(988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(3,041</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 of common stock</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(53,450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(31,335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CASH AND CASH EQUIVALENTS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(26,977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(40,401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28,893</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year</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38,308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78,709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49,816</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year</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38,308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78,709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dividend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1,334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1,612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common stock forfeitures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forfeitures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97" w:name="tx76201_98"/>
            <w:bookmarkEnd w:id="9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3).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—Certain prior period amounts have been reclassified for consistency with the current period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reclassified the following amounts in the Consolidated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57"/>
        <w:gridCol w:w="195"/>
        <w:gridCol w:w="1137"/>
        <w:gridCol w:w="60"/>
        <w:gridCol w:w="557"/>
        <w:gridCol w:w="161"/>
        <w:gridCol w:w="928"/>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bidi w:val="0"/>
              <w:spacing w:before="0" w:after="283"/>
              <w:jc w:val="center"/>
              <w:rPr>
                <w:b/>
              </w:rPr>
            </w:pPr>
            <w:r>
              <w:rPr>
                <w:b/>
              </w:rPr>
              <w:t>As Reported</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Previously</w:t>
              <w:br/>
              <w:t>Reported</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8,766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123,611</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122,100</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15,680</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14,005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34,682</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24,728</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139,651</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149,605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55,614</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55,074</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previously classified as Other current assets have been reclassified to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Prepaid catalog costs have been reclassified to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related to estimated merchandise returns have been reclassified from Other current assets to Merchandise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has been reclassified from Intangible assets – net to Property, plant,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taxes payable have been reclassified to Accrued expenses and other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Operations and Comprehensive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7"/>
        <w:gridCol w:w="248"/>
        <w:gridCol w:w="203"/>
        <w:gridCol w:w="1126"/>
        <w:gridCol w:w="155"/>
        <w:gridCol w:w="202"/>
        <w:gridCol w:w="161"/>
        <w:gridCol w:w="926"/>
        <w:gridCol w:w="60"/>
        <w:gridCol w:w="248"/>
        <w:gridCol w:w="203"/>
        <w:gridCol w:w="1126"/>
        <w:gridCol w:w="155"/>
        <w:gridCol w:w="202"/>
        <w:gridCol w:w="160"/>
        <w:gridCol w:w="926"/>
        <w:gridCol w:w="67"/>
      </w:tblGrid>
      <w:tr>
        <w:trPr/>
        <w:tc>
          <w:tcPr>
            <w:tcW w:w="403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67"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bidi w:val="0"/>
              <w:spacing w:before="0" w:after="283"/>
              <w:jc w:val="center"/>
              <w:rPr>
                <w:b/>
              </w:rPr>
            </w:pPr>
            <w:r>
              <w:rPr>
                <w:b/>
              </w:rPr>
              <w:t>Previously</w:t>
              <w:br/>
              <w:t>Reported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Previously</w:t>
              <w:br/>
              <w:t>Reported</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445,802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457,885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490,299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504,663</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14,807</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41,126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48,112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46,374</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4"/>
        <w:gridCol w:w="354"/>
        <w:gridCol w:w="223"/>
        <w:gridCol w:w="1090"/>
        <w:gridCol w:w="155"/>
        <w:gridCol w:w="298"/>
        <w:gridCol w:w="185"/>
        <w:gridCol w:w="916"/>
        <w:gridCol w:w="155"/>
        <w:gridCol w:w="298"/>
        <w:gridCol w:w="223"/>
        <w:gridCol w:w="1090"/>
        <w:gridCol w:w="155"/>
        <w:gridCol w:w="297"/>
        <w:gridCol w:w="185"/>
        <w:gridCol w:w="916"/>
        <w:gridCol w:w="161"/>
      </w:tblGrid>
      <w:tr>
        <w:trPr/>
        <w:tc>
          <w:tcPr>
            <w:tcW w:w="350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14,807</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1,444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9,722</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29,952</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29,853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51,910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51,871</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and payable</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5,443</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(9,329</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(8,800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(3,672</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11,520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28, 2024, reclassifications on the Consolidated Balance Sheets resulted in corresponding changes to line items within the Consolidated Statements of Cash Flows.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30, 2023, the Company reclassified a portion of the Impairment of intangible assets into Impairment of property, plant, and equipment – net. Additionally, reclassifications on the Consolidated Balance Sheets resulted in corresponding changes to line items within the Consolidated Statements of Cash Flows. </w:t>
            </w:r>
          </w:p>
        </w:tc>
      </w:tr>
    </w:tbl>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Fiscal year 2025 ended on January 3, 2026 and reflected a 53-week period. Fiscal years 2024 and 2023 ended on December 28, 2024 and December 30, 2023 respectively, and each reflected a 52-week period. References to years in the consolidated financial statements and notes relate to fiscal years rather than calendar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b/>
          <w:sz w:val="20"/>
        </w:rPr>
        <w:t>Acquisitions</w:t>
      </w:r>
      <w:r>
        <w:rPr>
          <w:rFonts w:ascii="Times New Roman" w:hAnsi="Times New Roman"/>
          <w:sz w:val="20"/>
        </w:rPr>
        <w:t xml:space="preserve">— 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before="24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—The Company considers all highly liquid investments with an original maturity of three months or less to be cash equivalents. The Company also considers receivables from financial institutions related to credit card purchases to be cash equivalents due to the high credit quality and short settlement period, which generally settle within two to four business days. </w:t>
      </w:r>
    </w:p>
    <w:p>
      <w:pPr>
        <w:pStyle w:val="TextBody"/>
        <w:bidi w:val="0"/>
        <w:spacing w:before="240" w:after="0"/>
        <w:jc w:val="left"/>
        <w:rPr>
          <w:rFonts w:ascii="Times New Roman" w:hAnsi="Times New Roman"/>
          <w:sz w:val="20"/>
        </w:rPr>
      </w:pPr>
      <w:r>
        <w:rPr>
          <w:rFonts w:ascii="Times New Roman" w:hAnsi="Times New Roman"/>
          <w:b/>
          <w:sz w:val="20"/>
        </w:rPr>
        <w:t>Merchandise Inventories</w:t>
      </w:r>
      <w:r>
        <w:rPr>
          <w:rFonts w:ascii="Times New Roman" w:hAnsi="Times New Roman"/>
          <w:sz w:val="20"/>
        </w:rPr>
        <w:t xml:space="preserve">—Merchandise inventory consists of purchased finished goods and is valued at the lower of cost or net realizable value, with cost determined using a standard cost method and relieved using a first-in first-out basis. We reduce the value of our inventory to its estimated net realizable value where cost exceeds the estimated future selling price. </w:t>
      </w:r>
    </w:p>
    <w:p>
      <w:pPr>
        <w:pStyle w:val="TextBody"/>
        <w:bidi w:val="0"/>
        <w:spacing w:before="240" w:after="0"/>
        <w:jc w:val="left"/>
        <w:rPr>
          <w:rFonts w:ascii="Times New Roman" w:hAnsi="Times New Roman"/>
          <w:sz w:val="20"/>
        </w:rPr>
      </w:pPr>
      <w:r>
        <w:rPr>
          <w:rFonts w:ascii="Times New Roman" w:hAnsi="Times New Roman"/>
          <w:b/>
          <w:sz w:val="20"/>
        </w:rPr>
        <w:t>Prepaid Catalog Costs</w:t>
      </w:r>
      <w:r>
        <w:rPr>
          <w:rFonts w:ascii="Times New Roman" w:hAnsi="Times New Roman"/>
          <w:sz w:val="20"/>
        </w:rPr>
        <w:t xml:space="preserve">—Prepaid catalog costs consist of catalog production that have not yet been received by the customer and prepaid paper inventory used in catalog production and are recorded in Other current assets on our Consolidated Balance Sheets. Prepaid catalog costs are expensed based on the in-home date. </w:t>
      </w:r>
    </w:p>
    <w:p>
      <w:pPr>
        <w:pStyle w:val="TextBody"/>
        <w:bidi w:val="0"/>
        <w:spacing w:before="240" w:after="0"/>
        <w:jc w:val="left"/>
        <w:rPr>
          <w:rFonts w:ascii="Times New Roman" w:hAnsi="Times New Roman"/>
          <w:sz w:val="20"/>
        </w:rPr>
      </w:pPr>
      <w:r>
        <w:rPr>
          <w:rFonts w:ascii="Times New Roman" w:hAnsi="Times New Roman"/>
          <w:b/>
          <w:sz w:val="20"/>
        </w:rPr>
        <w:t>Advertising Costs</w:t>
      </w:r>
      <w:r>
        <w:rPr>
          <w:rFonts w:ascii="Times New Roman" w:hAnsi="Times New Roman"/>
          <w:sz w:val="20"/>
        </w:rPr>
        <w:t xml:space="preserve">—Advertising costs for certain direct response mail and media campaigns are expensed based on the in-home date or when they are otherwise presented to the customer. Other advertising costs are expensed as incurred. Advertising costs are recorded in Selling, general, and administrative expenses and were $228,000, $271,300 and $311,352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Cloud Computing Arrangements</w:t>
      </w:r>
      <w:r>
        <w:rPr>
          <w:rFonts w:ascii="Times New Roman" w:hAnsi="Times New Roman"/>
          <w:sz w:val="20"/>
        </w:rPr>
        <w:t xml:space="preserve">—Costs incurred to implement cloud computing arrangements hosted by third-party vendors are capitalized when incurred during the application development phase and amortized on a straight-line basis over the contractual term, plus any reasonably certain renewal periods, of the cloud computing arrangement and are included in Selling, general, and administrative expenses. Capitalized amounts related to such arrangements are recorded within Other current assets on our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—Accounting Standards Codification (“ASC”) Topic 825, </w:t>
      </w:r>
      <w:r>
        <w:rPr>
          <w:rFonts w:ascii="Times New Roman" w:hAnsi="Times New Roman"/>
          <w:i/>
          <w:sz w:val="20"/>
        </w:rPr>
        <w:t xml:space="preserve">Financial Instruments </w:t>
      </w:r>
      <w:r>
        <w:rPr>
          <w:rFonts w:ascii="Times New Roman" w:hAnsi="Times New Roman"/>
          <w:sz w:val="20"/>
        </w:rPr>
        <w:t xml:space="preserve">requires disclosure of the fair value of certain financial instruments. ASC Topic 820, </w:t>
      </w:r>
      <w:r>
        <w:rPr>
          <w:rFonts w:ascii="Times New Roman" w:hAnsi="Times New Roman"/>
          <w:i/>
          <w:sz w:val="20"/>
        </w:rPr>
        <w:t>Fair Value Measurements and Disclosures</w:t>
      </w:r>
      <w:r>
        <w:rPr>
          <w:rFonts w:ascii="Times New Roman" w:hAnsi="Times New Roman"/>
          <w:sz w:val="20"/>
        </w:rPr>
        <w:t xml:space="preserve"> defines fair value, establishes a framework for measuring fair value and enhances disclosures about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Note 18, for information regarding the fair value of certain financial assets. </w:t>
      </w:r>
    </w:p>
    <w:p>
      <w:pPr>
        <w:pStyle w:val="TextBody"/>
        <w:bidi w:val="0"/>
        <w:spacing w:before="240" w:after="0"/>
        <w:jc w:val="left"/>
        <w:rPr>
          <w:rFonts w:ascii="Times New Roman" w:hAnsi="Times New Roman"/>
          <w:sz w:val="20"/>
        </w:rPr>
      </w:pPr>
      <w:r>
        <w:rPr>
          <w:rFonts w:ascii="Times New Roman" w:hAnsi="Times New Roman"/>
          <w:b/>
          <w:sz w:val="20"/>
        </w:rPr>
        <w:t>Operating Leases</w:t>
      </w:r>
      <w:r>
        <w:rPr>
          <w:rFonts w:ascii="Times New Roman" w:hAnsi="Times New Roman"/>
          <w:sz w:val="20"/>
        </w:rPr>
        <w:t xml:space="preserve">—We determine if an arrangement is a lease at inception. We account for lease agreements as either operating or finance leases depending on certain defined criteria. Operating leases are recognized in Operating lease right-of-use (“ROU”) assets, Short-term operating lease liabilities, and Long-term operating lease liabilities on our consolidated balance sheets. The Company does not have any Finance leases. Lease liabilities are recognized based on the present value of the future minimum lease payments over the lease term at commencement date. Operating lease ROU assets are based on the lease liability adjusted for prepaid rent, deferred rent, and tenant allowances received from certain of the Company’s landlords. As most of our leases do not provide an implicit rate, we use our incremental borrowing rate based on the information available at commencement date in determining the present value of future payments. We recognize lease costs on a straight-line basis over the lease term without regard to deferred payment terms. Our lease terms may include options to extend or terminate the lease, and we adjust our measurement of the lease when it is reasonably certain that we will exercise that option. Operating lease liabilities are amortized based upon the effective interest method. Operating ROU assets are amortized based upon straight-line expense less interest on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 agreements may contain variable costs such as common area maintenance, operating expenses or other costs. Variable lease costs are expensed as incurred on the consolidated statements of operations. To the extent that these charges are fixed within the lease or increase based upon an index or a rate, these lease components are included in the measurement of the lease liability. The Company’s lease agreements generally do not contain any residual value guarantees or restrictive covenants. The Company elected the short-term lease recognition which allows Companies to exclude leases with a term of 12 months or less from the balance sheet. We also elected the practical expedient to not separate lease and non-lease components for our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ROU assets are reviewed for impairment whenever events or changes in circumstances indicate that the carrying amount of the assets may not be recoverable. If the estimated undiscounted future cash flows related to the Operating ROU assets are less than the carrying value, the Company recognizes a loss equal to the difference between the carrying value and the fair value. </w:t>
      </w:r>
    </w:p>
    <w:p>
      <w:pPr>
        <w:pStyle w:val="TextBody"/>
        <w:bidi w:val="0"/>
        <w:spacing w:before="240" w:after="0"/>
        <w:jc w:val="left"/>
        <w:rPr>
          <w:rFonts w:ascii="Times New Roman" w:hAnsi="Times New Roman"/>
          <w:sz w:val="20"/>
        </w:rPr>
      </w:pPr>
      <w:r>
        <w:rPr>
          <w:rFonts w:ascii="Times New Roman" w:hAnsi="Times New Roman"/>
          <w:b/>
          <w:sz w:val="20"/>
        </w:rPr>
        <w:t>Property, Plant, and Equipment Net</w:t>
      </w:r>
      <w:r>
        <w:rPr>
          <w:rFonts w:ascii="Times New Roman" w:hAnsi="Times New Roman"/>
          <w:sz w:val="20"/>
        </w:rPr>
        <w:t xml:space="preserve">—Property, plant, and equipment are stated at cost less accumulated depreciation and amortization. Depreciation and amortization of property, plant, and equipment is computed on a straight-line basis over the estimated useful lives of the related assets, which range from 5 to 30 years for buildings and improvements, and 3 to 10 years for other property and equipment and is included in Selling, general and administrative expenses,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The Company also has leasehold improvements which are amortized over the lesser of 15 years or the life of the lease, including renewal periods, if reasonably assured. Repairs and maintenance are expensed as incurred. Costs incurred to develop internally developed software for internal use are capitalized and amortized over the estimated useful life of the software, which ranges from 3 to 5 years. Costs related to the design or maintenance of internally developed software is expensed as incurred. Additions and improvements which extend service lives are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its long-lived assets for impairment whenever events or changes in circumstances indicate that the carrying value of an asset may not be recoverable. An impairment loss is recognized when estimated future cash flows expected to result from the use of the asset and its eventual disposition is less than its carrying amount. When impairment is identified, the carrying amount of the asset is reduced to its estimated fair value. 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Certain software was impaired in 2023 resulting in an immaterial impairment and are recorded in Impairment of property, plant, and equipment – net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b/>
          <w:sz w:val="20"/>
        </w:rPr>
        <w:t>Intangible Assets - net</w:t>
      </w:r>
      <w:r>
        <w:rPr>
          <w:rFonts w:ascii="Times New Roman" w:hAnsi="Times New Roman"/>
          <w:sz w:val="20"/>
        </w:rPr>
        <w:t xml:space="preserve">—Intangible assets are recorded at their fair market values at the date of acquisition and finite-lived intangibles are amortized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indefinite-lived intangible assets consist of our tradenames and are evaluated for impairment annually similarly to goodwill. When evaluating for impairment,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impairment evaluation for the Company’s indefinite-lived intangible assets involves comparing the estimated fair value of the assets to the carrying amounts, to determine if fair value is lower and a write-down required. If the carrying amount of the asset exceeds its estimated fair value, an impairment charge is recognized in an amount equal to the excess. The fair value of these assets is determined using the relief from royalty method, which is a form of the income approach. The estimates and assumptions used in the determination of the fair value of each tradename included their respective projected revenue growth, long-term growth rate, the royalty rate and discount rate. See Note 8 for additional discussion of the Company’s annual impairment test of indefinite-lived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finite-lived intangible assets consist of the value of customer lists which are amortized over three years. </w:t>
      </w:r>
    </w:p>
    <w:p>
      <w:pPr>
        <w:pStyle w:val="TextBody"/>
        <w:bidi w:val="0"/>
        <w:spacing w:before="240" w:after="0"/>
        <w:jc w:val="left"/>
        <w:rPr>
          <w:rFonts w:ascii="Times New Roman" w:hAnsi="Times New Roman"/>
          <w:sz w:val="20"/>
        </w:rPr>
      </w:pPr>
      <w:r>
        <w:rPr>
          <w:rFonts w:ascii="Times New Roman" w:hAnsi="Times New Roman"/>
          <w:b/>
          <w:sz w:val="20"/>
        </w:rPr>
        <w:t>Goodwill</w:t>
      </w: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The Company evaluates goodwill for impairment as of the fourth quarter. Determination of the fair value of a reporting unit is based on management’s assessment, considering independent third-party appraisals when necessary. Furthermore, this determination is judgmental in nature and often involves the use of significant estimates and assumptions, which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We also evaluate goodwill for impairment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the Company determined there were circumstances that indicated an impairment may have occurred, including a decline in the Company’s net sales and declining margins, and performed a quantitative goodwill assessment. As a result, the Company recognized an impairment charge to goodwill of $10,108 for the year ended January 3, 2026. The Company elected a qualitative assessment for our fiscal fourth quarter 2024 goodwill impairment testing and determined that it was more likely than not that the fair value of the reporting unit was greater than its carrying amount, and as a result, no impairment for goodwill was required for the year ended December 28, 2024. See Note 9 for additional discussion of the Company’s annual impairment test. </w:t>
      </w:r>
    </w:p>
    <w:p>
      <w:pPr>
        <w:pStyle w:val="TextBody"/>
        <w:bidi w:val="0"/>
        <w:spacing w:before="240" w:after="0"/>
        <w:jc w:val="left"/>
        <w:rPr>
          <w:rFonts w:ascii="Times New Roman" w:hAnsi="Times New Roman"/>
          <w:sz w:val="20"/>
        </w:rPr>
      </w:pPr>
      <w:r>
        <w:rPr>
          <w:rFonts w:ascii="Times New Roman" w:hAnsi="Times New Roman"/>
          <w:b/>
          <w:sz w:val="20"/>
        </w:rPr>
        <w:t>Convertible Preferred Stock</w:t>
      </w:r>
      <w:r>
        <w:rPr>
          <w:rFonts w:ascii="Times New Roman" w:hAnsi="Times New Roman"/>
          <w:sz w:val="20"/>
        </w:rPr>
        <w:t xml:space="preserve">— In prior years, the Convertible Preferred Stock was classified within permanent equity and has been reclassified to temporary equity in the periods presented herein as the preferred stock can be redeemed upon a Deemed Liquidation Event which includes, amongst other items, a change in control which includes the consummation of a merger, reorganization, and certain other events as defined within Preferred Stockholders Agreement. As a Deemed Liquidation Event is outside of the Company’s control, the Convertible Preferred Stock is classified as temporary equity. It is generally not probable that a Deemed Liquidation Event will occur until the transaction has been consummated, because such transaction requires the agreement of a third party and substantive contingencies are associated with the transaction. Therefore, the Convertible Preferred Stock does not require subsequent remeasurement since it is not currently redeemable or probably of becoming redeemable at issuance. </w:t>
      </w:r>
    </w:p>
    <w:p>
      <w:pPr>
        <w:pStyle w:val="TextBody"/>
        <w:bidi w:val="0"/>
        <w:spacing w:before="24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—The Company generally recognizes revenue from internet, phone and mail sales upon shipment of the product. Revenue recognition occurs at a point in time, when performance obligations under the terms of a customer purchase order are satisfied. See Note 4 for additional discussion of our revenue recognition policies as well as additional disclosures on revenue from contracts with customers. </w:t>
      </w:r>
    </w:p>
    <w:p>
      <w:pPr>
        <w:pStyle w:val="TextBody"/>
        <w:bidi w:val="0"/>
        <w:spacing w:before="240" w:after="0"/>
        <w:jc w:val="left"/>
        <w:rPr>
          <w:rFonts w:ascii="Times New Roman" w:hAnsi="Times New Roman"/>
          <w:sz w:val="20"/>
        </w:rPr>
      </w:pPr>
      <w:r>
        <w:rPr>
          <w:rFonts w:ascii="Times New Roman" w:hAnsi="Times New Roman"/>
          <w:b/>
          <w:sz w:val="20"/>
        </w:rPr>
        <w:t>Cost of Merchandise Sold</w:t>
      </w:r>
      <w:r>
        <w:rPr>
          <w:rFonts w:ascii="Times New Roman" w:hAnsi="Times New Roman"/>
          <w:sz w:val="20"/>
        </w:rPr>
        <w:t xml:space="preserve">—Cost of merchandise sold consists of the merchandise, merchandise acquisition costs (primarily commissions and import fees), sourcing costs, and freight to the distribution centers. These costs are determined to be directly or indirectly incurred in bringing inventory available for sale. Additionally, promotional free gift expense and the direct costs associated with shipping goods to customers through outbound carriers are recorded as a component of Cost of merchandise sold. Depreciation and amortization are not considered components of Costs of merchandise sold and are included in Depreciation and Amortization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—Selling, general, and administrative expenses consist of compensation and benefit-related costs for operation and administrative personnel. Selling, general, and administrative expenses also include costs for advertising and marketing, information technology, administrative facilities, insurance, legal, and administrative services. Costs associated with preparing the merchandise for shipping, such as picking, packing, warehousing and order charges (“handling costs”) are also recorded as a component of Selling, general, and administrative expenses. Handling costs were $50,121, $50,375 and $56,984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Deferred income tax assets and liabilities are recognized for the estimated future tax consequences attributable to temporary differences between the financial statement carrying amounts of existing assets and liabilities and their respective tax basis. These assets and liabilities are measured using enacted tax rates expected to apply to taxable income in the years in which the temporary differences are expected to reverse. The Company evaluates the recoverability of deferred tax assets by assessing the likelihood of future profitability and available tax planning strategies that could be implemented to realize the deferred tax assets. The Company records a valuation allowance when it is determined that it is more likely than not that some portion (or all) of the deferred tax asset will not be realized. The valuation allowance is based on the Company’s best estimate of future taxable income and the amount of deferred taxes ultimately realizable. Future events could change management’s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records tax benefits for uncertain tax positions based upon management’s evaluation of the information available at the reporting date. To be recognized in the consolidated financial statements, a tax benefit must be at least more likely than not of being sustained based on technical merits. The benefit for positions meeting the recognition threshold is measured as the largest benefit more likely than not of being realized upon ultimate settlement with a taxing authority that has full knowledge of all relevant information. As of January 3, 2026, the Company’s federal and various state income tax returns for 2019 through 2024 are subject to examination by the applicable tax authorities. </w:t>
      </w:r>
    </w:p>
    <w:p>
      <w:pPr>
        <w:pStyle w:val="TextBody"/>
        <w:bidi w:val="0"/>
        <w:spacing w:before="240" w:after="0"/>
        <w:jc w:val="left"/>
        <w:rPr>
          <w:rFonts w:ascii="Times New Roman" w:hAnsi="Times New Roman"/>
          <w:sz w:val="20"/>
        </w:rPr>
      </w:pPr>
      <w:r>
        <w:rPr>
          <w:rFonts w:ascii="Times New Roman" w:hAnsi="Times New Roman"/>
          <w:b/>
          <w:sz w:val="20"/>
        </w:rPr>
        <w:t>Equity-Based Compensation</w:t>
      </w:r>
      <w:r>
        <w:rPr>
          <w:rFonts w:ascii="Times New Roman" w:hAnsi="Times New Roman"/>
          <w:sz w:val="20"/>
        </w:rPr>
        <w:t xml:space="preserve">— The Management Incentive Plan (“MIP”) provides for the grant of Restricted Stock Awards of the Company. The Company recognizes the cost resulting from equity-based compensation transactions at their grant date fair value. Equity-based compensation expense is recognized for the portion of the award that is ultimately expected to vest. The Company accounts for forfeitures as they occur rather than estimating future forfeitures. </w:t>
      </w:r>
    </w:p>
    <w:p>
      <w:pPr>
        <w:pStyle w:val="TextBody"/>
        <w:bidi w:val="0"/>
        <w:spacing w:before="240" w:after="0"/>
        <w:jc w:val="left"/>
        <w:rPr>
          <w:rFonts w:ascii="Times New Roman" w:hAnsi="Times New Roman"/>
          <w:sz w:val="20"/>
        </w:rPr>
      </w:pPr>
      <w:r>
        <w:rPr>
          <w:rFonts w:ascii="Times New Roman" w:hAnsi="Times New Roman"/>
          <w:b/>
          <w:sz w:val="20"/>
        </w:rPr>
        <w:t>Related Parties</w:t>
      </w:r>
      <w:r>
        <w:rPr>
          <w:rFonts w:ascii="Times New Roman" w:hAnsi="Times New Roman"/>
          <w:sz w:val="20"/>
        </w:rPr>
        <w:t xml:space="preserve">—Related 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board members and other parties with which the Company may deal with if one party controls or can significantly influence the management or operating policies of the other to an extent that one of the transacting parties might be prevented from fully pursuing its own separate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amendments in this update provide increased transparency about income tax information through improvements to income tax disclosures primarily related to the rate reconciliation and income taxes paid information. This update also includes certain other amendments to improve the effectiveness of income tax disclosures. We prospectively adopted ASU 2023-09 in 2025, see Note 15.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Divine Merger Sub I, Inc., a Delaware corporation and wholly owned direct subsidiary of Destination XL Group, Inc. (“DXL”), and the Company, entered into an Agreement and Plan of Merger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second quarter of fiscal 2026, is subject to customary closing conditions, including approval by DXL stockholders. Costs incurred in connection with this Merger, primarily related to professional service fees, of $4,816, were included in Transaction-related expenses on the Consolidated Statements of Operations and Comprehensive (Loss) Income for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acquired the assets and some liabilities of Dia &amp; Co. The Dia Shop marketplace joined our new digital mall, which we created in 2023 and greatly expanded our new mall brand offerings – as our Dia Shop site indicates “over 100 brands, over 1,000 styles”. In addition, the Dia Style business and platform brought us a subscription box styling capability we intend to leverage with our existing, classic mall customer base. The acquisition was accounted for as a business combination under GAAP.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acquired the assets and some liabilities of Avenue, which presented a unique opportunity to expand our offerings to our classic, digital mall customers as well as introduces our classic mall and new mall customers to Avenue. Similar to our 2020 acquisition of Catherines, Avenue brings a legacy brick and mortar brand awareness which similarly we plan to leverage. Avenue was accounted for as an asset acquisition and included transaction costs of $1,827 in its calculation of the purchase price. Together, these acquisitions totaled $13,768. The acquisitions were immaterial individually and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2023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acquired the assets of ELOQUII, a digitally native vertical brand that offers size-inclusive fashion and on-trend apparel. That was followed by the acquisition of the assets of CUUP in July 2023, a digitally native size-inclusive intimates brand that aims to disrupt the category by creating intimates that are made to accentuate customers’ natural form and bring confidence, comfort and stylish support. These two acquisitions, accounted for as business combinations under GAAP, were acquired in the amount of $8,875, were moved to our new digital mall. The acquisitions were immaterial individually and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Accounting Policy and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Product sales to customers, including amounts billed to customers for shipping fees are included in Net sales on the Consolidated Statements of Operations and Comprehensive (Loss) Income. This occurs at the time of shipment when control of the promised goods or services is transferred to the customer, in the amount that reflects the consideration the Company expects to be entitled to in exchange for those goods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related to shipping and handling that are billed to customers are recorded in Net sales, and the related costs are recorded in Cost of merchandise sold,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merchandise directly to customers primarily via its e-Commerce platform, telephone orders, and through the use of third party websites. As such, 99% of the Company’s revenue is from shipped sales and shipping revenue which is recognized at the point of shipment. The remaining 1% of sales comes from gift card breakage, marketing our credit card program, and breakage from loyalty programs, which are recognized over time which is consistent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Gift cards issued by the Company are recorded as a deferred liability until they are redeemed, at which point revenue is recognized. Gift cards do not have expiration dates. Gift card breakage is included in Net sales in the accompanying Consolidated Statements of Operations and Comprehensive (Loss) Income and was $9,246, $11,904 and $14,525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agreement with a credit card issuer in connection with our private label credit cards whereby we receive cash incentives and reimbursements in exchange for promised services, such as marketing the credit card program to customers. The Company has identified separate performance obligations related to our private label credit card agreement that includes both providing a license and an obligation to redeem loyalty points issued under the loyalty program. The Company maintains customer loyalty programs associated with our private label credit cards which customers earn points towards rewards for qualifying purchases. Upon reaching specified point values, customers are issued a certificate. Points earned and certificates expire after a period of time. Our obligation to provide a license is satisfied when the subsequent sale or usage occurs and our obligation to redeem loyalty points is deferred until those loyalty points and certificates are redeemed. The Company received a signing bonus from our private label credit card issuer which is recognized over the life of the contract. Net sales are recognized over time as we transfer promised services throughout the contract term.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Price and Payment Terms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the amount of consideration we expect to receive from our customers and is reduced by any stated promotional discounts at the time of purchase. The transaction price may be variable due to terms that permit customers to exchange or return products for a refund. The implicit contract with the customer reflected in the transaction receipt states the final terms of the sale, including the description, quantity, and price of each product purchased. The customer agrees to a stated price in the contract that does not vary over the term of the contract and may include revenue to offset shipping costs. Sales tax collected from customers and remitted to taxing authorities is excluded from Net sales and is included as part of Accrued expenses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Returns and Refunds </w:t>
      </w:r>
    </w:p>
    <w:p>
      <w:pPr>
        <w:pStyle w:val="TextBody"/>
        <w:bidi w:val="0"/>
        <w:spacing w:before="120" w:after="0"/>
        <w:jc w:val="left"/>
        <w:rPr>
          <w:rFonts w:ascii="Times New Roman" w:hAnsi="Times New Roman"/>
          <w:sz w:val="20"/>
        </w:rPr>
      </w:pPr>
      <w:r>
        <w:rPr>
          <w:rFonts w:ascii="Times New Roman" w:hAnsi="Times New Roman"/>
          <w:sz w:val="20"/>
        </w:rPr>
        <w:t xml:space="preserve">The standard terms and conditions of a customer purchase order include general rights of return and product warranty provisions related to nonconforming merchandise. Depending on the circumstances, the merchandise is either replaced or a refund is issued. Such warranties do not represent a separate performance obligation. The Company records a reserve for estimated merchandise returns based on prior customer return patterns and various other assumptions, which is recorded in Accrued expenses and other liabilities on our Consolidated Balance Sheets and was $5,822 and $6,422 as of January 3, 2026 and December 28, 2024, respectively. The asset related to anticipated returned merchandise is included in Merchandise inventories on the Consolidated Balance Sheets and was $1,293 and $1,511 as of January 3, 2026 and December 28,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income for unredeemed gift cards, referred to as gift card breakage, in proportion to the anticipated redemptions and when the Company determines that it does not have a legal obligation to remit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unredeemed gift card to the relevant jurisdiction as unclaimed or abandoned property. We expect the revenue associated with these liabilities to be recognized in proportion to the pattern of customer redemptions within two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signing bonuses from its private label credit card issuer in 2025, 2018 and 2015, which are deferred and recognized in Net Sales on a straight line basis over the life of each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defers a portion of merchandise sales related to the Company’s loyalty programs based on the estimated stand-alone selling price of the points earned and certificates issued. This deferred revenue is recognized in Net sales on the Consolidated Statements of Operations and Comprehensive (Loss) Income as certificates are redeemed or expire. The deferred revenue related to our loyalty programs is not material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3"/>
        <w:gridCol w:w="510"/>
        <w:gridCol w:w="223"/>
        <w:gridCol w:w="895"/>
        <w:gridCol w:w="60"/>
        <w:gridCol w:w="510"/>
        <w:gridCol w:w="286"/>
        <w:gridCol w:w="1146"/>
        <w:gridCol w:w="60"/>
        <w:gridCol w:w="510"/>
        <w:gridCol w:w="286"/>
        <w:gridCol w:w="1146"/>
        <w:gridCol w:w="63"/>
      </w:tblGrid>
      <w:tr>
        <w:trPr/>
        <w:tc>
          <w:tcPr>
            <w:tcW w:w="36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3"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51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6,620</w:t>
            </w:r>
          </w:p>
        </w:tc>
        <w:tc>
          <w:tcPr>
            <w:tcW w:w="63"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5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prior period contact liabilities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482"/>
        <w:gridCol w:w="223"/>
        <w:gridCol w:w="896"/>
        <w:gridCol w:w="60"/>
        <w:gridCol w:w="482"/>
        <w:gridCol w:w="286"/>
        <w:gridCol w:w="1146"/>
        <w:gridCol w:w="60"/>
        <w:gridCol w:w="482"/>
        <w:gridCol w:w="286"/>
        <w:gridCol w:w="1146"/>
        <w:gridCol w:w="66"/>
      </w:tblGrid>
      <w:tr>
        <w:trPr/>
        <w:tc>
          <w:tcPr>
            <w:tcW w:w="3773"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6"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redemptions and gift card breakage</w:t>
            </w:r>
          </w:p>
        </w:tc>
        <w:tc>
          <w:tcPr>
            <w:tcW w:w="48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1,866</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5,911</w:t>
            </w:r>
          </w:p>
        </w:tc>
        <w:tc>
          <w:tcPr>
            <w:tcW w:w="66"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8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years ended January 3, 2026, December 28, 2024 and December 30,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7"/>
        <w:gridCol w:w="193"/>
        <w:gridCol w:w="140"/>
        <w:gridCol w:w="853"/>
        <w:gridCol w:w="60"/>
        <w:gridCol w:w="60"/>
        <w:gridCol w:w="60"/>
        <w:gridCol w:w="607"/>
        <w:gridCol w:w="322"/>
        <w:gridCol w:w="143"/>
        <w:gridCol w:w="140"/>
        <w:gridCol w:w="900"/>
        <w:gridCol w:w="60"/>
        <w:gridCol w:w="146"/>
        <w:gridCol w:w="60"/>
        <w:gridCol w:w="606"/>
        <w:gridCol w:w="275"/>
        <w:gridCol w:w="143"/>
        <w:gridCol w:w="140"/>
        <w:gridCol w:w="900"/>
        <w:gridCol w:w="60"/>
        <w:gridCol w:w="146"/>
        <w:gridCol w:w="60"/>
        <w:gridCol w:w="607"/>
        <w:gridCol w:w="287"/>
      </w:tblGrid>
      <w:tr>
        <w:trPr/>
        <w:tc>
          <w:tcPr>
            <w:tcW w:w="323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81.7</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81.8</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80.8</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13.7</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13.5</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5.7</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287"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$8,370, $12,983 and $14,999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$914, $1,539 and $2,038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 $597 and $688 of net sales for the years ended January 3, 2026, December 28, 2024 and December 30, 2023, respectively, relate to sales recognized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other current assets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6"/>
        <w:gridCol w:w="480"/>
        <w:gridCol w:w="201"/>
        <w:gridCol w:w="987"/>
        <w:gridCol w:w="60"/>
        <w:gridCol w:w="480"/>
        <w:gridCol w:w="242"/>
        <w:gridCol w:w="1284"/>
        <w:gridCol w:w="65"/>
      </w:tblGrid>
      <w:tr>
        <w:trPr/>
        <w:tc>
          <w:tcPr>
            <w:tcW w:w="395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3,874</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3,914</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Catalog paper inventory</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4,129</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4,852</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5,011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5,749</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3,427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1,165</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assets</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19,476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15,680</w:t>
            </w:r>
          </w:p>
        </w:tc>
        <w:tc>
          <w:tcPr>
            <w:tcW w:w="65" w:type="dxa"/>
            <w:tcBorders/>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offices, warehouse space, and equipment leased under non-cancelable operating leasing arrangements which expire at various dates through 2031. If the lease contains a renewal period at the Company’s option, the renewal period is included in the lease term if determined the option is reasonably certain to be exercised. </w:t>
      </w:r>
    </w:p>
    <w:p>
      <w:pPr>
        <w:pStyle w:val="TextBody"/>
        <w:bidi w:val="0"/>
        <w:spacing w:before="240" w:after="0"/>
        <w:jc w:val="left"/>
        <w:rPr>
          <w:rFonts w:ascii="Times New Roman" w:hAnsi="Times New Roman"/>
          <w:sz w:val="20"/>
        </w:rPr>
      </w:pPr>
      <w:r>
        <w:rPr>
          <w:rFonts w:ascii="Times New Roman" w:hAnsi="Times New Roman"/>
          <w:sz w:val="20"/>
        </w:rPr>
        <w:t xml:space="preserve">Some of the Company’s leases contain real estate taxes, common area maintenance, and similar items that are billed as pass-through charges from its landlords. These payments are not included in the measurement of the lease liability but are recognized as variable lease cost in the period incurred.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discount rate as of January 3, 2026 and December 28, 2024 was 5.7% and 5.6%, respectively.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5"/>
        <w:gridCol w:w="394"/>
        <w:gridCol w:w="190"/>
        <w:gridCol w:w="934"/>
        <w:gridCol w:w="60"/>
        <w:gridCol w:w="394"/>
        <w:gridCol w:w="241"/>
        <w:gridCol w:w="1183"/>
        <w:gridCol w:w="60"/>
        <w:gridCol w:w="394"/>
        <w:gridCol w:w="241"/>
        <w:gridCol w:w="1183"/>
        <w:gridCol w:w="163"/>
      </w:tblGrid>
      <w:tr>
        <w:trPr/>
        <w:tc>
          <w:tcPr>
            <w:tcW w:w="313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9,994</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1,282</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11,263</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11,338</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10,911</w:t>
            </w:r>
          </w:p>
        </w:tc>
        <w:tc>
          <w:tcPr>
            <w:tcW w:w="163"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operating cash flow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4"/>
        <w:gridCol w:w="381"/>
        <w:gridCol w:w="226"/>
        <w:gridCol w:w="904"/>
        <w:gridCol w:w="60"/>
        <w:gridCol w:w="381"/>
        <w:gridCol w:w="241"/>
        <w:gridCol w:w="1179"/>
        <w:gridCol w:w="60"/>
        <w:gridCol w:w="381"/>
        <w:gridCol w:w="241"/>
        <w:gridCol w:w="1179"/>
        <w:gridCol w:w="65"/>
      </w:tblGrid>
      <w:tr>
        <w:trPr/>
        <w:tc>
          <w:tcPr>
            <w:tcW w:w="32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3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included in the measurement of operating lease liabilities</w:t>
            </w:r>
          </w:p>
        </w:tc>
        <w:tc>
          <w:tcPr>
            <w:tcW w:w="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9,866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10,026</w:t>
            </w:r>
          </w:p>
        </w:tc>
        <w:tc>
          <w:tcPr>
            <w:tcW w:w="65" w:type="dxa"/>
            <w:tcBorders/>
            <w:shd w:fill="CCEEFF" w:val="clear"/>
            <w:vAlign w:val="bottom"/>
          </w:tcPr>
          <w:p>
            <w:pPr>
              <w:pStyle w:val="TableContents"/>
              <w:bidi w:val="0"/>
              <w:spacing w:before="0" w:after="283"/>
              <w:jc w:val="left"/>
              <w:rPr/>
            </w:pPr>
            <w:r>
              <w:rPr/>
              <w:t> </w:t>
            </w:r>
          </w:p>
        </w:tc>
      </w:tr>
      <w:tr>
        <w:trPr/>
        <w:tc>
          <w:tcPr>
            <w:tcW w:w="32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new operating lease liabilities</w:t>
            </w:r>
          </w:p>
        </w:tc>
        <w:tc>
          <w:tcPr>
            <w:tcW w:w="3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Maturity of lease liabilities under our non-cancellable operating leases as of January 3, 2026,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1"/>
        <w:gridCol w:w="476"/>
        <w:gridCol w:w="145"/>
        <w:gridCol w:w="819"/>
        <w:gridCol w:w="158"/>
      </w:tblGrid>
      <w:tr>
        <w:trPr/>
        <w:tc>
          <w:tcPr>
            <w:tcW w:w="534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bottom"/>
          </w:tcPr>
          <w:p>
            <w:pPr>
              <w:pStyle w:val="TableContents"/>
              <w:bidi w:val="0"/>
              <w:spacing w:before="0" w:after="283"/>
              <w:jc w:val="left"/>
              <w:rPr>
                <w:b/>
              </w:rPr>
            </w:pPr>
            <w:r>
              <w:rPr>
                <w:b/>
              </w:rPr>
              <w:t>Fiscal Years</w:t>
            </w:r>
          </w:p>
        </w:tc>
        <w:tc>
          <w:tcPr>
            <w:tcW w:w="47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8,533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8,113</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8,003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7,689</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2,562</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(13,574</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31,676</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remaining lease term is 4.9 years, 5.7 years and 6.6 years as of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were no executed leases in which the Company did not have control of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January 3, 2026 and December 28, 2024,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64"/>
        <w:gridCol w:w="176"/>
        <w:gridCol w:w="975"/>
        <w:gridCol w:w="60"/>
        <w:gridCol w:w="464"/>
        <w:gridCol w:w="210"/>
        <w:gridCol w:w="1268"/>
        <w:gridCol w:w="65"/>
      </w:tblGrid>
      <w:tr>
        <w:trPr/>
        <w:tc>
          <w:tcPr>
            <w:tcW w:w="4073"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improvements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30,486</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29,689</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Technical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21,085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18,266</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6,457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6,392</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Internal Software</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50,278</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45,674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1,526</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109,491</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101,547</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77,607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66,865</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31,884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34,682</w:t>
            </w:r>
          </w:p>
        </w:tc>
        <w:tc>
          <w:tcPr>
            <w:tcW w:w="65"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plant, and equipment was $10,862, $9,459 and $9,508 for the years ended January 3, 2026,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Company’s intangible assets other than tradename and goodwill as of January 3, 2026 and December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78,766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2,285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78,766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2,285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128,779</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131,064</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76,036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5,015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76,036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5,015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134,636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139,651</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year ended January 3, 2026, based on a combination of factors, predominantly driven by the reduction of demand of certain of the Company’s brand products, the Company concluded that the carrying value of its tradenames exceeded their fair values and recorded a non-cash intangible asset impairment charge of $5,857. Based on the results of the Company’s annual impairment testing of its indefinite-lived intangible assets for the year ended December 28, 2024, no impairment charges were deemed necessary. In the year ended December 30, 2023, based on a combination of factors, predominantly driven by the reduction of customer demand for one of the Company’s brand products, the Company concluded that the carrying value of one of its tradenames exceeded their fair values and recorded a non-cash intangible asset impairment charge of $11,532.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amortized on a straight-line method over their expected lives, except customer lists which were amortized on an accelerated method. The Company recorded amortization expense of $2,730, $2,624 and $4,856 for the years ended January 3, 2026, December 28, 2024 and December 30, 2023, respectively. The estimated aggregated future amortization expense for all amortizable intangibles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5"/>
        <w:gridCol w:w="438"/>
        <w:gridCol w:w="140"/>
        <w:gridCol w:w="623"/>
        <w:gridCol w:w="63"/>
      </w:tblGrid>
      <w:tr>
        <w:trPr/>
        <w:tc>
          <w:tcPr>
            <w:tcW w:w="567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1,852</w:t>
            </w:r>
          </w:p>
        </w:tc>
        <w:tc>
          <w:tcPr>
            <w:tcW w:w="63"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434</w:t>
            </w:r>
          </w:p>
        </w:tc>
        <w:tc>
          <w:tcPr>
            <w:tcW w:w="63"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2,285</w:t>
            </w:r>
          </w:p>
        </w:tc>
        <w:tc>
          <w:tcPr>
            <w:tcW w:w="63"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462"/>
        <w:gridCol w:w="147"/>
        <w:gridCol w:w="831"/>
        <w:gridCol w:w="161"/>
      </w:tblGrid>
      <w:tr>
        <w:trPr/>
        <w:tc>
          <w:tcPr>
            <w:tcW w:w="533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40,215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9,378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in fiscal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578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40,793</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(30,837</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9,956</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Additions in fiscal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152</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10,108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loss in fiscal 2025</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(10,108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40,945</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the Company recorded an impairment charge of $10,108 in order to adjust carrying value to estimated fair value. No impairment charge was recorded for the year ended December 28, 2024 or December 30, 2023, respectively. See Note 2 for more information about our annual impairment test of goodwill.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accrued expenses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3"/>
        <w:gridCol w:w="454"/>
        <w:gridCol w:w="201"/>
        <w:gridCol w:w="986"/>
        <w:gridCol w:w="60"/>
        <w:gridCol w:w="454"/>
        <w:gridCol w:w="243"/>
        <w:gridCol w:w="1281"/>
        <w:gridCol w:w="63"/>
      </w:tblGrid>
      <w:tr>
        <w:trPr/>
        <w:tc>
          <w:tcPr>
            <w:tcW w:w="4013"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cards and customer credits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5,095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6,402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8,014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 liabilities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5,608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9,357</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9,524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9,487</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9,009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9,595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Returns reserve</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5,822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6,422</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2,260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2,592</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(includes $2,508 and $2,731 to related parties, respectively)</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3,031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3,296</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1,756</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liabilities</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47,961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55,614</w:t>
            </w:r>
          </w:p>
        </w:tc>
        <w:tc>
          <w:tcPr>
            <w:tcW w:w="63"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January 3, 2026 and December 28, 2024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423"/>
        <w:gridCol w:w="177"/>
        <w:gridCol w:w="1028"/>
        <w:gridCol w:w="155"/>
        <w:gridCol w:w="423"/>
        <w:gridCol w:w="212"/>
        <w:gridCol w:w="1277"/>
        <w:gridCol w:w="160"/>
      </w:tblGrid>
      <w:tr>
        <w:trPr/>
        <w:tc>
          <w:tcPr>
            <w:tcW w:w="39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$217,293 and $223,093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262,250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269,250</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$7,783 and $11,946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(9,393</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(14,417</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252,857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254,833</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(7,000</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$203,710 and $205,347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245,857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247,833</w:t>
            </w:r>
          </w:p>
        </w:tc>
        <w:tc>
          <w:tcPr>
            <w:tcW w:w="16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Key Debt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key debt features as of January 3,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7"/>
        <w:gridCol w:w="410"/>
        <w:gridCol w:w="129"/>
        <w:gridCol w:w="1295"/>
        <w:gridCol w:w="278"/>
        <w:gridCol w:w="315"/>
        <w:gridCol w:w="60"/>
        <w:gridCol w:w="1328"/>
        <w:gridCol w:w="60"/>
        <w:gridCol w:w="410"/>
        <w:gridCol w:w="251"/>
        <w:gridCol w:w="574"/>
        <w:gridCol w:w="65"/>
      </w:tblGrid>
      <w:tr>
        <w:trPr/>
        <w:tc>
          <w:tcPr>
            <w:tcW w:w="3397"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Priority</w:t>
            </w:r>
          </w:p>
        </w:tc>
        <w:tc>
          <w:tcPr>
            <w:tcW w:w="65"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1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7.25</w:t>
            </w:r>
          </w:p>
        </w:tc>
        <w:tc>
          <w:tcPr>
            <w:tcW w:w="278"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w:t>
            </w:r>
          </w:p>
        </w:tc>
        <w:tc>
          <w:tcPr>
            <w:tcW w:w="4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11.47</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August 2027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January 3, 2026, the borrowing base for the ABL Facility was $120,000 and availability under the ABL Facility was $66,864, which reflects capacity of $71,805 less $4,941 of outstanding letters of credit and $0 outstanding borrowings under the revolving credit line.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the Borrower with the right to request additional commitments under this facility, subject to customary conditions.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r>
        <w:rPr>
          <w:rFonts w:ascii="Times New Roman" w:hAnsi="Times New Roman"/>
          <w:i/>
          <w:sz w:val="20"/>
        </w:rPr>
        <w:t xml:space="preserve">Rate and Fees. </w:t>
      </w:r>
      <w:r>
        <w:rPr>
          <w:rFonts w:ascii="Times New Roman" w:hAnsi="Times New Roman"/>
          <w:sz w:val="20"/>
        </w:rPr>
        <w:t xml:space="preserve">Borrowings under the ABL Facility bear interest at a rate per annum equal to, at the Borrower’s option, either (a) a base rate determined by reference to the greatest of (1) the prime rate, (2) the Federal Funds rate plus 0.50% and (3) a SOFR Rate plus 1.00% or (b) a SOFR rate plus an applicable rate. The applicable rate is subject to adjustment each fiscal quarter, based on excess availability and ranges from 0.50% to 1.00% for loans bearing interest at the base rate and 1.50% to 2.00% for loans bearing interest at the SOFR Rate.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required to pay a commitment fee in respect of the unutilized commitments under the ABL Facility of 0.250% to 0.375% per annum, depending on usage under the facility. The Borrower must also pay customary letter of credit fees and agency fees. </w:t>
      </w:r>
    </w:p>
    <w:p>
      <w:pPr>
        <w:pStyle w:val="TextBody"/>
        <w:bidi w:val="0"/>
        <w:spacing w:before="240" w:after="0"/>
        <w:jc w:val="left"/>
        <w:rPr>
          <w:rFonts w:ascii="Times New Roman" w:hAnsi="Times New Roman"/>
          <w:sz w:val="20"/>
        </w:rPr>
      </w:pPr>
      <w:r>
        <w:rPr>
          <w:rFonts w:ascii="Times New Roman" w:hAnsi="Times New Roman"/>
          <w:i/>
          <w:sz w:val="20"/>
        </w:rPr>
        <w:t xml:space="preserve">Amortization. </w:t>
      </w:r>
      <w:r>
        <w:rPr>
          <w:rFonts w:ascii="Times New Roman" w:hAnsi="Times New Roman"/>
          <w:sz w:val="20"/>
        </w:rPr>
        <w:t xml:space="preserve">There is no scheduled amortization under the ABL Facility.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ABL Facility are unconditionally guaranteed by the Borrower and substantially all of its existing 100%-owned domestic subsidiaries and will be required to be guaranteed by certain of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 xml:space="preserve">Certain Covenants and Events of Default. </w:t>
      </w:r>
      <w:r>
        <w:rPr>
          <w:rFonts w:ascii="Times New Roman" w:hAnsi="Times New Roman"/>
          <w:sz w:val="20"/>
        </w:rPr>
        <w:t xml:space="preserve">The ABL Facility contains certain customary covenants that, among other things and subject to certain exceptions, restrict the Borrower’s ability and the ability of its subsidiaries to incur liens; make investments, loans and acquisitions; incur additional indebtedness; consolidate, merge or liquidate; dispose of assets; pay dividends on capital stock or redeem, repurchase or retire capital stock or certain other junior lien indebtedness; prepay indebtedness; alter the business conducted; engage in transactions with affiliates; and create restrictions on the payment of dividends or other amounts from restricted subsidiaries or the ability to incur liens on the Borrower’s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ABL Facility requires the Borrower to maintain a Fixed Charge Coverage Ratio (as defined in the ABL Facility) of at least 1.0 to 1.0. The ABL Facility also contains certain customary representations and warranties, affirmative covenants and provisions relating to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January 3, 2026 and December 28, 2024, approximately 82.9% and 82.9%, respectively, of the Company’s institutional debt holders also hold an equity interest in the Company, have representation on the Board of Directors, or otherwise exert significant influence over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Interest Rate and Fees. </w:t>
      </w:r>
      <w:r>
        <w:rPr>
          <w:rFonts w:ascii="Times New Roman" w:hAnsi="Times New Roman"/>
          <w:sz w:val="20"/>
        </w:rPr>
        <w:t xml:space="preserve">Borrowings under the First Lien bear interest at a rate per annum equal to, at the Borrower’s option, either (a) a base rate determined by reference to the highest of (1) the Prime Rate, (2) the Federal Funds rate plus 0.50%, (3) adjusted term SOFR for one month plus 1.00%, and (4) 2.00% or (b) SOFR rate plus an applicable rate of 7.50%. The base rate and the SOFR Rate are subject to a floor of 1.00%. </w:t>
      </w:r>
    </w:p>
    <w:p>
      <w:pPr>
        <w:pStyle w:val="TextBody"/>
        <w:bidi w:val="0"/>
        <w:spacing w:before="240" w:after="0"/>
        <w:jc w:val="left"/>
        <w:rPr>
          <w:rFonts w:ascii="Times New Roman" w:hAnsi="Times New Roman"/>
          <w:sz w:val="20"/>
        </w:rPr>
      </w:pPr>
      <w:r>
        <w:rPr>
          <w:rFonts w:ascii="Times New Roman" w:hAnsi="Times New Roman"/>
          <w:i/>
          <w:sz w:val="20"/>
        </w:rPr>
        <w:t>Amortization</w:t>
      </w:r>
      <w:r>
        <w:rPr>
          <w:rFonts w:ascii="Times New Roman" w:hAnsi="Times New Roman"/>
          <w:sz w:val="20"/>
        </w:rPr>
        <w:t xml:space="preserve">. The Borrower is required to make scheduled quarterly payments of $1,750, plus an annual payment equal to (a). 75% of the excess cash flow for the immediately preceding fiscal year in which indebtedness to adjusted EBITDA ratio is greater than or equal to 2.50 :1.00; or (b) 50 % of the excess cash flow for the immediately preceding fiscal year in which the funded indebtedness to adjusted EBITDA Ratio is less than 2.50 :1.00, less voluntary prepayments, with final payment at maturity.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First Lien are unconditionally guaranteed by the Borrower and substantially all of its existing 100%-owned domestic subsidiaries and will be required to be guaranteed by certain of any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Certain</w:t>
      </w:r>
      <w:r>
        <w:rPr>
          <w:rFonts w:ascii="Times New Roman" w:hAnsi="Times New Roman"/>
          <w:sz w:val="20"/>
        </w:rPr>
        <w:t xml:space="preserve"> </w:t>
      </w:r>
      <w:r>
        <w:rPr>
          <w:rFonts w:ascii="Times New Roman" w:hAnsi="Times New Roman"/>
          <w:i/>
          <w:sz w:val="20"/>
        </w:rPr>
        <w:t>Covenants</w:t>
      </w:r>
      <w:r>
        <w:rPr>
          <w:rFonts w:ascii="Times New Roman" w:hAnsi="Times New Roman"/>
          <w:sz w:val="20"/>
        </w:rPr>
        <w:t xml:space="preserve"> </w:t>
      </w:r>
      <w:r>
        <w:rPr>
          <w:rFonts w:ascii="Times New Roman" w:hAnsi="Times New Roman"/>
          <w:i/>
          <w:sz w:val="20"/>
        </w:rPr>
        <w:t>and Events</w:t>
      </w:r>
      <w:r>
        <w:rPr>
          <w:rFonts w:ascii="Times New Roman" w:hAnsi="Times New Roman"/>
          <w:sz w:val="20"/>
        </w:rPr>
        <w:t xml:space="preserve"> </w:t>
      </w:r>
      <w:r>
        <w:rPr>
          <w:rFonts w:ascii="Times New Roman" w:hAnsi="Times New Roman"/>
          <w:i/>
          <w:sz w:val="20"/>
        </w:rPr>
        <w:t>of Default.</w:t>
      </w:r>
      <w:r>
        <w:rPr>
          <w:rFonts w:ascii="Times New Roman" w:hAnsi="Times New Roman"/>
          <w:sz w:val="20"/>
        </w:rPr>
        <w:t xml:space="preserve"> The First Lien contains certain customary covenants that, among other things and subject to certain exceptions, restrict the ability of the Company and its subsidiaries to incur liens; make investments, loans and acquisitions; incur additional indebtedness; consolidate, merge or liquidate; dispose of assets; pay dividends on its capital stock or redeem, repurchase or retire the capital stock or certain other junior lien indebtedness; alter the business the Borrower conducts; engage in transactions with its affiliates; and create restrictions on the payment of dividends or other amounts from its restricted subsidiaries or the ability to incur liens on the assets. The First Lien requires the Borrower not to exceed a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also contains certain customary representations and warranties, affirmative covenants and provisions relating to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maturity table for debt obligations as of January 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 (includes $ 5,800 to related parties)</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7,000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(includes $ 211,493 to related parties)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255,250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262,250</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issuance costs and original issue discount are amortized over the respective terms of the ABL Facility and First Lien and recorded as a component of Interest Expense, net, in the accompanying Consolidated Statements of Operations and Comprehensive (Loss)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interest paid was $33,179, $38,443 and $43,717, for the years ended January 3, 2026, December 28, 2024 and December 30, 2023, respectively. Of total cash paid, $27,369, $31,853 and $36,223 for the years ended January 3, 2026, December 28, 2024 and December 30, 2023, respectively, relates to cash interest paid to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2025. The holders of the Preferred Stock were entitled to the following rights: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January 3, 2026 and December 28, 2024 is $13,229 and $19,460, respectively. During fiscal 2025, 24 shares of Preferred Stock were forfeited by departing holders, resulting in a reduction to the carrying value of Convertible Preferred Stock of $9,493 and a corresponding increase to Additional paid-in capital. As of January 3, 2026 and December 28, 2024,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$730, $974 and $985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January 3, 2026 and December 28, 2024,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Incentive Plan (“MIP”) provides for the grant of Restricted Stock Awards (“RSA’s”) of the Company. In addition, the MIP provides for recipients to receive anti-dilution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MIP provides for the grant of RSA’s of the Company. RSA’s generally consist of two components, time-based (“Time-Based Shares”) and performance-based (“Performance-Based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Time-Based shares generally vest over four years of continuous service. For Time-Based Shares, noncash RSA expense is calculated based on the grant-date fair value of the Shares and is recognized in expense straight-line over the service period. All Time-Based shares vested as of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Shares generally vest either on the achievement of certain predefined levels of EBITDA, or the date of a Liquidation Event in which Total Enterprise Value exceeds certain predefined hurdles. Compensation expense for Performance-Based Shares is recognized when it is probable that the performance condition will be achieved. All EBITDA and Total Enterprise Values hurdles from Shares issued from 2020 and prior were achieved prior to 2022 resulting in full vesting of those Performance-Based Shares and therefore no incremental expense was incurred during either fiscal year 2025, 2024, or 2023. All Performance-Based Shares granted from 2021 through 2025 vest on the achievement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Due to the terms of the agreement with each RSA holder and each parties’ respective rights thereunder, the Awards are accounted for as a substantive class of equity. The aggregate number of RSA’s authorized for issuance against the MIP was 161 and 161 on January 3, 2026 and December 28,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Performance-Based Share awards and activity of the Shares for the year ended January 3,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8"/>
        <w:gridCol w:w="484"/>
        <w:gridCol w:w="154"/>
        <w:gridCol w:w="1006"/>
        <w:gridCol w:w="155"/>
        <w:gridCol w:w="484"/>
        <w:gridCol w:w="214"/>
        <w:gridCol w:w="1161"/>
        <w:gridCol w:w="159"/>
      </w:tblGrid>
      <w:tr>
        <w:trPr/>
        <w:tc>
          <w:tcPr>
            <w:tcW w:w="393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Share</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28, 2024</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170.01</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31.30</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(142.88</w:t>
            </w:r>
          </w:p>
        </w:tc>
        <w:tc>
          <w:tcPr>
            <w:tcW w:w="159" w:type="dxa"/>
            <w:tcBorders/>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3, 2026</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166.36</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recognized expense of $0, $1 and $142 related to RSA’s in the years ended January 3, 2026, December 28, 2024 and December 30, 2023, respectively, and is recorded in Selling, General, and Administrative Expenses. For the years ended January 3, 2026, December 28, 2024 and December 30, 2023, the Company recognized a corresponding tax expense of $0, $0 and $183,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RSA’s was estimated on the date of grant using the Black-Scholes based option valuation model that used the following assumptions. Expected volatility was estimated based on the leverage adjusted historical volatility of certain of our peer companies over a historical term commensurate with the remaining expected holding period. Expected dividend yield is zero percent as the Company does not anticipate paying future dividends. The risk-free rate was based on the U.S. Treasury yield curve in effect at the time of the grant.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option-pricing model to estimate fair value of Awards granted, which requires the input of both subjective and objective assumptions,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9"/>
        <w:gridCol w:w="392"/>
        <w:gridCol w:w="60"/>
        <w:gridCol w:w="445"/>
        <w:gridCol w:w="299"/>
        <w:gridCol w:w="282"/>
        <w:gridCol w:w="60"/>
        <w:gridCol w:w="445"/>
        <w:gridCol w:w="299"/>
        <w:gridCol w:w="282"/>
        <w:gridCol w:w="60"/>
        <w:gridCol w:w="445"/>
        <w:gridCol w:w="304"/>
      </w:tblGrid>
      <w:tr>
        <w:trPr/>
        <w:tc>
          <w:tcPr>
            <w:tcW w:w="519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3.5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4.3</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was $0 of RSA compensation expense expected to be recognized in future periods related to unvested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currently sponsors a defined contribution retirement savings plan which is available to certain employees who meet the eligibility requirements. Eligible employees may contribute a percentage of their annual compensation, subject to certain limitations under the Internal Revenue Code. The Company may, at its discretion, make matching contributions, which vest immediately. The Company’s expense under this Retirement Plan was $1,012, $938 and $869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Company are eligible for the Company’s Deferred Compensation Plan, a nonqualified plan. The Company has amended the Deferred Compensation Plan and no longer allows for new participants or allows existing participants to contribute to the plan. The participants earn interest based upon the 10-Year U.S. Treasury Note rate. Expenses associated with the plan for the years ended January 3, 2026, December 28, 2024 and December 30, 2023 were not material. The Company’s liabilities under this plan were $47 and $672 as of January 3, 2026 and December 28, 2024, respectively, and is included in other non-current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multi-employer plan, The Legacy Plan of the National Retirement Fund (Employer Identification Number 13-6130178), that provides benefits for its union employees. As of January 3, 2026 and December 28, 2024, the multi-employer plan was in critical status as the plan is projected to have an accumulated funding deficiency within nine years. The Company paid a surcharge of 10% for the year ended January 3, 2026 and is required to pay a 10% surcharge for each succeeding year thereafter in which the plan is in critical status. The Company’s expenses for this plan were $617, $588 and $560 for the years ended January 3, 2026, December 28, 2024 and December 30, 2023, respectively. There was a collective bargaining agreement effective from February 28, 2021 through February 29, 2024. In March 2024, and Company entered into a new collective agreement with the union that expires on February 28, 2027. Additional information regarding the plan for the years ended January 3, 2026, December 28, 2024 and December 30, 2023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40"/>
        <w:gridCol w:w="461"/>
        <w:gridCol w:w="140"/>
        <w:gridCol w:w="380"/>
        <w:gridCol w:w="276"/>
        <w:gridCol w:w="391"/>
        <w:gridCol w:w="141"/>
        <w:gridCol w:w="380"/>
        <w:gridCol w:w="275"/>
        <w:gridCol w:w="392"/>
        <w:gridCol w:w="140"/>
        <w:gridCol w:w="380"/>
        <w:gridCol w:w="276"/>
      </w:tblGrid>
      <w:tr>
        <w:trPr/>
        <w:tc>
          <w:tcPr>
            <w:tcW w:w="494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contributions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617</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560</w:t>
            </w:r>
          </w:p>
        </w:tc>
        <w:tc>
          <w:tcPr>
            <w:tcW w:w="276"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Are Company’s contributions more than 5% of the total contributions?</w:t>
            </w:r>
          </w:p>
        </w:tc>
        <w:tc>
          <w:tcPr>
            <w:tcW w:w="4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96</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4, 2025, President Trump signed into law the One Big Beautiful Bill Act (the “OBBB”). The OBBB made key elements of the Tax Cuts and Jobs Act permanent, including 100% bonus depreciation, domestic research cost expensing and the business interest expense limitation. Accounting Standards Codification Topic No. 740, “Income Taxes”, requires that we recognize the effects of changes in tax rates and laws in the period in which the legislation is enacted. Consequently, our Fiscal 2025 results reflect an increase in deferred tax expense, primarily due to the impact of the 100% bonus depreciation, offset by reductions in our current tax expense. Enactment of the OBBB did not have a material impact on our financial statements, including our Fiscal 2025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for the years ended January 3, 2026, December 28, 2024 and December 30, 2023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9"/>
        <w:gridCol w:w="402"/>
        <w:gridCol w:w="217"/>
        <w:gridCol w:w="1013"/>
        <w:gridCol w:w="155"/>
        <w:gridCol w:w="402"/>
        <w:gridCol w:w="260"/>
        <w:gridCol w:w="1163"/>
        <w:gridCol w:w="155"/>
        <w:gridCol w:w="402"/>
        <w:gridCol w:w="260"/>
        <w:gridCol w:w="1162"/>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w:t>
              <w:br/>
              <w:t>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28,</w:t>
              <w:br/>
              <w:t>2024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30,</w:t>
              <w:br/>
              <w:t>2023</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(2,209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3,677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8,883</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604</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provision</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(1,767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9,487</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8,542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(9,168</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(775</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(9,943</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 (benefit)</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(456</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foreign operating income or taxes.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statutory federal income tax rate and the effective income tax rate as applied for the year ended January 3,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56"/>
        <w:gridCol w:w="140"/>
        <w:gridCol w:w="756"/>
        <w:gridCol w:w="164"/>
        <w:gridCol w:w="356"/>
        <w:gridCol w:w="60"/>
        <w:gridCol w:w="530"/>
        <w:gridCol w:w="363"/>
      </w:tblGrid>
      <w:tr>
        <w:trPr/>
        <w:tc>
          <w:tcPr>
            <w:tcW w:w="503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 2026</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(10,224</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21.0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 (1)</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1,581</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(3.2</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(0.0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17,865</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(36.7</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(1,205</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2.5</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0.1</w:t>
            </w:r>
          </w:p>
        </w:tc>
        <w:tc>
          <w:tcPr>
            <w:tcW w:w="363"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8,006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(16.4</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local taxes in New York and Texas make up the majority (greater than 50 percent)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prior to the adoption of ASU 2023-09, the reconciliation between the statutory federal income tax rate and the effective income tax rate as applied for the years ended December 28, 2024 and December 30, 2023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04"/>
        <w:gridCol w:w="233"/>
        <w:gridCol w:w="199"/>
        <w:gridCol w:w="690"/>
        <w:gridCol w:w="277"/>
        <w:gridCol w:w="321"/>
        <w:gridCol w:w="85"/>
        <w:gridCol w:w="630"/>
        <w:gridCol w:w="324"/>
        <w:gridCol w:w="233"/>
        <w:gridCol w:w="174"/>
        <w:gridCol w:w="575"/>
        <w:gridCol w:w="253"/>
        <w:gridCol w:w="302"/>
        <w:gridCol w:w="74"/>
        <w:gridCol w:w="817"/>
        <w:gridCol w:w="397"/>
      </w:tblGrid>
      <w:tr>
        <w:trPr/>
        <w:tc>
          <w:tcPr>
            <w:tcW w:w="38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475</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21.0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21.0</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388</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(150.0</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qualified transportation fringe benefit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55</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61.1</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(6.6</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(365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(405.6</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meals and entertainment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0.8</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17.9</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(12</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(51</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(56.7</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prior year’s return</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32</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1.4</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WOTC wage reduction</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804</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35.5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(456</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(506.7</w:t>
            </w:r>
          </w:p>
        </w:tc>
        <w:tc>
          <w:tcPr>
            <w:tcW w:w="397"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 components of deferred tax assets (liabilities) as of January 3, 2026 and December 28,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7"/>
        <w:gridCol w:w="451"/>
        <w:gridCol w:w="174"/>
        <w:gridCol w:w="975"/>
        <w:gridCol w:w="155"/>
        <w:gridCol w:w="451"/>
        <w:gridCol w:w="221"/>
        <w:gridCol w:w="1222"/>
        <w:gridCol w:w="159"/>
      </w:tblGrid>
      <w:tr>
        <w:trPr/>
        <w:tc>
          <w:tcPr>
            <w:tcW w:w="394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reserves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2,339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Depreciation/amortization and basis differences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14,932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12,551</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163(j)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14,754</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6,210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8,806</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50,188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31,221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(2,396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(1,967</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(3,110</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Lease right of use asset</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(6,368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(8,111</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(13,362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(13,188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17,859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27,632</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If these estimates and related assumptions change in the future, the Company may be required to record additional valuation allowances against its deferred tax assets and its effective tax rate may increase which could result in a material adverse impact on the Company’s Consolidated Balance Sheets and Consolidated Statements of Operations and Comprehensive (Loss) Income. Valuation allowances are applied against certain deferred income tax assets where the Company has assessed that the realization of such assets does not meet the “more likely than not” criteria.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deferred tax assets for disallowed interest carryforwards of $18,967 and $14,754 as of January 3, 2026 and December 28, 2024, respectively. The Company also recorded federal and state net operating loss carryforwards of $6,210 and $0 as of January 3, 2026 and December 28, 2024, respectively. The company believes that it is more likely than not that a portion of its deferred tax assets will not be realized and has recorded a valuation allowance of $18,967 against its disallowed interest carryforward for the period ending January 3, 2026. The company did not record a valuation allowance for the year ending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open tax years, the Company has concluded no uncertain tax positions require recognition in the financial statements. This assessment is not expected to change materially in the next 12 months, and no related interest or penalties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income taxes paid during the year ending January 3, 2026, net of refunds, by jurisdiction.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1"/>
        <w:gridCol w:w="587"/>
        <w:gridCol w:w="226"/>
        <w:gridCol w:w="961"/>
        <w:gridCol w:w="64"/>
      </w:tblGrid>
      <w:tr>
        <w:trPr/>
        <w:tc>
          <w:tcPr>
            <w:tcW w:w="5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132</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taxes paid</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2,200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prior to the adoption of ASU 2023-09, the Company’s income tax cash payments were $4,645 and $4,044 for the years ending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January 3, 2026 and December 28, 2024, the Company has outstanding letters of credit of $4,941 and $4,981,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January 3, 2026 and December 28, 2024, 82.9% and 82.9%, respectively, of our First Lien was owned by equity shareholders. Cash interest paid on the First Lien attributable to related parties was $27,369, $31,853 and $36,223 for the years ended January 3, 2026, December 28, 2024 and December 30, 2023, respectively, representing 82.9% of total cash interest paid. See Note 11. Additionally, at January 3, 2026 and December 28, 2024, 82.9% and 82.9%, respectively, of the Company’s outstanding warrants are owned by equity shareholders or held by board members and are classified as Other non-current liabilities on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for one share of Common Stock at an exercise price of $722.70 per share. The Warrant Agreement contains customary anti-dilution adjustments including, but not limited to, cash dividends, reorganizations, and business combination transactions. All warrants remain outstanding as of January 3, 2026 and December 28, 2024. The fair value of the warrants was $0 and $215 as of January 3, 2026 and December 28, 2024, respectively, and was recorded in Other Non-Current Liabilities. The change in fair value of the warrants is included in Gain on fair value adjustment of warrants in the accompanying Consolidated Statements of Operations and Comprehensive (Loss) Income and was a gain of $215, $711 and $1,738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years ended January 3, 2026, December 28, 2024 and December 30, 2023 except in connection with the impairment of software, the impairment of Tradenames and the impairment of Goodwill. The categorization of the framework to price these assets is within Level 3 due to the subjective nature of unobservable inputs. Refer to Note 2, Note 8 and Note 9 for discussion of the impairment of software, the impairment of Tradenames and the impairment of Goodwill,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Instruments</w:t>
      </w:r>
      <w:r>
        <w:rPr>
          <w:rFonts w:ascii="Times New Roman" w:hAnsi="Times New Roman"/>
          <w:sz w:val="20"/>
        </w:rPr>
        <w:t xml:space="preserve"> </w:t>
      </w:r>
      <w:r>
        <w:rPr>
          <w:rFonts w:ascii="Times New Roman" w:hAnsi="Times New Roman"/>
          <w:b/>
          <w:sz w:val="20"/>
        </w:rPr>
        <w:t>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7"/>
        <w:gridCol w:w="238"/>
        <w:gridCol w:w="437"/>
        <w:gridCol w:w="1196"/>
        <w:gridCol w:w="60"/>
        <w:gridCol w:w="238"/>
        <w:gridCol w:w="457"/>
        <w:gridCol w:w="1251"/>
        <w:gridCol w:w="60"/>
        <w:gridCol w:w="238"/>
        <w:gridCol w:w="510"/>
        <w:gridCol w:w="1391"/>
        <w:gridCol w:w="60"/>
        <w:gridCol w:w="238"/>
        <w:gridCol w:w="385"/>
        <w:gridCol w:w="1044"/>
        <w:gridCol w:w="68"/>
      </w:tblGrid>
      <w:tr>
        <w:trPr/>
        <w:tc>
          <w:tcPr>
            <w:tcW w:w="151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28, 2024</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215</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IEEPA-based duties and announced its intent to impose additional tariffs under other statutory authorities, including newly announced temporary global tariffs in addition to existing non-IEEPA tariffs. The availability, timing, and amount of any potential refunds of previously paid IEEPA-related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reflect management’s evaluation of the subsequent events through April 1, 2026, the date the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fin76201_99"/>
      <w:bookmarkEnd w:id="98"/>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April 4, 2026 and January 3,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0"/>
        <w:gridCol w:w="220"/>
        <w:gridCol w:w="140"/>
        <w:gridCol w:w="875"/>
        <w:gridCol w:w="163"/>
        <w:gridCol w:w="186"/>
        <w:gridCol w:w="162"/>
        <w:gridCol w:w="1001"/>
        <w:gridCol w:w="168"/>
      </w:tblGrid>
      <w:tr>
        <w:trPr/>
        <w:tc>
          <w:tcPr>
            <w:tcW w:w="729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9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5,565</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11,331</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5,816</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4,096</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122,473</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117,174</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18,524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19,476</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152,378</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152,077</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31,898</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31,884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26,590</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28,560</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130,417</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131,064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1,349</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495</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16,595</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17,859</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359,227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361,939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283"/>
              <w:jc w:val="left"/>
              <w:rPr>
                <w:b/>
              </w:rPr>
            </w:pPr>
            <w:r>
              <w:rPr>
                <w:b/>
              </w:rPr>
              <w:t>LIABILITIES, CONVERTIBLE PREFERRED STOCK AND STOCKHOLDERS’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47,561</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47,128</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$4,016 and $2,508 to related parties,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50,077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47,961</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7,982</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8,104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7,000</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7,000</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112,620</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110,193</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3,446</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3,618</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$203,350 and $203,710 to related parties, respectively)</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269,217</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245,857</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21,721</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23,572</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407,004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383,240</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283"/>
              <w:jc w:val="left"/>
              <w:rPr/>
            </w:pPr>
            <w:r>
              <w:rPr/>
              <w:t>COMMITMENTS AND CONTINGENCIES (See Note 9)</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283"/>
              <w:jc w:val="left"/>
              <w:rPr/>
            </w:pPr>
            <w:r>
              <w:rPr/>
              <w:t>CONVERTIBLE PREFERRED STOCK:</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April 4, 2026 and January 3, 2026,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21,712</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21,712</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April 4, 2026 and January 3, 2026)</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203,614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203,614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(273,112</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(246,636</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(69,489</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(43,013</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359,227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361,939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fin76201_100"/>
      <w:bookmarkEnd w:id="99"/>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9"/>
        <w:gridCol w:w="230"/>
        <w:gridCol w:w="140"/>
        <w:gridCol w:w="807"/>
        <w:gridCol w:w="155"/>
        <w:gridCol w:w="193"/>
        <w:gridCol w:w="159"/>
        <w:gridCol w:w="953"/>
        <w:gridCol w:w="159"/>
      </w:tblGrid>
      <w:tr>
        <w:trPr/>
        <w:tc>
          <w:tcPr>
            <w:tcW w:w="7409"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151,174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169,482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62,230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65,645</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88,944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103,837</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95,553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103,509</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3,153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3,372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1,703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5,857</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(11,465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(8,904</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$8,915 and $7,963 to related parties, respectively)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11,332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9,725</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(22,797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(18,629</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3,709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(2,392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 net of tax</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(26,506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(16,237</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fin76201_101"/>
      <w:bookmarkEnd w:id="100"/>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0"/>
        <w:gridCol w:w="115"/>
        <w:gridCol w:w="133"/>
        <w:gridCol w:w="610"/>
        <w:gridCol w:w="60"/>
        <w:gridCol w:w="84"/>
        <w:gridCol w:w="180"/>
        <w:gridCol w:w="733"/>
        <w:gridCol w:w="84"/>
        <w:gridCol w:w="115"/>
        <w:gridCol w:w="83"/>
        <w:gridCol w:w="686"/>
        <w:gridCol w:w="60"/>
        <w:gridCol w:w="115"/>
        <w:gridCol w:w="300"/>
        <w:gridCol w:w="563"/>
        <w:gridCol w:w="60"/>
        <w:gridCol w:w="115"/>
        <w:gridCol w:w="140"/>
        <w:gridCol w:w="841"/>
        <w:gridCol w:w="60"/>
        <w:gridCol w:w="115"/>
        <w:gridCol w:w="141"/>
        <w:gridCol w:w="916"/>
        <w:gridCol w:w="155"/>
        <w:gridCol w:w="115"/>
        <w:gridCol w:w="140"/>
        <w:gridCol w:w="801"/>
        <w:gridCol w:w="165"/>
      </w:tblGrid>
      <w:tr>
        <w:trPr/>
        <w:tc>
          <w:tcPr>
            <w:tcW w:w="252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center"/>
              <w:rPr>
                <w:b/>
              </w:rPr>
            </w:pPr>
            <w:r>
              <w:rPr>
                <w:b/>
              </w:rPr>
              <w:t>Convertible</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540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981"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105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1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center"/>
              <w:rPr>
                <w:b/>
              </w:rPr>
            </w:pPr>
            <w:r>
              <w:rPr>
                <w:b/>
              </w:rPr>
              <w:t>Amount</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21,712</w:t>
            </w:r>
          </w:p>
        </w:tc>
        <w:tc>
          <w:tcPr>
            <w:tcW w:w="84" w:type="dxa"/>
            <w:tcBorders/>
            <w:shd w:fill="CCEEFF" w:val="clear"/>
            <w:vAlign w:val="bottom"/>
          </w:tcPr>
          <w:p>
            <w:pPr>
              <w:pStyle w:val="TableContents"/>
              <w:bidi w:val="0"/>
              <w:spacing w:before="0" w:after="283"/>
              <w:jc w:val="left"/>
              <w:rPr/>
            </w:pPr>
            <w:r>
              <w:rPr/>
              <w:t> </w:t>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(43,013</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(26,506</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21,712</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(69,489</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rHeight w:val="240" w:hRule="atLeast"/>
        </w:trPr>
        <w:tc>
          <w:tcPr>
            <w:tcW w:w="2520" w:type="dxa"/>
            <w:tcBorders/>
            <w:vAlign w:val="center"/>
          </w:tcPr>
          <w:p>
            <w:pPr>
              <w:pStyle w:val="TableContents"/>
              <w:bidi w:val="0"/>
              <w:spacing w:before="0" w:after="283"/>
              <w:jc w:val="left"/>
              <w:rPr>
                <w:sz w:val="4"/>
                <w:szCs w:val="4"/>
              </w:rPr>
            </w:pPr>
            <w:r>
              <w:rPr>
                <w:sz w:val="4"/>
                <w:szCs w:val="4"/>
              </w:rPr>
            </w:r>
          </w:p>
        </w:tc>
        <w:tc>
          <w:tcPr>
            <w:tcW w:w="1999" w:type="dxa"/>
            <w:gridSpan w:val="8"/>
            <w:tcBorders/>
            <w:vAlign w:val="center"/>
          </w:tcPr>
          <w:p>
            <w:pPr>
              <w:pStyle w:val="TableContents"/>
              <w:bidi w:val="0"/>
              <w:spacing w:before="0" w:after="283"/>
              <w:jc w:val="left"/>
              <w:rPr>
                <w:sz w:val="4"/>
                <w:szCs w:val="4"/>
              </w:rPr>
            </w:pPr>
            <w:r>
              <w:rPr>
                <w:sz w:val="4"/>
                <w:szCs w:val="4"/>
              </w:rPr>
            </w:r>
          </w:p>
        </w:tc>
        <w:tc>
          <w:tcPr>
            <w:tcW w:w="944"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038" w:type="dxa"/>
            <w:gridSpan w:val="4"/>
            <w:tcBorders/>
            <w:vAlign w:val="center"/>
          </w:tcPr>
          <w:p>
            <w:pPr>
              <w:pStyle w:val="TableContents"/>
              <w:bidi w:val="0"/>
              <w:spacing w:before="0" w:after="283"/>
              <w:jc w:val="left"/>
              <w:rPr>
                <w:sz w:val="4"/>
                <w:szCs w:val="4"/>
              </w:rPr>
            </w:pPr>
            <w:r>
              <w:rPr>
                <w:sz w:val="4"/>
                <w:szCs w:val="4"/>
              </w:rPr>
            </w:r>
          </w:p>
        </w:tc>
        <w:tc>
          <w:tcPr>
            <w:tcW w:w="1156"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center"/>
              <w:rPr>
                <w:b/>
              </w:rPr>
            </w:pPr>
            <w:r>
              <w:rPr>
                <w:b/>
              </w:rPr>
              <w:t>Convertible</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540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981"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105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1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center"/>
              <w:rPr>
                <w:b/>
              </w:rPr>
            </w:pPr>
            <w:r>
              <w:rPr>
                <w:b/>
              </w:rPr>
              <w:t>Amount</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31,205</w:t>
            </w:r>
          </w:p>
        </w:tc>
        <w:tc>
          <w:tcPr>
            <w:tcW w:w="84" w:type="dxa"/>
            <w:tcBorders/>
            <w:shd w:fill="CCEEFF" w:val="clear"/>
            <w:vAlign w:val="bottom"/>
          </w:tcPr>
          <w:p>
            <w:pPr>
              <w:pStyle w:val="TableContents"/>
              <w:bidi w:val="0"/>
              <w:spacing w:before="0" w:after="283"/>
              <w:jc w:val="left"/>
              <w:rPr/>
            </w:pPr>
            <w:r>
              <w:rPr/>
              <w:t> </w:t>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4,588</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(243</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(16,237</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31,205</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(11,892</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1" w:name="fin76201_102"/>
      <w:bookmarkEnd w:id="101"/>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5"/>
        <w:gridCol w:w="229"/>
        <w:gridCol w:w="140"/>
        <w:gridCol w:w="755"/>
        <w:gridCol w:w="155"/>
        <w:gridCol w:w="195"/>
        <w:gridCol w:w="176"/>
        <w:gridCol w:w="921"/>
        <w:gridCol w:w="159"/>
      </w:tblGrid>
      <w:tr>
        <w:trPr/>
        <w:tc>
          <w:tcPr>
            <w:tcW w:w="747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(26,506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(16,237</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3,153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3,372</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1,970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2,080</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5,857</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(2,215</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$1,090 and $992 to related parties, respectively)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1,256</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(6,081</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4,369</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$1,509 and ($132) to related parties, respectively)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2,116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(4,262</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(1,973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(2,081</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(794</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(26,239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(14,732</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(1,571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(1,787</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(1,787</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61,846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$1,450 and $1,450 to related parties, respectively)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(1,750</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(243</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22,044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(1,993</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(5,766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(18,512</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11,331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38,308</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19,796</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7,938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8,576</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Cash (received) paid for income taxes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949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233</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1,334</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2" w:name="fin76201_103"/>
            <w:bookmarkEnd w:id="102"/>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2).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April 4, 2026 and March 29, 2025 refer to the thirteen week periods ended on those dates.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three months ended April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third quarter of fiscal 2026, is subject to customary closing conditions, including approval by DXL stockholders. Costs incurred in connection with this Merger, primarily related to professional service fees, of $1,703, were included in Transaction-related expenses on the Condensed Consolidated Statements of Operations and Comprehensive Loss for the thirteen weeks ended April 4,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1"/>
        <w:gridCol w:w="380"/>
        <w:gridCol w:w="160"/>
        <w:gridCol w:w="640"/>
        <w:gridCol w:w="60"/>
        <w:gridCol w:w="380"/>
        <w:gridCol w:w="223"/>
        <w:gridCol w:w="902"/>
        <w:gridCol w:w="60"/>
        <w:gridCol w:w="380"/>
        <w:gridCol w:w="214"/>
        <w:gridCol w:w="871"/>
        <w:gridCol w:w="60"/>
        <w:gridCol w:w="380"/>
        <w:gridCol w:w="288"/>
        <w:gridCol w:w="1153"/>
        <w:gridCol w:w="66"/>
      </w:tblGrid>
      <w:tr>
        <w:trPr/>
        <w:tc>
          <w:tcPr>
            <w:tcW w:w="3171"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7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6" w:type="dxa"/>
            <w:tcBorders/>
            <w:vAlign w:val="bottom"/>
          </w:tcPr>
          <w:p>
            <w:pPr>
              <w:pStyle w:val="TableContents"/>
              <w:bidi w:val="0"/>
              <w:spacing w:before="0" w:after="283"/>
              <w:jc w:val="left"/>
              <w:rPr/>
            </w:pPr>
            <w:r>
              <w:rPr/>
              <w:t> </w:t>
            </w:r>
          </w:p>
        </w:tc>
      </w:tr>
      <w:tr>
        <w:trPr/>
        <w:tc>
          <w:tcPr>
            <w:tcW w:w="3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8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3,354</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3,731</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3,944</w:t>
            </w:r>
          </w:p>
        </w:tc>
        <w:tc>
          <w:tcPr>
            <w:tcW w:w="66" w:type="dxa"/>
            <w:tcBorders/>
            <w:shd w:fill="CCEEFF" w:val="clear"/>
            <w:vAlign w:val="bottom"/>
          </w:tcPr>
          <w:p>
            <w:pPr>
              <w:pStyle w:val="TableContents"/>
              <w:bidi w:val="0"/>
              <w:spacing w:before="0" w:after="283"/>
              <w:jc w:val="left"/>
              <w:rPr/>
            </w:pPr>
            <w:r>
              <w:rPr/>
              <w:t> </w:t>
            </w:r>
          </w:p>
        </w:tc>
      </w:tr>
      <w:tr>
        <w:trPr/>
        <w:tc>
          <w:tcPr>
            <w:tcW w:w="3171"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8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2,583</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40"/>
        <w:gridCol w:w="474"/>
        <w:gridCol w:w="160"/>
        <w:gridCol w:w="647"/>
        <w:gridCol w:w="60"/>
        <w:gridCol w:w="474"/>
        <w:gridCol w:w="216"/>
        <w:gridCol w:w="920"/>
        <w:gridCol w:w="64"/>
      </w:tblGrid>
      <w:tr>
        <w:trPr/>
        <w:tc>
          <w:tcPr>
            <w:tcW w:w="4740"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4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7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2,255</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2,693</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7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April 4, 2026 and March 29,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April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29,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125,557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83.1</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139,906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82.6</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18,729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12.4</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22,268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13.1</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6,888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7,308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151,174</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169,482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$2,044 and $2,322 of net sales for the periods ended April 4, 2026 and March 29,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$262 and $278 of net sales for the periods ended April 4, 2026 and March 29,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 and $93 of net sales for the periods ended April 4, 2026 and March 29,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April 4, 2026, no impairment charges were deemed necessary of the Company’s indefinite-lived intangible assets. In the thirteen weeks ended March 29, 2025 based on a combination of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predominantly driven by the reduction of demand of certain of the Company’s brand products, the Company concluded that the carrying value of its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the thirteen weeks ended March 29, 2025, there were circumstances that indicated an impairment may have occurred, including a decline in the Company’s net sales and declining margins, and the Company performed a quantitative goodwill assessment and determined the fair value of the reporting unit was greater than its carrying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April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23,795</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$215,843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260,500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$6,693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(8,078</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276,217</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(7,000</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$203,350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269,217</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April 4, 2026, the borrowing base for the ABL Facility was $120,000 and availability under the ABL Facility was $52,953, which reflects capacity of $81,659 less $4,911 of outstanding letters of credit and $23,795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April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April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w:t>
      </w:r>
      <w:r>
        <w:rPr>
          <w:rFonts w:ascii="Times New Roman" w:hAnsi="Times New Roman"/>
          <w:i/>
          <w:sz w:val="20"/>
        </w:rPr>
        <w:t>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w:t>
      </w:r>
      <w:r>
        <w:rPr>
          <w:rFonts w:ascii="Times New Roman" w:hAnsi="Times New Roman"/>
          <w:i/>
          <w:sz w:val="20"/>
        </w:rPr>
        <w:t>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April 4, 2026 and March 29, 2025 is $13,394 and $19,460, respectively. As of April 4, 2026 and March 29,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$243 for the thirteen weeks ended April 4, 2026 and March 29, 2025,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April 4, 2026 and March 29,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April 4, 2026, was (16.27%), compared to 12.84% for the thirteen weeks ended March 29, 2025. The shift to a negative effective tax rate in the first three months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April 4, 2026 and January 3, 2026 the Company has outstanding letters of credit of $4,911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April 4, 2026 and January 3, 2026, 82.9% and 82.9%, respectively, of our First Lien was owned by equity shareholders. Cash interest paid on the First Lien attributable to related parties for the thirteen weeks ended was $6,316 and $7,106 for the periods ended April 4, 2026 and March 29, 2025, respectively, representing 82.9% of total cash interest paid. Additionally, at April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April 4, 2026 and January 3, 2026. The fair value of the warrants was $0 and $0 as of April 4, 2026 and January 3, 2026, respectively. There was no change in fair value of the warrants for the thirteen weeks ended April 4, 2026 and March 29,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weeks ended April 4, 2026 and March 29,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357"/>
        <w:gridCol w:w="275"/>
        <w:gridCol w:w="437"/>
        <w:gridCol w:w="1200"/>
        <w:gridCol w:w="60"/>
        <w:gridCol w:w="275"/>
        <w:gridCol w:w="457"/>
        <w:gridCol w:w="1255"/>
        <w:gridCol w:w="60"/>
        <w:gridCol w:w="275"/>
        <w:gridCol w:w="510"/>
        <w:gridCol w:w="1394"/>
        <w:gridCol w:w="60"/>
        <w:gridCol w:w="275"/>
        <w:gridCol w:w="385"/>
        <w:gridCol w:w="1046"/>
        <w:gridCol w:w="67"/>
      </w:tblGrid>
      <w:tr>
        <w:trPr/>
        <w:tc>
          <w:tcPr>
            <w:tcW w:w="135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35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Inputs</w:t>
              <w:br/>
              <w:t>(Level 3)</w:t>
            </w:r>
          </w:p>
        </w:tc>
        <w:tc>
          <w:tcPr>
            <w:tcW w:w="67" w:type="dxa"/>
            <w:tcBorders/>
            <w:vAlign w:val="bottom"/>
          </w:tcPr>
          <w:p>
            <w:pPr>
              <w:pStyle w:val="TableContents"/>
              <w:bidi w:val="0"/>
              <w:spacing w:before="0" w:after="283"/>
              <w:jc w:val="left"/>
              <w:rPr/>
            </w:pPr>
            <w:r>
              <w:rPr/>
              <w:t> </w:t>
            </w:r>
          </w:p>
        </w:tc>
      </w:tr>
      <w:tr>
        <w:trPr/>
        <w:tc>
          <w:tcPr>
            <w:tcW w:w="1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4, 2026</w:t>
            </w:r>
          </w:p>
        </w:tc>
        <w:tc>
          <w:tcPr>
            <w:tcW w:w="27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7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7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7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experienced several favorable developments related to tariffs. On February 20, 2026, the U.S. Supreme Court ruled that certain tariffs imposed under the International Emergency Economic Powers Act (IEEPA) were unlawful, followed by a March 4, 2026 order from the Court of International Trade directing U.S. Customs and Border Protection (CBP) to issue refunds on affected entries, which was clarified on March 5, 2026. On April 20, 2026, CBP launched the CAPE tool within its ACE Portal to facilitate refund claims, and the Company promptly submitted all eligible entries, which were accepted the same day. Pending potential appeals through early June, the Company has filed a CAPE Declaration seeking approximately $5,300 in IEEPA duty refunds and, subject to the outcome of any pending appeals, anticipates that eligible refunds, together with statutory interest, would be processed within CBP’s typical 90-day window. No amounts related to the anticipated refunds or associated interest have been recorded in the Company’s condensed consolidated financial statements as of April 4,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May 7, 2026, the Court of International Trade issued a split decision finding the 10% global tariff imposed under Section 122 of the Trade Act of 1974 to be unlawful; however, the scope of the ruling, timing of any refund process, and likelihood of appeal remain uncertain, and the Company is evaluating its exposure and potential recovery. Looking ahead, management continues to monitor potential new tariff actions, including those arising from pending Section 301 investigations, which could be announced as early as this summer, though the ultimate impact on import costs remains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July 9,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3" w:name="fin76201_104"/>
      <w:bookmarkEnd w:id="103"/>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7"/>
        <w:gridCol w:w="221"/>
        <w:gridCol w:w="140"/>
        <w:gridCol w:w="879"/>
        <w:gridCol w:w="164"/>
        <w:gridCol w:w="187"/>
        <w:gridCol w:w="163"/>
        <w:gridCol w:w="1005"/>
        <w:gridCol w:w="169"/>
      </w:tblGrid>
      <w:tr>
        <w:trPr/>
        <w:tc>
          <w:tcPr>
            <w:tcW w:w="727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3,194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11,331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6,531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4,096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114,818</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117,174</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21,940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19,476</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146,483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152,077</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31,514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31,884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24,675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28,560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129,836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131,064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1,303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495</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14,833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17,859</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w:t>
            </w:r>
          </w:p>
          <w:p>
            <w:pPr>
              <w:pStyle w:val="TableContents"/>
              <w:bidi w:val="0"/>
              <w:spacing w:before="0" w:after="20"/>
              <w:jc w:val="left"/>
              <w:rPr>
                <w:rFonts w:ascii="Times New Roman" w:hAnsi="Times New Roman"/>
                <w:b/>
                <w:sz w:val="20"/>
              </w:rPr>
            </w:pPr>
            <w:r>
              <w:rPr>
                <w:rFonts w:ascii="Times New Roman" w:hAnsi="Times New Roman"/>
                <w:b/>
                <w:sz w:val="20"/>
              </w:rPr>
              <w:t>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49,580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47,128</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$2,872 and $2,508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40,255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47,961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7,451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8,104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34,039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7,000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131,325</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110,193</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2,945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3,618</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$203,026 and $203,710 to related parties, respectively)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245,031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245,857</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20,212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23,572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399,513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383,240</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283"/>
              <w:jc w:val="left"/>
              <w:rPr/>
            </w:pPr>
            <w:r>
              <w:rPr/>
              <w:t>COMMITMENTS AND CONTINGENCIES (See Note 9)</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283"/>
              <w:jc w:val="left"/>
              <w:rPr/>
            </w:pPr>
            <w:r>
              <w:rPr/>
              <w:t>CONVERTIBLE PREFERRED STOCK:</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July 4, 2026 and January 3, 2026,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21,712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21,712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July 4, 2026 and January 3, 2026)</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203,614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203,614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(276,204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(246,636</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(72,581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(43,013</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fin76201_105"/>
      <w:bookmarkEnd w:id="104"/>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7"/>
        <w:gridCol w:w="196"/>
        <w:gridCol w:w="140"/>
        <w:gridCol w:w="806"/>
        <w:gridCol w:w="155"/>
        <w:gridCol w:w="152"/>
        <w:gridCol w:w="140"/>
        <w:gridCol w:w="806"/>
        <w:gridCol w:w="60"/>
        <w:gridCol w:w="196"/>
        <w:gridCol w:w="177"/>
        <w:gridCol w:w="1019"/>
        <w:gridCol w:w="198"/>
        <w:gridCol w:w="164"/>
        <w:gridCol w:w="177"/>
        <w:gridCol w:w="1022"/>
        <w:gridCol w:w="160"/>
      </w:tblGrid>
      <w:tr>
        <w:trPr/>
        <w:tc>
          <w:tcPr>
            <w:tcW w:w="463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Thirteen Weeks Ended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 xml:space="preserve">2025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160,575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191,098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311,749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59,446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72,589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121,676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138,234</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101,129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118,509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190,073</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222,346</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89,280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103,470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184,833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206,979</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2,993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3,378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6,146</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6,750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2,283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5,857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8,276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11,641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(3,189</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2,737</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$8,393, $7,582, $17,308 and $15,545 to related parties, respectively</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10,967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9,420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22,299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19,145</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(2,691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2,221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(25,488</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(16,408</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4,147</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(2,107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1,936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(29,635</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(14,301</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5" w:name="fin76201_106"/>
      <w:bookmarkEnd w:id="105"/>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6"/>
        <w:gridCol w:w="143"/>
        <w:gridCol w:w="133"/>
        <w:gridCol w:w="582"/>
        <w:gridCol w:w="60"/>
        <w:gridCol w:w="71"/>
        <w:gridCol w:w="140"/>
        <w:gridCol w:w="949"/>
        <w:gridCol w:w="71"/>
        <w:gridCol w:w="160"/>
        <w:gridCol w:w="68"/>
        <w:gridCol w:w="642"/>
        <w:gridCol w:w="60"/>
        <w:gridCol w:w="142"/>
        <w:gridCol w:w="190"/>
        <w:gridCol w:w="686"/>
        <w:gridCol w:w="60"/>
        <w:gridCol w:w="143"/>
        <w:gridCol w:w="140"/>
        <w:gridCol w:w="1060"/>
        <w:gridCol w:w="60"/>
        <w:gridCol w:w="143"/>
        <w:gridCol w:w="140"/>
        <w:gridCol w:w="1129"/>
        <w:gridCol w:w="155"/>
        <w:gridCol w:w="88"/>
        <w:gridCol w:w="140"/>
        <w:gridCol w:w="1018"/>
        <w:gridCol w:w="166"/>
      </w:tblGrid>
      <w:tr>
        <w:trPr/>
        <w:tc>
          <w:tcPr>
            <w:tcW w:w="166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(43,013</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30</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(26,506</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21,712</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(69,489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(3,129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BALANCE—July 4,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(276,204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(72,581</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rHeight w:val="240" w:hRule="atLeast"/>
        </w:trPr>
        <w:tc>
          <w:tcPr>
            <w:tcW w:w="1666" w:type="dxa"/>
            <w:tcBorders/>
            <w:vAlign w:val="center"/>
          </w:tcPr>
          <w:p>
            <w:pPr>
              <w:pStyle w:val="TableContents"/>
              <w:bidi w:val="0"/>
              <w:spacing w:before="0" w:after="283"/>
              <w:jc w:val="left"/>
              <w:rPr>
                <w:sz w:val="4"/>
                <w:szCs w:val="4"/>
              </w:rPr>
            </w:pPr>
            <w:r>
              <w:rPr>
                <w:sz w:val="4"/>
                <w:szCs w:val="4"/>
              </w:rPr>
            </w:r>
          </w:p>
        </w:tc>
        <w:tc>
          <w:tcPr>
            <w:tcW w:w="918"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78" w:type="dxa"/>
            <w:gridSpan w:val="4"/>
            <w:tcBorders/>
            <w:vAlign w:val="center"/>
          </w:tcPr>
          <w:p>
            <w:pPr>
              <w:pStyle w:val="TableContents"/>
              <w:bidi w:val="0"/>
              <w:spacing w:before="0" w:after="283"/>
              <w:jc w:val="left"/>
              <w:rPr>
                <w:sz w:val="4"/>
                <w:szCs w:val="4"/>
              </w:rPr>
            </w:pPr>
            <w:r>
              <w:rPr>
                <w:sz w:val="4"/>
                <w:szCs w:val="4"/>
              </w:rPr>
            </w:r>
          </w:p>
        </w:tc>
        <w:tc>
          <w:tcPr>
            <w:tcW w:w="1403" w:type="dxa"/>
            <w:gridSpan w:val="4"/>
            <w:tcBorders/>
            <w:vAlign w:val="center"/>
          </w:tcPr>
          <w:p>
            <w:pPr>
              <w:pStyle w:val="TableContents"/>
              <w:bidi w:val="0"/>
              <w:spacing w:before="0" w:after="283"/>
              <w:jc w:val="left"/>
              <w:rPr>
                <w:sz w:val="4"/>
                <w:szCs w:val="4"/>
              </w:rPr>
            </w:pPr>
            <w:r>
              <w:rPr>
                <w:sz w:val="4"/>
                <w:szCs w:val="4"/>
              </w:rPr>
            </w:r>
          </w:p>
        </w:tc>
        <w:tc>
          <w:tcPr>
            <w:tcW w:w="1567"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r>
      <w:tr>
        <w:trPr/>
        <w:tc>
          <w:tcPr>
            <w:tcW w:w="1666"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4,588</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(243</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(16,237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31,205</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(11,892</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(244</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1,936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1,936</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BALANCE—June 28, 2025</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(204,330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(10,200</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6" w:name="fin76201_107"/>
      <w:bookmarkEnd w:id="106"/>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300"/>
        <w:gridCol w:w="175"/>
        <w:gridCol w:w="1100"/>
        <w:gridCol w:w="203"/>
        <w:gridCol w:w="123"/>
        <w:gridCol w:w="175"/>
        <w:gridCol w:w="1000"/>
        <w:gridCol w:w="254"/>
      </w:tblGrid>
      <w:tr>
        <w:trPr/>
        <w:tc>
          <w:tcPr>
            <w:tcW w:w="6875"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(29,635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(14,301</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6,146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6,750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3,885</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5,857</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3,026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(2,608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$2,216 and $2,014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2,792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2,549</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2,356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8,581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2,016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(2,756</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$364 and ($372) to related parties, respectively)</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(11,220</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(4,013</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(4,142</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(3,996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(2,711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(27,564</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(8,928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(4,112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(4,408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(4,112</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123,967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$2,900 and $2,900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(100,428</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(3,500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(487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23,539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(3,987</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(17,323</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11,331</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38,308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3,194</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20,985</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18,677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16,784</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2,230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1,334</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7" w:name="fin76201_108"/>
            <w:bookmarkEnd w:id="10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Note 2). The Company received a covenant waiver from its First Lien lenders that remains effective through the earlier of (i) consummation of the merger with DXL or (ii) termination of the merger agreement (but no later than October 30,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Additionally, as disclosed in Note 6, the Company has $27,039 of borrowings outstanding on the senior secured asset-based revolving credit facility (the “ABL Facility”) and has $258,750 of borrowings outstanding on the First Lien as of July 4, 2026 which are scheduled to mature in May 2027 and August 2027, respectively. The Company does not expect to have sufficient liquidity to repay the outstanding balance of the First Lien or ABL Facility.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$107 million of First Lien indebtedness through committed equity contributions and debt-to-equity conversions by certain First Lien debtholders and members of management, and (ii) an extension of the remaining term loan maturity to August 2029. Additionally, in connection with the Merger, the Company and DXL have entered into a commitment agreement with Bank of America, N.A., providing a $150 million ABL Facility that matures in May 2029. Following the anticipated deleveraging, management expects the combined company to be in compliance with its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management plans to renegotiate with current lenders regarding the recapitalization provisions in which lenders may convert outstanding indebtedness into equity and to extend the maturity date of the First Lien to August 2029 which in turn extends the ABL Facility maturity date to the earliest of December 2027 or 91 days prior to the expiration of the First Lien.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any potential lender recapitalization, and extension of the ABL Facility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July 4, 2026 and June 28, 2025 refer to the thirteen week and twenty-six week periods ended on those dates. </w:t>
      </w:r>
    </w:p>
    <w:p>
      <w:pPr>
        <w:pStyle w:val="TextBody"/>
        <w:bidi w:val="0"/>
        <w:spacing w:before="240" w:after="0"/>
        <w:jc w:val="left"/>
        <w:rPr>
          <w:rFonts w:ascii="Times New Roman" w:hAnsi="Times New Roman"/>
          <w:sz w:val="20"/>
        </w:rPr>
      </w:pPr>
      <w:r>
        <w:rPr>
          <w:rFonts w:ascii="Times New Roman" w:hAnsi="Times New Roman"/>
          <w:b/>
          <w:sz w:val="20"/>
        </w:rPr>
        <w:t>Changes in Laws and Regulations</w:t>
      </w:r>
      <w:r>
        <w:rPr>
          <w:rFonts w:ascii="Times New Roman" w:hAnsi="Times New Roman"/>
          <w:sz w:val="20"/>
        </w:rPr>
        <w:t xml:space="preserve">—On February 20, 2026, the U.S. Supreme Court ruled that U.S. tariffs imposed under the International Emergency Economic Powers Act (“IEEPA”) on goods imported into the U.S. were unauthorized. During the second quarter of fiscal 2026, the Company deemed recovery of those tariffs to be probable. Accordingly, the Company recognized a benefit of $5,254 in Cost of sales within the Condensed Consolidated Statements of Operations and Comprehensive (Loss) Income for the recovery of IEEPA tariffs paid, largely offsetting the impact of the IEEPA tariffs recognized during fiscal 2025. As of July 4, 2026, the Company received $2,757 of the accepted claims and recorded $2,497 of the outstanding IEEPA tariff receivable reflected in Other current assets on the Company’s Condensed Consolidated Balance Sheets. Subsequent to July 4, 2026, the Company received an additional $972 IEEPA tariff refund receivable.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twenty-six weeks ended July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$107,000 in exchange for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prior to the October 30, 2026 expiration, is subject to customary closing conditions, including approval by DXL stockholders. Costs incurred in connection with this Merger, primarily related to professional service fees, of $580 and $20, were included in Transaction-related expenses on the Condensed Consolidated Statements of Operations and Comprehensive (Loss) Income for the thirteen weeks ended July 4, 2026 and June 28, 2025, respectively. Costs incurred in connection with this Merger, primarily related to professional service fees, of $2,283 and $23, were included in Transaction-related expenses on the Condensed Consolidated Statements of Operations and Comprehensive (Loss) Income for the twenty-six weeks ended July 4, 2026 and June 28,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71"/>
        <w:gridCol w:w="156"/>
        <w:gridCol w:w="769"/>
        <w:gridCol w:w="60"/>
        <w:gridCol w:w="371"/>
        <w:gridCol w:w="192"/>
        <w:gridCol w:w="1058"/>
        <w:gridCol w:w="64"/>
      </w:tblGrid>
      <w:tr>
        <w:trPr/>
        <w:tc>
          <w:tcPr>
            <w:tcW w:w="4714"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 </w:t>
            </w:r>
            <w:r>
              <w:rPr/>
              <w:t>3,841</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r>
              <w:rPr/>
              <w:t>3,477</w:t>
            </w:r>
          </w:p>
        </w:tc>
        <w:tc>
          <w:tcPr>
            <w:tcW w:w="64"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2,458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2,708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thirteen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6"/>
        <w:gridCol w:w="377"/>
        <w:gridCol w:w="145"/>
        <w:gridCol w:w="718"/>
        <w:gridCol w:w="60"/>
        <w:gridCol w:w="377"/>
        <w:gridCol w:w="151"/>
        <w:gridCol w:w="807"/>
        <w:gridCol w:w="64"/>
      </w:tblGrid>
      <w:tr>
        <w:trPr/>
        <w:tc>
          <w:tcPr>
            <w:tcW w:w="50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4" w:type="dxa"/>
            <w:tcBorders/>
            <w:vAlign w:val="bottom"/>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3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r>
              <w:rPr/>
              <w:t>1,860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r>
              <w:rPr/>
              <w:t>2,428</w:t>
            </w:r>
          </w:p>
        </w:tc>
        <w:tc>
          <w:tcPr>
            <w:tcW w:w="64" w:type="dxa"/>
            <w:tcBorders/>
            <w:shd w:fill="CCEEFF" w:val="clear"/>
            <w:vAlign w:val="bottom"/>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3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twenty-six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7"/>
        <w:gridCol w:w="425"/>
        <w:gridCol w:w="152"/>
        <w:gridCol w:w="890"/>
        <w:gridCol w:w="60"/>
        <w:gridCol w:w="425"/>
        <w:gridCol w:w="176"/>
        <w:gridCol w:w="764"/>
        <w:gridCol w:w="66"/>
      </w:tblGrid>
      <w:tr>
        <w:trPr/>
        <w:tc>
          <w:tcPr>
            <w:tcW w:w="479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6" w:type="dxa"/>
            <w:tcBorders/>
            <w:vAlign w:val="bottom"/>
          </w:tcPr>
          <w:p>
            <w:pPr>
              <w:pStyle w:val="TableContents"/>
              <w:bidi w:val="0"/>
              <w:spacing w:before="0" w:after="283"/>
              <w:jc w:val="left"/>
              <w:rPr/>
            </w:pPr>
            <w:r>
              <w:rPr/>
              <w:t> </w:t>
            </w:r>
          </w:p>
        </w:tc>
      </w:tr>
      <w:tr>
        <w:trPr/>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2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 </w:t>
            </w:r>
            <w:r>
              <w:rPr/>
              <w:t>4,115</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5,121</w:t>
            </w:r>
          </w:p>
        </w:tc>
        <w:tc>
          <w:tcPr>
            <w:tcW w:w="66" w:type="dxa"/>
            <w:tcBorders/>
            <w:shd w:fill="CCEEFF" w:val="clear"/>
            <w:vAlign w:val="bottom"/>
          </w:tcPr>
          <w:p>
            <w:pPr>
              <w:pStyle w:val="TableContents"/>
              <w:bidi w:val="0"/>
              <w:spacing w:before="0" w:after="283"/>
              <w:jc w:val="left"/>
              <w:rPr/>
            </w:pPr>
            <w:r>
              <w:rPr/>
              <w:t> </w:t>
            </w:r>
          </w:p>
        </w:tc>
      </w:tr>
      <w:tr>
        <w:trPr/>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2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160,893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84.2</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21,873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11.4</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8,332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191,098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$1,760 and $2,193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$178 and $198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 and $50 of net sales for the thirteen weeks July 4, 2026 and June 28, 2025, respectively, relate to sales recognized over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twenty-six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83.3</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300,799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83.5</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12.3</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44,141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15,640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360,580</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 and $4,515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and $475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 and $143 of net sales for the twenty-six weeks ended July 4, 2026 and June 28,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July 4, 2026 and June 28, 2025, no impairment charges were deemed necessary of the Company’s indefinite-lived intangible assets. In the first thirteen weeks of the twenty-six weeks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28, 2025, based on a combination of factors, predominantly driven by the reduction of demand of certain of the Company’s brands, the Company concluded that the carrying value of certain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Condensed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Goodwill was fully impaired as of January 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July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27,039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$214,393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258,750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$5,567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(6,719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279,070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(34,039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$203,026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245,031</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July 4, 2026, the borrowing base for the ABL Facility was $77,442 and availability under the ABL Facility was $47,413, which reflects capacity of $77,442 less $2,990 of outstanding letters of credit and $27,039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July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July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July 4, 2026, January 3, 2026 and June 28, 2025 is $13,562, $13,229 and $19,460, respectively. As of July 4, 2026 and June 28,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$244 for the thirteen weeks ended July 4, 2026 and June 28,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July 4, 2026 and June 28,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July 4, 2026 was (16.28%), compared to 12.83% for the thirteen weeks ended June 28, 2025. The effective tax rate for the twenty-six weeks ended July 4, 2026 was (16.27%), compared to 12.84% for the twenty-six weeks ended June 28, 2025.The shift to a negative effective tax rate in the thirteen and twenty-six weeks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July 4, 2026 and June 28, 2025 the Company has outstanding letters of credit of $2,990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July 4, 2026 and January 3, 2026, 82.9% and 82.9%, respectively, of our First Lien was owned by equity shareholders. Cash interest paid on the First Lien attributable to related parties for the twenty-six weeks ended July 4, 2026 and June 28, 2025 was $14,728 and $13,906, respectively, representing 82.9% and 82.9%, respectively, of total cash interest paid on the First Lien. Additionally, at July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an outstanding loan receivable from a member of management in the amount of approximately $0.9 million recorded in Other non-current assets and Other current assets on the balance sheet as of July 4, 2026 and January 3,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July 4, 2026 and January 3, 2026. The fair value of the warrants was $0 and $0 as of July 4, 2026 and January 3, 2026, respectively. There was no change in fair value of the warrants for the thirteen and twenty-six weeks ended July 4, 2026 and June 28,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and twenty-six weeks ended July 4, 2026 and June 28,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September 2,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8" w:name="tx76201_89"/>
      <w:bookmarkEnd w:id="108"/>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Copy </w:t>
      </w:r>
    </w:p>
    <w:p>
      <w:pPr>
        <w:pStyle w:val="TextBody"/>
        <w:bidi w:val="0"/>
        <w:spacing w:before="12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0" w:after="0"/>
        <w:jc w:val="center"/>
        <w:rPr>
          <w:rFonts w:ascii="Times New Roman" w:hAnsi="Times New Roman"/>
          <w:sz w:val="20"/>
        </w:rPr>
      </w:pPr>
      <w:r>
        <w:rPr>
          <w:rFonts w:ascii="Times New Roman" w:hAnsi="Times New Roman"/>
          <w:sz w:val="20"/>
        </w:rPr>
        <w:t xml:space="preserve">Dated as of December 11,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
              <w:r>
                <w:rPr>
                  <w:rStyle w:val="InternetLink"/>
                  <w:rFonts w:ascii="Times New Roman" w:hAnsi="Times New Roman"/>
                  <w:b/>
                  <w:sz w:val="20"/>
                </w:rPr>
                <w:t xml:space="preserve">ARTICLE I </w:t>
              </w:r>
            </w:hyperlink>
            <w:hyperlink w:anchor="anxa76201_1">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
              <w:r>
                <w:rPr>
                  <w:rStyle w:val="InternetLink"/>
                  <w:rFonts w:ascii="Times New Roman" w:hAnsi="Times New Roman"/>
                  <w:sz w:val="20"/>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
              <w:r>
                <w:rPr>
                  <w:rStyle w:val="InternetLink"/>
                  <w:rFonts w:ascii="Times New Roman" w:hAnsi="Times New Roman"/>
                  <w:sz w:val="20"/>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
              <w:r>
                <w:rPr>
                  <w:rStyle w:val="InternetLink"/>
                  <w:rFonts w:ascii="Times New Roman" w:hAnsi="Times New Roman"/>
                  <w:sz w:val="20"/>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
              <w:r>
                <w:rPr>
                  <w:rStyle w:val="InternetLink"/>
                  <w:rFonts w:ascii="Times New Roman" w:hAnsi="Times New Roman"/>
                  <w:sz w:val="20"/>
                </w:rPr>
                <w:t>Organizational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
              <w:r>
                <w:rPr>
                  <w:rStyle w:val="InternetLink"/>
                  <w:rFonts w:ascii="Times New Roman" w:hAnsi="Times New Roman"/>
                  <w:sz w:val="20"/>
                </w:rPr>
                <w:t>Directors and Officers of the Surviving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8">
              <w:r>
                <w:rPr>
                  <w:rStyle w:val="InternetLink"/>
                  <w:rFonts w:ascii="Times New Roman" w:hAnsi="Times New Roman"/>
                  <w:b/>
                  <w:sz w:val="20"/>
                </w:rPr>
                <w:t xml:space="preserve">ARTICLE II </w:t>
              </w:r>
            </w:hyperlink>
            <w:hyperlink w:anchor="anxa76201_8">
              <w:r>
                <w:rPr>
                  <w:rStyle w:val="InternetLink"/>
                  <w:rFonts w:ascii="Times New Roman" w:hAnsi="Times New Roman"/>
                  <w:sz w:val="20"/>
                </w:rPr>
                <w:t>EFFECT ON FBB CAPITAL STOCK;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
              <w:r>
                <w:rPr>
                  <w:rStyle w:val="InternetLink"/>
                  <w:rFonts w:ascii="Times New Roman" w:hAnsi="Times New Roman"/>
                  <w:sz w:val="20"/>
                </w:rPr>
                <w:t>Effect on FBB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0">
              <w:r>
                <w:rPr>
                  <w:rStyle w:val="InternetLink"/>
                  <w:rFonts w:ascii="Times New Roman" w:hAnsi="Times New Roman"/>
                  <w:sz w:val="20"/>
                </w:rPr>
                <w:t>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1">
              <w:r>
                <w:rPr>
                  <w:rStyle w:val="InternetLink"/>
                  <w:rFonts w:ascii="Times New Roman" w:hAnsi="Times New Roman"/>
                  <w:sz w:val="20"/>
                </w:rPr>
                <w:t>Stock Transfer Books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2">
              <w:r>
                <w:rPr>
                  <w:rStyle w:val="InternetLink"/>
                  <w:rFonts w:ascii="Times New Roman" w:hAnsi="Times New Roman"/>
                  <w:b/>
                  <w:sz w:val="20"/>
                </w:rPr>
                <w:t xml:space="preserve">ARTICLE III </w:t>
              </w:r>
            </w:hyperlink>
            <w:hyperlink w:anchor="anxa76201_12">
              <w:r>
                <w:rPr>
                  <w:rStyle w:val="InternetLink"/>
                  <w:rFonts w:ascii="Times New Roman" w:hAnsi="Times New Roman"/>
                  <w:sz w:val="20"/>
                </w:rPr>
                <w:t>REPRESENTATIONS AND WARRANTIES OF DXL AND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3">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4">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5">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6">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7">
              <w:r>
                <w:rPr>
                  <w:rStyle w:val="InternetLink"/>
                  <w:rFonts w:ascii="Times New Roman" w:hAnsi="Times New Roman"/>
                  <w:sz w:val="20"/>
                </w:rPr>
                <w:t>Reports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8">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9">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0">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1">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2">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3">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4">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5">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6">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7">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8">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9">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0">
              <w:r>
                <w:rPr>
                  <w:rStyle w:val="InternetLink"/>
                  <w:rFonts w:ascii="Times New Roman" w:hAnsi="Times New Roman"/>
                  <w:sz w:val="20"/>
                </w:rPr>
                <w:t>DXL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1">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2">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3">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4">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5">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6">
              <w:r>
                <w:rPr>
                  <w:rStyle w:val="InternetLink"/>
                  <w:rFonts w:ascii="Times New Roman" w:hAnsi="Times New Roman"/>
                  <w:sz w:val="20"/>
                </w:rPr>
                <w:t>Fairness Opinion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7">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8">
              <w:r>
                <w:rPr>
                  <w:rStyle w:val="InternetLink"/>
                  <w:rFonts w:ascii="Times New Roman" w:hAnsi="Times New Roman"/>
                  <w:sz w:val="20"/>
                </w:rPr>
                <w:t>No Other Representations or Warranties; Reliance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39">
              <w:r>
                <w:rPr>
                  <w:rStyle w:val="InternetLink"/>
                  <w:rFonts w:ascii="Times New Roman" w:hAnsi="Times New Roman"/>
                  <w:b/>
                  <w:sz w:val="20"/>
                </w:rPr>
                <w:t xml:space="preserve">ARTICLE IV </w:t>
              </w:r>
            </w:hyperlink>
            <w:hyperlink w:anchor="anxa76201_39">
              <w:r>
                <w:rPr>
                  <w:rStyle w:val="InternetLink"/>
                  <w:rFonts w:ascii="Times New Roman" w:hAnsi="Times New Roman"/>
                  <w:sz w:val="20"/>
                </w:rPr>
                <w:t>REPRESENTATIONS AND WARRANTIES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0">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1">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2">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3">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4">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5">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6">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7">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8">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9">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0">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1">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2">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3">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4">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5">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6">
              <w:r>
                <w:rPr>
                  <w:rStyle w:val="InternetLink"/>
                  <w:rFonts w:ascii="Times New Roman" w:hAnsi="Times New Roman"/>
                  <w:sz w:val="20"/>
                </w:rPr>
                <w:t>FBB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7">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8">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9">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0">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1">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2">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3">
              <w:r>
                <w:rPr>
                  <w:rStyle w:val="InternetLink"/>
                  <w:rFonts w:ascii="Times New Roman" w:hAnsi="Times New Roman"/>
                  <w:sz w:val="20"/>
                </w:rPr>
                <w:t>Pre-Closing Investment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4">
              <w:r>
                <w:rPr>
                  <w:rStyle w:val="InternetLink"/>
                  <w:rFonts w:ascii="Times New Roman" w:hAnsi="Times New Roman"/>
                  <w:sz w:val="20"/>
                </w:rPr>
                <w:t>FBB Stockholders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5">
              <w:r>
                <w:rPr>
                  <w:rStyle w:val="InternetLink"/>
                  <w:rFonts w:ascii="Times New Roman" w:hAnsi="Times New Roman"/>
                  <w:sz w:val="20"/>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66">
              <w:r>
                <w:rPr>
                  <w:rStyle w:val="InternetLink"/>
                  <w:rFonts w:ascii="Times New Roman" w:hAnsi="Times New Roman"/>
                  <w:b/>
                  <w:sz w:val="20"/>
                </w:rPr>
                <w:t xml:space="preserve">ARTICLE V </w:t>
              </w:r>
            </w:hyperlink>
            <w:hyperlink w:anchor="anxa76201_66">
              <w:r>
                <w:rPr>
                  <w:rStyle w:val="InternetLink"/>
                  <w:rFonts w:ascii="Times New Roman" w:hAnsi="Times New Roman"/>
                  <w:sz w:val="20"/>
                </w:rPr>
                <w:t>COVENANTS RELATING TO CONDUCT OF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7">
              <w:r>
                <w:rPr>
                  <w:rStyle w:val="InternetLink"/>
                  <w:rFonts w:ascii="Times New Roman" w:hAnsi="Times New Roman"/>
                  <w:sz w:val="20"/>
                </w:rPr>
                <w:t>Conduct of Businesses Prior to the 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8">
              <w:r>
                <w:rPr>
                  <w:rStyle w:val="InternetLink"/>
                  <w:rFonts w:ascii="Times New Roman" w:hAnsi="Times New Roman"/>
                  <w:sz w:val="20"/>
                </w:rPr>
                <w:t>DXL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9">
              <w:r>
                <w:rPr>
                  <w:rStyle w:val="InternetLink"/>
                  <w:rFonts w:ascii="Times New Roman" w:hAnsi="Times New Roman"/>
                  <w:sz w:val="20"/>
                </w:rPr>
                <w:t>FBB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0">
              <w:r>
                <w:rPr>
                  <w:rStyle w:val="InternetLink"/>
                  <w:rFonts w:ascii="Times New Roman" w:hAnsi="Times New Roman"/>
                  <w:sz w:val="20"/>
                </w:rPr>
                <w:t>Control of Other Party’s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1">
              <w:r>
                <w:rPr>
                  <w:rStyle w:val="InternetLink"/>
                  <w:rFonts w:ascii="Times New Roman" w:hAnsi="Times New Roman"/>
                  <w:sz w:val="20"/>
                </w:rPr>
                <w:t>FBB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2">
              <w:r>
                <w:rPr>
                  <w:rStyle w:val="InternetLink"/>
                  <w:rFonts w:ascii="Times New Roman" w:hAnsi="Times New Roman"/>
                  <w:sz w:val="20"/>
                </w:rPr>
                <w:t>DXL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73">
              <w:r>
                <w:rPr>
                  <w:rStyle w:val="InternetLink"/>
                  <w:rFonts w:ascii="Times New Roman" w:hAnsi="Times New Roman"/>
                  <w:b/>
                  <w:sz w:val="20"/>
                </w:rPr>
                <w:t xml:space="preserve">ARTICLE VI </w:t>
              </w:r>
            </w:hyperlink>
            <w:hyperlink w:anchor="anxa76201_73">
              <w:r>
                <w:rPr>
                  <w:rStyle w:val="InternetLink"/>
                  <w:rFonts w:ascii="Times New Roman" w:hAnsi="Times New Roman"/>
                  <w:sz w:val="20"/>
                </w:rPr>
                <w:t>ADDITIONAL AGREEMENTS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4">
              <w:r>
                <w:rPr>
                  <w:rStyle w:val="InternetLink"/>
                  <w:rFonts w:ascii="Times New Roman" w:hAnsi="Times New Roman"/>
                  <w:sz w:val="20"/>
                </w:rPr>
                <w:t>Preparation of the Proxy Statement; Stockholder Approvals; Listing Application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5">
              <w:r>
                <w:rPr>
                  <w:rStyle w:val="InternetLink"/>
                  <w:rFonts w:ascii="Times New Roman" w:hAnsi="Times New Roman"/>
                  <w:sz w:val="20"/>
                </w:rPr>
                <w:t>Resale Registration Statement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6">
              <w:r>
                <w:rPr>
                  <w:rStyle w:val="InternetLink"/>
                  <w:rFonts w:ascii="Times New Roman" w:hAnsi="Times New Roman"/>
                  <w:sz w:val="20"/>
                </w:rPr>
                <w:t>Access to Information; Confidentiality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7">
              <w:r>
                <w:rPr>
                  <w:rStyle w:val="InternetLink"/>
                  <w:rFonts w:ascii="Times New Roman" w:hAnsi="Times New Roman"/>
                  <w:sz w:val="20"/>
                </w:rPr>
                <w:t>Required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8">
              <w:r>
                <w:rPr>
                  <w:rStyle w:val="InternetLink"/>
                  <w:rFonts w:ascii="Times New Roman" w:hAnsi="Times New Roman"/>
                  <w:sz w:val="20"/>
                </w:rPr>
                <w:t>Stockholder 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9">
              <w:r>
                <w:rPr>
                  <w:rStyle w:val="InternetLink"/>
                  <w:rFonts w:ascii="Times New Roman" w:hAnsi="Times New Roman"/>
                  <w:sz w:val="20"/>
                </w:rPr>
                <w:t>DXL Stockholders Meeting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0">
              <w:r>
                <w:rPr>
                  <w:rStyle w:val="InternetLink"/>
                  <w:rFonts w:ascii="Times New Roman" w:hAnsi="Times New Roman"/>
                  <w:sz w:val="20"/>
                </w:rPr>
                <w:t>Fees and Expenses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1">
              <w:r>
                <w:rPr>
                  <w:rStyle w:val="InternetLink"/>
                  <w:rFonts w:ascii="Times New Roman" w:hAnsi="Times New Roman"/>
                  <w:sz w:val="20"/>
                </w:rPr>
                <w:t>Certain Tax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2">
              <w:r>
                <w:rPr>
                  <w:rStyle w:val="InternetLink"/>
                  <w:rFonts w:ascii="Times New Roman" w:hAnsi="Times New Roman"/>
                  <w:sz w:val="20"/>
                </w:rPr>
                <w:t>Governance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3">
              <w:r>
                <w:rPr>
                  <w:rStyle w:val="InternetLink"/>
                  <w:rFonts w:ascii="Times New Roman" w:hAnsi="Times New Roman"/>
                  <w:sz w:val="20"/>
                </w:rPr>
                <w:t>Employment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4">
              <w:r>
                <w:rPr>
                  <w:rStyle w:val="InternetLink"/>
                  <w:rFonts w:ascii="Times New Roman" w:hAnsi="Times New Roman"/>
                  <w:sz w:val="20"/>
                </w:rPr>
                <w:t>Directors’ and Officers’ Indemnification and 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5">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6">
              <w:r>
                <w:rPr>
                  <w:rStyle w:val="InternetLink"/>
                  <w:rFonts w:ascii="Times New Roman" w:hAnsi="Times New Roman"/>
                  <w:sz w:val="20"/>
                </w:rPr>
                <w:t>Notification of Certain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7">
              <w:r>
                <w:rPr>
                  <w:rStyle w:val="InternetLink"/>
                  <w:rFonts w:ascii="Times New Roman" w:hAnsi="Times New Roman"/>
                  <w:sz w:val="20"/>
                </w:rPr>
                <w:t>Obligations of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8">
              <w:r>
                <w:rPr>
                  <w:rStyle w:val="InternetLink"/>
                  <w:rFonts w:ascii="Times New Roman" w:hAnsi="Times New Roman"/>
                  <w:sz w:val="20"/>
                </w:rPr>
                <w:t>Payment for Third Party Consents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9">
              <w:r>
                <w:rPr>
                  <w:rStyle w:val="InternetLink"/>
                  <w:rFonts w:ascii="Times New Roman" w:hAnsi="Times New Roman"/>
                  <w:sz w:val="20"/>
                </w:rPr>
                <w:t>Financing; Cooperation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0">
              <w:r>
                <w:rPr>
                  <w:rStyle w:val="InternetLink"/>
                  <w:rFonts w:ascii="Times New Roman" w:hAnsi="Times New Roman"/>
                  <w:sz w:val="20"/>
                </w:rPr>
                <w:t>Updated Capitalization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1">
              <w:r>
                <w:rPr>
                  <w:rStyle w:val="InternetLink"/>
                  <w:rFonts w:ascii="Times New Roman" w:hAnsi="Times New Roman"/>
                  <w:sz w:val="20"/>
                </w:rPr>
                <w:t>Listing of DXL Common Stock on Nasdaq</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2">
              <w:r>
                <w:rPr>
                  <w:rStyle w:val="InternetLink"/>
                  <w:rFonts w:ascii="Times New Roman" w:hAnsi="Times New Roman"/>
                  <w:sz w:val="20"/>
                </w:rPr>
                <w:t>FBB Corporate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93">
              <w:r>
                <w:rPr>
                  <w:rStyle w:val="InternetLink"/>
                  <w:rFonts w:ascii="Times New Roman" w:hAnsi="Times New Roman"/>
                  <w:b/>
                  <w:sz w:val="20"/>
                </w:rPr>
                <w:t xml:space="preserve">ARTICLE VII </w:t>
              </w:r>
            </w:hyperlink>
            <w:hyperlink w:anchor="anxa76201_93">
              <w:r>
                <w:rPr>
                  <w:rStyle w:val="InternetLink"/>
                  <w:rFonts w:ascii="Times New Roman" w:hAnsi="Times New Roman"/>
                  <w:sz w:val="20"/>
                </w:rPr>
                <w:t>CONDITIONS PRECEDENT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4">
              <w:r>
                <w:rPr>
                  <w:rStyle w:val="InternetLink"/>
                  <w:rFonts w:ascii="Times New Roman" w:hAnsi="Times New Roman"/>
                  <w:sz w:val="20"/>
                </w:rPr>
                <w:t>Conditions to Each Party’s Obligation to Effect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5">
              <w:r>
                <w:rPr>
                  <w:rStyle w:val="InternetLink"/>
                  <w:rFonts w:ascii="Times New Roman" w:hAnsi="Times New Roman"/>
                  <w:sz w:val="20"/>
                </w:rPr>
                <w:t>Conditions to Obligations of DXL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6">
              <w:r>
                <w:rPr>
                  <w:rStyle w:val="InternetLink"/>
                  <w:rFonts w:ascii="Times New Roman" w:hAnsi="Times New Roman"/>
                  <w:sz w:val="20"/>
                </w:rPr>
                <w:t>Conditions to Obligations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5"/>
        <w:gridCol w:w="107"/>
        <w:gridCol w:w="1620"/>
        <w:gridCol w:w="122"/>
        <w:gridCol w:w="7234"/>
        <w:gridCol w:w="122"/>
        <w:gridCol w:w="60"/>
        <w:gridCol w:w="440"/>
        <w:gridCol w:w="65"/>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97">
              <w:r>
                <w:rPr>
                  <w:rStyle w:val="InternetLink"/>
                  <w:rFonts w:ascii="Times New Roman" w:hAnsi="Times New Roman"/>
                  <w:b/>
                  <w:sz w:val="20"/>
                </w:rPr>
                <w:t xml:space="preserve">ARTICLE VIII </w:t>
              </w:r>
            </w:hyperlink>
            <w:hyperlink w:anchor="anxa76201_97">
              <w:r>
                <w:rPr>
                  <w:rStyle w:val="InternetLink"/>
                  <w:rFonts w:ascii="Times New Roman" w:hAnsi="Times New Roman"/>
                  <w:sz w:val="20"/>
                </w:rPr>
                <w:t>TERMINATION AND 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8">
              <w:r>
                <w:rPr>
                  <w:rStyle w:val="InternetLink"/>
                  <w:rFonts w:ascii="Times New Roman" w:hAnsi="Times New Roman"/>
                  <w:sz w:val="20"/>
                </w:rPr>
                <w:t>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9">
              <w:r>
                <w:rPr>
                  <w:rStyle w:val="InternetLink"/>
                  <w:rFonts w:ascii="Times New Roman" w:hAnsi="Times New Roman"/>
                  <w:sz w:val="20"/>
                </w:rPr>
                <w:t>Effect of 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0">
              <w:r>
                <w:rPr>
                  <w:rStyle w:val="InternetLink"/>
                  <w:rFonts w:ascii="Times New Roman" w:hAnsi="Times New Roman"/>
                  <w:sz w:val="20"/>
                </w:rPr>
                <w:t>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1">
              <w:r>
                <w:rPr>
                  <w:rStyle w:val="InternetLink"/>
                  <w:rFonts w:ascii="Times New Roman" w:hAnsi="Times New Roman"/>
                  <w:sz w:val="20"/>
                </w:rPr>
                <w:t>Extension; Waiver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518" w:type="dxa"/>
            <w:gridSpan w:val="5"/>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102">
              <w:r>
                <w:rPr>
                  <w:rStyle w:val="InternetLink"/>
                  <w:rFonts w:ascii="Times New Roman" w:hAnsi="Times New Roman"/>
                  <w:b/>
                  <w:sz w:val="20"/>
                </w:rPr>
                <w:t xml:space="preserve">ARTICLE IX </w:t>
              </w:r>
            </w:hyperlink>
            <w:hyperlink w:anchor="anxa76201_102">
              <w:r>
                <w:rPr>
                  <w:rStyle w:val="InternetLink"/>
                  <w:rFonts w:ascii="Times New Roman" w:hAnsi="Times New Roman"/>
                  <w:sz w:val="20"/>
                </w:rPr>
                <w:t>GENERAL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3">
              <w:r>
                <w:rPr>
                  <w:rStyle w:val="InternetLink"/>
                  <w:rFonts w:ascii="Times New Roman" w:hAnsi="Times New Roman"/>
                  <w:sz w:val="20"/>
                </w:rPr>
                <w:t>Non-survival of Representations and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4">
              <w:r>
                <w:rPr>
                  <w:rStyle w:val="InternetLink"/>
                  <w:rFonts w:ascii="Times New Roman" w:hAnsi="Times New Roman"/>
                  <w:sz w:val="20"/>
                </w:rPr>
                <w:t>Notices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5">
              <w:r>
                <w:rPr>
                  <w:rStyle w:val="InternetLink"/>
                  <w:rFonts w:ascii="Times New Roman" w:hAnsi="Times New Roman"/>
                  <w:sz w:val="20"/>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6">
              <w:r>
                <w:rPr>
                  <w:rStyle w:val="InternetLink"/>
                  <w:rFonts w:ascii="Times New Roman" w:hAnsi="Times New Roman"/>
                  <w:sz w:val="20"/>
                </w:rPr>
                <w:t>Other Defined Terms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7">
              <w:r>
                <w:rPr>
                  <w:rStyle w:val="InternetLink"/>
                  <w:rFonts w:ascii="Times New Roman" w:hAnsi="Times New Roman"/>
                  <w:sz w:val="20"/>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8">
              <w:r>
                <w:rPr>
                  <w:rStyle w:val="InternetLink"/>
                  <w:rFonts w:ascii="Times New Roman" w:hAnsi="Times New Roman"/>
                  <w:sz w:val="20"/>
                </w:rPr>
                <w:t>Severability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9">
              <w:r>
                <w:rPr>
                  <w:rStyle w:val="InternetLink"/>
                  <w:rFonts w:ascii="Times New Roman" w:hAnsi="Times New Roman"/>
                  <w:sz w:val="20"/>
                </w:rPr>
                <w:t>Counterparts; Facsimile Signatures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0">
              <w:r>
                <w:rPr>
                  <w:rStyle w:val="InternetLink"/>
                  <w:rFonts w:ascii="Times New Roman" w:hAnsi="Times New Roman"/>
                  <w:sz w:val="20"/>
                </w:rPr>
                <w:t>Entire Agreement; No Third Party Beneficiaries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1">
              <w:r>
                <w:rPr>
                  <w:rStyle w:val="InternetLink"/>
                  <w:rFonts w:ascii="Times New Roman" w:hAnsi="Times New Roman"/>
                  <w:sz w:val="20"/>
                </w:rPr>
                <w:t>Governing Law</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2">
              <w:r>
                <w:rPr>
                  <w:rStyle w:val="InternetLink"/>
                  <w:rFonts w:ascii="Times New Roman" w:hAnsi="Times New Roman"/>
                  <w:sz w:val="20"/>
                </w:rPr>
                <w:t>Assignment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3">
              <w:r>
                <w:rPr>
                  <w:rStyle w:val="InternetLink"/>
                  <w:rFonts w:ascii="Times New Roman" w:hAnsi="Times New Roman"/>
                  <w:sz w:val="20"/>
                </w:rPr>
                <w:t>Specific Performance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4">
              <w:r>
                <w:rPr>
                  <w:rStyle w:val="InternetLink"/>
                  <w:rFonts w:ascii="Times New Roman" w:hAnsi="Times New Roman"/>
                  <w:sz w:val="20"/>
                </w:rPr>
                <w:t>Jurisdiction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5">
              <w:r>
                <w:rPr>
                  <w:rStyle w:val="InternetLink"/>
                  <w:rFonts w:ascii="Times New Roman" w:hAnsi="Times New Roman"/>
                  <w:sz w:val="20"/>
                </w:rPr>
                <w:t>Publicity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6">
              <w:r>
                <w:rPr>
                  <w:rStyle w:val="InternetLink"/>
                  <w:rFonts w:ascii="Times New Roman" w:hAnsi="Times New Roman"/>
                  <w:sz w:val="20"/>
                </w:rPr>
                <w:t>Financing Related Parties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5" w:type="dxa"/>
            <w:tcBorders/>
            <w:vAlign w:val="bottom"/>
          </w:tcPr>
          <w:p>
            <w:pPr>
              <w:pStyle w:val="TableContents"/>
              <w:bidi w:val="0"/>
              <w:spacing w:before="0" w:after="283"/>
              <w:jc w:val="left"/>
              <w:rPr/>
            </w:pPr>
            <w:r>
              <w:rPr/>
              <w:t> </w:t>
            </w:r>
          </w:p>
        </w:tc>
      </w:tr>
      <w:tr>
        <w:trPr>
          <w:trHeight w:val="24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283"/>
              <w:jc w:val="left"/>
              <w:rPr>
                <w:b/>
                <w:u w:val="single"/>
              </w:rPr>
            </w:pPr>
            <w:r>
              <w:rPr>
                <w:b/>
                <w:u w:val="single"/>
              </w:rPr>
              <w:t>Exhibits</w:t>
            </w:r>
          </w:p>
        </w:tc>
        <w:tc>
          <w:tcPr>
            <w:tcW w:w="122" w:type="dxa"/>
            <w:tcBorders/>
            <w:vAlign w:val="bottom"/>
          </w:tcPr>
          <w:p>
            <w:pPr>
              <w:pStyle w:val="TableContents"/>
              <w:bidi w:val="0"/>
              <w:spacing w:before="0" w:after="283"/>
              <w:jc w:val="left"/>
              <w:rPr/>
            </w:pPr>
            <w:r>
              <w:rPr/>
              <w:t>  </w:t>
            </w:r>
          </w:p>
        </w:tc>
        <w:tc>
          <w:tcPr>
            <w:tcW w:w="72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December 11, 2025 (this “</w:t>
      </w:r>
      <w:r>
        <w:rPr>
          <w:rFonts w:ascii="Times New Roman" w:hAnsi="Times New Roman"/>
          <w:sz w:val="20"/>
          <w:u w:val="single"/>
        </w:rPr>
        <w:t>Agreement</w:t>
      </w:r>
      <w:r>
        <w:rPr>
          <w:rFonts w:ascii="Times New Roman" w:hAnsi="Times New Roman"/>
          <w:sz w:val="20"/>
        </w:rPr>
        <w:t>”), is by and among Destination XL Group, Inc., a Delaware corporation (“</w:t>
      </w:r>
      <w:r>
        <w:rPr>
          <w:rFonts w:ascii="Times New Roman" w:hAnsi="Times New Roman"/>
          <w:sz w:val="20"/>
          <w:u w:val="single"/>
        </w:rPr>
        <w:t>DXL</w:t>
      </w:r>
      <w:r>
        <w:rPr>
          <w:rFonts w:ascii="Times New Roman" w:hAnsi="Times New Roman"/>
          <w:sz w:val="20"/>
        </w:rPr>
        <w:t>”),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DXL (the “</w:t>
      </w:r>
      <w:r>
        <w:rPr>
          <w:rFonts w:ascii="Times New Roman" w:hAnsi="Times New Roman"/>
          <w:sz w:val="20"/>
          <w:u w:val="single"/>
        </w:rPr>
        <w:t>DXL Board</w:t>
      </w:r>
      <w:r>
        <w:rPr>
          <w:rFonts w:ascii="Times New Roman" w:hAnsi="Times New Roman"/>
          <w:sz w:val="20"/>
        </w:rPr>
        <w:t xml:space="preserve">”) has unanimously adopted this Agreement and determined that the terms of this Agreement, including the Merger, are fair to,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WHEREAS, the respective boards of directors of Merger Sub and FBB (the “</w:t>
      </w:r>
      <w:r>
        <w:rPr>
          <w:rFonts w:ascii="Times New Roman" w:hAnsi="Times New Roman"/>
          <w:sz w:val="20"/>
          <w:u w:val="single"/>
        </w:rPr>
        <w:t>FBB Board</w:t>
      </w:r>
      <w:r>
        <w:rPr>
          <w:rFonts w:ascii="Times New Roman" w:hAnsi="Times New Roman"/>
          <w:sz w:val="20"/>
        </w:rPr>
        <w:t xml:space="preserve">”)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DXL Board has recommended that its stockholders approve this Agreement and certain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DXL, Merger Sub and FBB desire to make certain representations, warranties, covenants and agreements in connection with the Merger and also to prescribe various 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9" w:name="anxa76201_1"/>
      <w:bookmarkEnd w:id="109"/>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u w:val="single"/>
        </w:rPr>
        <w:t>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0" w:name="anxa76201_2"/>
      <w:bookmarkEnd w:id="110"/>
      <w:r>
        <w:rPr>
          <w:rFonts w:ascii="Times New Roman" w:hAnsi="Times New Roman"/>
          <w:b/>
          <w:sz w:val="20"/>
        </w:rPr>
        <w:t xml:space="preserve">SECTION 1.01 </w:t>
      </w:r>
      <w:r>
        <w:rPr>
          <w:rFonts w:ascii="Times New Roman" w:hAnsi="Times New Roman"/>
          <w:b/>
          <w:sz w:val="20"/>
          <w:u w:val="single"/>
        </w:rPr>
        <w:t>The Merger</w:t>
      </w:r>
      <w:r>
        <w:rPr>
          <w:rFonts w:ascii="Times New Roman" w:hAnsi="Times New Roman"/>
          <w:sz w:val="20"/>
        </w:rPr>
        <w:t>. On the terms and subject to the conditions set forth in this Agreement, and in accordance with the applicable provisions of the Delaware General Corporation Law (the “</w:t>
      </w:r>
      <w:r>
        <w:rPr>
          <w:rFonts w:ascii="Times New Roman" w:hAnsi="Times New Roman"/>
          <w:sz w:val="20"/>
          <w:u w:val="single"/>
        </w:rPr>
        <w:t>DGCL</w:t>
      </w:r>
      <w:r>
        <w:rPr>
          <w:rFonts w:ascii="Times New Roman" w:hAnsi="Times New Roman"/>
          <w:sz w:val="20"/>
        </w:rPr>
        <w:t>”), at the Effective Time, Merger Sub shall be merged with and into FBB (the “</w:t>
      </w:r>
      <w:r>
        <w:rPr>
          <w:rFonts w:ascii="Times New Roman" w:hAnsi="Times New Roman"/>
          <w:sz w:val="20"/>
          <w:u w:val="single"/>
        </w:rPr>
        <w:t>Merger</w:t>
      </w:r>
      <w:r>
        <w:rPr>
          <w:rFonts w:ascii="Times New Roman" w:hAnsi="Times New Roman"/>
          <w:sz w:val="20"/>
        </w:rPr>
        <w:t>”). At the Effective Time, the separate corporate existence of Merger Sub shall cease, and FBB shall continue as the surviving corporation in the Merger (the “</w:t>
      </w:r>
      <w:r>
        <w:rPr>
          <w:rFonts w:ascii="Times New Roman" w:hAnsi="Times New Roman"/>
          <w:sz w:val="20"/>
          <w:u w:val="single"/>
        </w:rPr>
        <w:t>Surviving Company</w:t>
      </w:r>
      <w:r>
        <w:rPr>
          <w:rFonts w:ascii="Times New Roman" w:hAnsi="Times New Roman"/>
          <w:sz w:val="20"/>
        </w:rPr>
        <w:t xml:space="preserve">”).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 </w:t>
      </w:r>
    </w:p>
    <w:p>
      <w:pPr>
        <w:pStyle w:val="TextBody"/>
        <w:bidi w:val="0"/>
        <w:spacing w:before="240" w:after="0"/>
        <w:jc w:val="left"/>
        <w:rPr>
          <w:rFonts w:ascii="Times New Roman" w:hAnsi="Times New Roman"/>
          <w:sz w:val="20"/>
        </w:rPr>
      </w:pPr>
      <w:bookmarkStart w:id="111" w:name="anxa76201_3"/>
      <w:bookmarkEnd w:id="111"/>
      <w:r>
        <w:rPr>
          <w:rFonts w:ascii="Times New Roman" w:hAnsi="Times New Roman"/>
          <w:b/>
          <w:sz w:val="20"/>
        </w:rPr>
        <w:t xml:space="preserve">SECTION 1.02 </w:t>
      </w:r>
      <w:r>
        <w:rPr>
          <w:rFonts w:ascii="Times New Roman" w:hAnsi="Times New Roman"/>
          <w:b/>
          <w:sz w:val="20"/>
          <w:u w:val="single"/>
        </w:rPr>
        <w:t>Closing</w:t>
      </w:r>
      <w:r>
        <w:rPr>
          <w:rFonts w:ascii="Times New Roman" w:hAnsi="Times New Roman"/>
          <w:sz w:val="20"/>
        </w:rPr>
        <w:t xml:space="preserve">. Unless this Agreement shall have been terminated in accordance with </w:t>
      </w:r>
      <w:r>
        <w:rPr>
          <w:rFonts w:ascii="Times New Roman" w:hAnsi="Times New Roman"/>
          <w:sz w:val="20"/>
          <w:u w:val="single"/>
        </w:rPr>
        <w:t>Section 8.01</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Merger shall take place by electronic exchange of all executed documents and other deliverables required by this Agreement to be delivered at Closing, including pursuant to </w:t>
      </w:r>
      <w:r>
        <w:rPr>
          <w:rFonts w:ascii="Times New Roman" w:hAnsi="Times New Roman"/>
          <w:sz w:val="20"/>
          <w:u w:val="single"/>
        </w:rPr>
        <w:t>Article VII</w:t>
      </w:r>
      <w:r>
        <w:rPr>
          <w:rFonts w:ascii="Times New Roman" w:hAnsi="Times New Roman"/>
          <w:sz w:val="20"/>
        </w:rPr>
        <w:t xml:space="preserve">) at 10:00 a.m., Eastern time, on the third (3rd) Business Day following the satisfaction or (to the extent permitted by Law) waiver by the party or parties entitled to the benefits thereof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2" w:name="anxa76201_4"/>
      <w:bookmarkEnd w:id="112"/>
      <w:r>
        <w:rPr>
          <w:rFonts w:ascii="Times New Roman" w:hAnsi="Times New Roman"/>
          <w:b/>
          <w:sz w:val="20"/>
        </w:rPr>
        <w:t xml:space="preserve">SECTION 1.03 </w:t>
      </w:r>
      <w:r>
        <w:rPr>
          <w:rFonts w:ascii="Times New Roman" w:hAnsi="Times New Roman"/>
          <w:b/>
          <w:sz w:val="20"/>
          <w:u w:val="single"/>
        </w:rPr>
        <w:t>Effective Time</w:t>
      </w:r>
      <w:r>
        <w:rPr>
          <w:rFonts w:ascii="Times New Roman" w:hAnsi="Times New Roman"/>
          <w:sz w:val="20"/>
        </w:rPr>
        <w:t>. The Merger shall become effective upon the filing of a certificate of merger in respect of the Merger (the “</w:t>
      </w:r>
      <w:r>
        <w:rPr>
          <w:rFonts w:ascii="Times New Roman" w:hAnsi="Times New Roman"/>
          <w:sz w:val="20"/>
          <w:u w:val="single"/>
        </w:rPr>
        <w:t>Certificate of Merger</w:t>
      </w:r>
      <w:r>
        <w:rPr>
          <w:rFonts w:ascii="Times New Roman" w:hAnsi="Times New Roman"/>
          <w:sz w:val="20"/>
        </w:rPr>
        <w:t>“) with the Secretary of State of the State of Delaware, or such later date and time as may be specified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3" w:name="anxa76201_5"/>
      <w:bookmarkEnd w:id="113"/>
      <w:r>
        <w:rPr>
          <w:rFonts w:ascii="Times New Roman" w:hAnsi="Times New Roman"/>
          <w:b/>
          <w:sz w:val="20"/>
        </w:rPr>
        <w:t xml:space="preserve">SECTION 1.04 </w:t>
      </w:r>
      <w:r>
        <w:rPr>
          <w:rFonts w:ascii="Times New Roman" w:hAnsi="Times New Roman"/>
          <w:b/>
          <w:sz w:val="20"/>
          <w:u w:val="single"/>
        </w:rPr>
        <w:t>Effects of the Merger</w:t>
      </w:r>
      <w:r>
        <w:rPr>
          <w:rFonts w:ascii="Times New Roman" w:hAnsi="Times New Roman"/>
          <w:sz w:val="20"/>
        </w:rPr>
        <w:t xml:space="preserve">. The Merger shall have the effects set forth in this Agreement and as specified in the applicable 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 </w:t>
      </w:r>
    </w:p>
    <w:p>
      <w:pPr>
        <w:pStyle w:val="TextBody"/>
        <w:bidi w:val="0"/>
        <w:spacing w:before="240" w:after="0"/>
        <w:jc w:val="left"/>
        <w:rPr>
          <w:rFonts w:ascii="Times New Roman" w:hAnsi="Times New Roman"/>
          <w:sz w:val="20"/>
        </w:rPr>
      </w:pPr>
      <w:bookmarkStart w:id="114" w:name="anxa76201_6"/>
      <w:bookmarkEnd w:id="114"/>
      <w:r>
        <w:rPr>
          <w:rFonts w:ascii="Times New Roman" w:hAnsi="Times New Roman"/>
          <w:b/>
          <w:sz w:val="20"/>
        </w:rPr>
        <w:t xml:space="preserve">SECTION 1.05 </w:t>
      </w:r>
      <w:r>
        <w:rPr>
          <w:rFonts w:ascii="Times New Roman" w:hAnsi="Times New Roman"/>
          <w:b/>
          <w:sz w:val="20"/>
          <w:u w:val="single"/>
        </w:rPr>
        <w:t>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Effective Time, the certificate of incorporation of FBB,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hereto, and, as so amended and restated, will be the certificate of incorporation of the Surviving Company (the “</w:t>
      </w:r>
      <w:r>
        <w:rPr>
          <w:rFonts w:ascii="Times New Roman" w:hAnsi="Times New Roman"/>
          <w:sz w:val="20"/>
          <w:u w:val="single"/>
        </w:rPr>
        <w:t>Surviving Company Charter</w:t>
      </w:r>
      <w:r>
        <w:rPr>
          <w:rFonts w:ascii="Times New Roman" w:hAnsi="Times New Roman"/>
          <w:sz w:val="20"/>
        </w:rPr>
        <w:t xml:space="preserve">”), until thereafter amended in accordance with its terms, the terms of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 including the provisions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5" w:name="anxa76201_7"/>
      <w:bookmarkEnd w:id="115"/>
      <w:r>
        <w:rPr>
          <w:rFonts w:ascii="Times New Roman" w:hAnsi="Times New Roman"/>
          <w:b/>
          <w:sz w:val="20"/>
        </w:rPr>
        <w:t xml:space="preserve">SECTION 1.06 </w:t>
      </w:r>
      <w:r>
        <w:rPr>
          <w:rFonts w:ascii="Times New Roman" w:hAnsi="Times New Roman"/>
          <w:b/>
          <w:sz w:val="20"/>
          <w:u w:val="single"/>
        </w:rPr>
        <w:t>Directors and Officers of the Surviving Company</w:t>
      </w:r>
      <w:r>
        <w:rPr>
          <w:rFonts w:ascii="Times New Roman" w:hAnsi="Times New Roman"/>
          <w:sz w:val="20"/>
        </w:rPr>
        <w:t xml:space="preserve">. At the Effective Time, the directors and officers of the Surviving 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bookmarkStart w:id="116" w:name="anxa76201_8"/>
      <w:bookmarkEnd w:id="116"/>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u w:val="single"/>
        </w:rPr>
        <w:t>EFFECT ON FBB CAPITAL STOCK; EXCHANGE OF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7" w:name="anxa76201_9"/>
      <w:bookmarkEnd w:id="117"/>
      <w:r>
        <w:rPr>
          <w:rFonts w:ascii="Times New Roman" w:hAnsi="Times New Roman"/>
          <w:b/>
          <w:sz w:val="20"/>
        </w:rPr>
        <w:t xml:space="preserve">SECTION 2.01 </w:t>
      </w:r>
      <w:r>
        <w:rPr>
          <w:rFonts w:ascii="Times New Roman" w:hAnsi="Times New Roman"/>
          <w:b/>
          <w:sz w:val="20"/>
          <w:u w:val="single"/>
        </w:rPr>
        <w:t>Effect on FBB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DXL, Merger Sub or FBB, or the holders of any FBB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xml:space="preserve">. Each share of FBB Common Stock, other than Excluded Shares, Appraisal Shares and Unaccredited Investor Shares, shall be converted into the right to receive that number of fully paid and nonassessable shares of DXL Common Stock equal to the Exchange Ratio with that number of shares of DXL Common Stock to be received by a holder of FBB Common Stock pursuant to this </w:t>
      </w:r>
      <w:r>
        <w:rPr>
          <w:rFonts w:ascii="Times New Roman" w:hAnsi="Times New Roman"/>
          <w:sz w:val="20"/>
          <w:u w:val="single"/>
        </w:rPr>
        <w:t>Section 2.01(a)</w:t>
      </w:r>
      <w:r>
        <w:rPr>
          <w:rFonts w:ascii="Times New Roman" w:hAnsi="Times New Roman"/>
          <w:sz w:val="20"/>
        </w:rPr>
        <w:t xml:space="preserve">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 this </w:t>
      </w:r>
      <w:r>
        <w:rPr>
          <w:rFonts w:ascii="Times New Roman" w:hAnsi="Times New Roman"/>
          <w:sz w:val="20"/>
          <w:u w:val="single"/>
        </w:rPr>
        <w:t>Section 2.01(a)</w:t>
      </w:r>
      <w:r>
        <w:rPr>
          <w:rFonts w:ascii="Times New Roman" w:hAnsi="Times New Roman"/>
          <w:sz w:val="20"/>
        </w:rPr>
        <w:t>, together with the Unaccredited Investor Cash Consideration, are collectively referred to herein as the “</w:t>
      </w:r>
      <w:r>
        <w:rPr>
          <w:rFonts w:ascii="Times New Roman" w:hAnsi="Times New Roman"/>
          <w:sz w:val="20"/>
          <w:u w:val="single"/>
        </w:rPr>
        <w:t>Merger Consideration</w:t>
      </w:r>
      <w:r>
        <w:rPr>
          <w:rFonts w:ascii="Times New Roman" w:hAnsi="Times New Roman"/>
          <w:sz w:val="20"/>
        </w:rPr>
        <w:t>”. Each holder of a physical certificate (a “</w:t>
      </w:r>
      <w:r>
        <w:rPr>
          <w:rFonts w:ascii="Times New Roman" w:hAnsi="Times New Roman"/>
          <w:sz w:val="20"/>
          <w:u w:val="single"/>
        </w:rPr>
        <w:t>Certificate</w:t>
      </w:r>
      <w:r>
        <w:rPr>
          <w:rFonts w:ascii="Times New Roman" w:hAnsi="Times New Roman"/>
          <w:sz w:val="20"/>
        </w:rPr>
        <w:t>”) that immediately prior to the Effective Time represented any FBB Common Stock or non-certificated shares of FBB Common Stock held in book-entry form (each, a “</w:t>
      </w:r>
      <w:r>
        <w:rPr>
          <w:rFonts w:ascii="Times New Roman" w:hAnsi="Times New Roman"/>
          <w:sz w:val="20"/>
          <w:u w:val="single"/>
        </w:rPr>
        <w:t>Book-Entry Share</w:t>
      </w:r>
      <w:r>
        <w:rPr>
          <w:rFonts w:ascii="Times New Roman" w:hAnsi="Times New Roman"/>
          <w:sz w:val="20"/>
        </w:rPr>
        <w:t xml:space="preserve">”), in each case, converted pursuant to this </w:t>
      </w:r>
      <w:r>
        <w:rPr>
          <w:rFonts w:ascii="Times New Roman" w:hAnsi="Times New Roman"/>
          <w:sz w:val="20"/>
          <w:u w:val="single"/>
        </w:rPr>
        <w:t>Section 2.01(a)</w:t>
      </w:r>
      <w:r>
        <w:rPr>
          <w:rFonts w:ascii="Times New Roman" w:hAnsi="Times New Roman"/>
          <w:sz w:val="20"/>
        </w:rPr>
        <w:t xml:space="preserve">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2.02(d)</w:t>
      </w:r>
      <w:r>
        <w:rPr>
          <w:rFonts w:ascii="Times New Roman" w:hAnsi="Times New Roman"/>
          <w:sz w:val="20"/>
        </w:rPr>
        <w:t xml:space="preserve">, in each case without interest and less, subject to </w:t>
      </w:r>
      <w:r>
        <w:rPr>
          <w:rFonts w:ascii="Times New Roman" w:hAnsi="Times New Roman"/>
          <w:sz w:val="20"/>
          <w:u w:val="single"/>
        </w:rPr>
        <w:t>Section 2.02(h)</w:t>
      </w:r>
      <w:r>
        <w:rPr>
          <w:rFonts w:ascii="Times New Roman" w:hAnsi="Times New Roman"/>
          <w:sz w:val="20"/>
        </w:rPr>
        <w:t xml:space="preserve">,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Excluded Shares</w:t>
      </w:r>
      <w:r>
        <w:rPr>
          <w:rFonts w:ascii="Times New Roman" w:hAnsi="Times New Roman"/>
          <w:sz w:val="20"/>
        </w:rPr>
        <w:t>. Each share of FBB Capital Stock that is directly owned by FBB as treasury stock or otherwise, by DXL or Merger Sub, or by any Subsidiary of any of the foregoing immediately prior to the Effective Time (the “</w:t>
      </w:r>
      <w:r>
        <w:rPr>
          <w:rFonts w:ascii="Times New Roman" w:hAnsi="Times New Roman"/>
          <w:sz w:val="20"/>
          <w:u w:val="single"/>
        </w:rPr>
        <w:t>Excluded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Treatment of Unaccredited Investor Shares</w:t>
      </w:r>
      <w:r>
        <w:rPr>
          <w:rFonts w:ascii="Times New Roman" w:hAnsi="Times New Roman"/>
          <w:sz w:val="20"/>
        </w:rPr>
        <w:t>. Notwithstanding any other provision of this Agreement, each share of FBB Common Stock held immediately prior to the Effective Time by a FBB Stockholder that is an Unaccredited Investor (each, an “</w:t>
      </w:r>
      <w:r>
        <w:rPr>
          <w:rFonts w:ascii="Times New Roman" w:hAnsi="Times New Roman"/>
          <w:sz w:val="20"/>
          <w:u w:val="single"/>
        </w:rPr>
        <w:t>Unaccredited Investor Share</w:t>
      </w:r>
      <w:r>
        <w:rPr>
          <w:rFonts w:ascii="Times New Roman" w:hAnsi="Times New Roman"/>
          <w:sz w:val="20"/>
        </w:rPr>
        <w:t xml:space="preserve">”) shall be converted into the right to receive the Unaccredited Investor Cash Consideration, without any interest thereon. For the avoidance of doubt, no Unaccredited Investor shall receive any stock consideration in the Merger.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Treatment of FBB Warrants</w:t>
      </w:r>
      <w:r>
        <w:rPr>
          <w:rFonts w:ascii="Times New Roman" w:hAnsi="Times New Roman"/>
          <w:sz w:val="20"/>
        </w:rPr>
        <w:t xml:space="preserve">.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Appraisal Rights</w:t>
      </w:r>
      <w:r>
        <w:rPr>
          <w:rFonts w:ascii="Times New Roman" w:hAnsi="Times New Roman"/>
          <w:sz w:val="20"/>
        </w:rPr>
        <w:t xml:space="preserve">.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accordance with, and who have complied with, Section 262 of the DGCL with respect to any such shares held by any such holder (the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 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 and FBB Warrants the same economic effect as contemplated by this Agreement prior to such event; provided that this </w:t>
      </w:r>
      <w:r>
        <w:rPr>
          <w:rFonts w:ascii="Times New Roman" w:hAnsi="Times New Roman"/>
          <w:sz w:val="20"/>
          <w:u w:val="single"/>
        </w:rPr>
        <w:t>Section 2.01(c)</w:t>
      </w:r>
      <w:r>
        <w:rPr>
          <w:rFonts w:ascii="Times New Roman" w:hAnsi="Times New Roman"/>
          <w:sz w:val="20"/>
        </w:rPr>
        <w:t xml:space="preserve"> shall not affect or supersede the provisions of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Capital Stock</w:t>
      </w:r>
      <w:r>
        <w:rPr>
          <w:rFonts w:ascii="Times New Roman" w:hAnsi="Times New Roman"/>
          <w:sz w:val="20"/>
        </w:rPr>
        <w:t xml:space="preserve">.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 </w:t>
      </w:r>
    </w:p>
    <w:p>
      <w:pPr>
        <w:pStyle w:val="TextBody"/>
        <w:bidi w:val="0"/>
        <w:spacing w:before="240" w:after="0"/>
        <w:jc w:val="left"/>
        <w:rPr>
          <w:rFonts w:ascii="Times New Roman" w:hAnsi="Times New Roman"/>
          <w:sz w:val="20"/>
        </w:rPr>
      </w:pPr>
      <w:bookmarkStart w:id="118" w:name="anxa76201_10"/>
      <w:bookmarkEnd w:id="118"/>
      <w:r>
        <w:rPr>
          <w:rFonts w:ascii="Times New Roman" w:hAnsi="Times New Roman"/>
          <w:b/>
          <w:sz w:val="20"/>
        </w:rPr>
        <w:t xml:space="preserve">SECTION 2.02 </w:t>
      </w:r>
      <w:r>
        <w:rPr>
          <w:rFonts w:ascii="Times New Roman" w:hAnsi="Times New Roman"/>
          <w:b/>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Prior to the Effective Time, DXL and FBB shall appoint a commercial bank, trust company or stockholder service provider to be mutually agreed upon by them to act as exchange agent (the “</w:t>
      </w:r>
      <w:r>
        <w:rPr>
          <w:rFonts w:ascii="Times New Roman" w:hAnsi="Times New Roman"/>
          <w:sz w:val="20"/>
          <w:u w:val="single"/>
        </w:rPr>
        <w:t>Exchange Agent</w:t>
      </w:r>
      <w:r>
        <w:rPr>
          <w:rFonts w:ascii="Times New Roman" w:hAnsi="Times New Roman"/>
          <w:sz w:val="20"/>
        </w:rPr>
        <w:t xml:space="preserve">”) for the delivery of the Merger Consideration to holders of FBB Common Stock (together with any cash in respect of any other dividends or distributions that such holders have the right to receive pursuant to </w:t>
      </w:r>
      <w:r>
        <w:rPr>
          <w:rFonts w:ascii="Times New Roman" w:hAnsi="Times New Roman"/>
          <w:sz w:val="20"/>
          <w:u w:val="single"/>
        </w:rPr>
        <w:t>Section 2.02(d)</w:t>
      </w:r>
      <w:r>
        <w:rPr>
          <w:rFonts w:ascii="Times New Roman" w:hAnsi="Times New Roman"/>
          <w:sz w:val="20"/>
        </w:rPr>
        <w:t>).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hAnsi="Times New Roman"/>
          <w:sz w:val="20"/>
          <w:u w:val="single"/>
        </w:rPr>
        <w:t>Final Stockholders Registry</w:t>
      </w:r>
      <w:r>
        <w:rPr>
          <w:rFonts w:ascii="Times New Roman" w:hAnsi="Times New Roman"/>
          <w:sz w:val="20"/>
        </w:rPr>
        <w:t xml:space="preserve">”),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 Registry, for exchange in accordance with this </w:t>
      </w:r>
      <w:r>
        <w:rPr>
          <w:rFonts w:ascii="Times New Roman" w:hAnsi="Times New Roman"/>
          <w:sz w:val="20"/>
          <w:u w:val="single"/>
        </w:rPr>
        <w:t>Article II</w:t>
      </w:r>
      <w:r>
        <w:rPr>
          <w:rFonts w:ascii="Times New Roman" w:hAnsi="Times New Roman"/>
          <w:sz w:val="20"/>
        </w:rPr>
        <w:t xml:space="preserve"> through the Exchange Agent, the DXL Common Stock (in certificated or book-entry form) to be delivered as the Merger Consideration (the “</w:t>
      </w:r>
      <w:r>
        <w:rPr>
          <w:rFonts w:ascii="Times New Roman" w:hAnsi="Times New Roman"/>
          <w:sz w:val="20"/>
          <w:u w:val="single"/>
        </w:rPr>
        <w:t>Exchange Fund</w:t>
      </w:r>
      <w:r>
        <w:rPr>
          <w:rFonts w:ascii="Times New Roman" w:hAnsi="Times New Roman"/>
          <w:sz w:val="20"/>
        </w:rPr>
        <w:t xml:space="preserve">”). Immediately following the Effective Time, DXL shall instruct the Exchange Agent to timely pay the Merger Consideration (including the Unaccredited Investor Cash Consideration) and such other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Deposit of Unaccredited Investor Cash Consideration</w:t>
      </w:r>
      <w:r>
        <w:rPr>
          <w:rFonts w:ascii="Times New Roman" w:hAnsi="Times New Roman"/>
          <w:sz w:val="20"/>
        </w:rPr>
        <w:t>. At least two (2) Business Days prior to the Closing Date, FBB shall deliver to DXL a schedule (the “</w:t>
      </w:r>
      <w:r>
        <w:rPr>
          <w:rFonts w:ascii="Times New Roman" w:hAnsi="Times New Roman"/>
          <w:sz w:val="20"/>
          <w:u w:val="single"/>
        </w:rPr>
        <w:t>Unaccredited Investor Schedule</w:t>
      </w:r>
      <w:r>
        <w:rPr>
          <w:rFonts w:ascii="Times New Roman" w:hAnsi="Times New Roman"/>
          <w:sz w:val="20"/>
        </w:rPr>
        <w:t xml:space="preserve">”),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for the benefit of holders of Unaccredited Investor Shares, cash in immediately available funds in an amount equal to the total amount of Merger Consideration to be paid to the Unaccredited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soon as reasonably practicable after the Effective Time, DXL shall cause the Exchange Agent to mail to each holder of record of a Certificate or Book Entry-Share whose shares will be or were transferred pursuant to </w:t>
      </w:r>
      <w:r>
        <w:rPr>
          <w:rFonts w:ascii="Times New Roman" w:hAnsi="Times New Roman"/>
          <w:sz w:val="20"/>
          <w:u w:val="single"/>
        </w:rPr>
        <w:t>Section 2.01(a)</w:t>
      </w:r>
      <w:r>
        <w:rPr>
          <w:rFonts w:ascii="Times New Roman" w:hAnsi="Times New Roman"/>
          <w:sz w:val="20"/>
        </w:rPr>
        <w:t xml:space="preserve">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 Share pursuant to </w:t>
      </w:r>
      <w:r>
        <w:rPr>
          <w:rFonts w:ascii="Times New Roman" w:hAnsi="Times New Roman"/>
          <w:sz w:val="20"/>
          <w:u w:val="single"/>
        </w:rPr>
        <w:t>Section 2.01(a)</w:t>
      </w:r>
      <w:r>
        <w:rPr>
          <w:rFonts w:ascii="Times New Roman" w:hAnsi="Times New Roman"/>
          <w:sz w:val="20"/>
        </w:rPr>
        <w:t xml:space="preserve"> and a check representing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and the Certificate so surrendered or the Book-Entry Share shall immediately be canceled. Until surrendered as contemplated by this </w:t>
      </w:r>
      <w:r>
        <w:rPr>
          <w:rFonts w:ascii="Times New Roman" w:hAnsi="Times New Roman"/>
          <w:sz w:val="20"/>
          <w:u w:val="single"/>
        </w:rPr>
        <w:t>Section 2.02</w:t>
      </w:r>
      <w:r>
        <w:rPr>
          <w:rFonts w:ascii="Times New Roman" w:hAnsi="Times New Roman"/>
          <w:sz w:val="20"/>
        </w:rPr>
        <w:t xml:space="preserve">,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 Certificate or Book Entry-Share pursuant to </w:t>
      </w:r>
      <w:r>
        <w:rPr>
          <w:rFonts w:ascii="Times New Roman" w:hAnsi="Times New Roman"/>
          <w:sz w:val="20"/>
          <w:u w:val="single"/>
        </w:rPr>
        <w:t>Section 2.01(a)</w:t>
      </w:r>
      <w:r>
        <w:rPr>
          <w:rFonts w:ascii="Times New Roman" w:hAnsi="Times New Roman"/>
          <w:sz w:val="20"/>
        </w:rPr>
        <w:t xml:space="preserve"> (together with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No interest shall be paid or shall accrue on any cash payable upon surrender of any Certificate or Book Entry-Share pursuant to </w:t>
      </w:r>
      <w:r>
        <w:rPr>
          <w:rFonts w:ascii="Times New Roman" w:hAnsi="Times New Roman"/>
          <w:sz w:val="20"/>
          <w:u w:val="single"/>
        </w:rPr>
        <w:t>Section 2.</w:t>
      </w:r>
      <w:r>
        <w:rPr>
          <w:rFonts w:ascii="Times New Roman" w:hAnsi="Times New Roman"/>
          <w:sz w:val="20"/>
        </w:rPr>
        <w:t xml:space="preserve">01(a).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Unexchanged Shares</w:t>
      </w:r>
      <w:r>
        <w:rPr>
          <w:rFonts w:ascii="Times New Roman" w:hAnsi="Times New Roman"/>
          <w:sz w:val="20"/>
        </w:rPr>
        <w:t xml:space="preserve">.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 accordance with this </w:t>
      </w:r>
      <w:r>
        <w:rPr>
          <w:rFonts w:ascii="Times New Roman" w:hAnsi="Times New Roman"/>
          <w:sz w:val="20"/>
          <w:u w:val="single"/>
        </w:rPr>
        <w:t>Article II</w:t>
      </w:r>
      <w:r>
        <w:rPr>
          <w:rFonts w:ascii="Times New Roman" w:hAnsi="Times New Roman"/>
          <w:sz w:val="20"/>
        </w:rPr>
        <w:t xml:space="preserve">.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 the Effective Time previously paid with respect to each share of DXL Common Stock that such holder has the right to receive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Further Ownership Rights in FBB Common Stock</w:t>
      </w:r>
      <w:r>
        <w:rPr>
          <w:rFonts w:ascii="Times New Roman" w:hAnsi="Times New Roman"/>
          <w:sz w:val="20"/>
        </w:rPr>
        <w:t xml:space="preserve">. The DXL Common Stock issued and cash paid in accordance with the terms of this </w:t>
      </w:r>
      <w:r>
        <w:rPr>
          <w:rFonts w:ascii="Times New Roman" w:hAnsi="Times New Roman"/>
          <w:sz w:val="20"/>
          <w:u w:val="single"/>
        </w:rPr>
        <w:t>Article II</w:t>
      </w:r>
      <w:r>
        <w:rPr>
          <w:rFonts w:ascii="Times New Roman" w:hAnsi="Times New Roman"/>
          <w:sz w:val="20"/>
        </w:rPr>
        <w:t xml:space="preserve">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 in accordance with </w:t>
      </w:r>
      <w:r>
        <w:rPr>
          <w:rFonts w:ascii="Times New Roman" w:hAnsi="Times New Roman"/>
          <w:sz w:val="20"/>
          <w:u w:val="single"/>
        </w:rPr>
        <w:t>Section 2.02(d)</w:t>
      </w:r>
      <w:r>
        <w:rPr>
          <w:rFonts w:ascii="Times New Roman" w:hAnsi="Times New Roman"/>
          <w:sz w:val="20"/>
        </w:rPr>
        <w:t xml:space="preserve">, without interest, and (ii) the share registry of FBB shall be closed with respect to all FBB Common Stock outstanding immediately prior to the Effective Time. From and after the 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w:t>
      </w:r>
      <w:r>
        <w:rPr>
          <w:rFonts w:ascii="Times New Roman" w:hAnsi="Times New Roman"/>
          <w:sz w:val="20"/>
          <w:u w:val="single"/>
        </w:rPr>
        <w:t>Article</w:t>
      </w:r>
      <w:r>
        <w:rPr>
          <w:rFonts w:ascii="Times New Roman" w:hAnsi="Times New Roman"/>
          <w:sz w:val="20"/>
        </w:rPr>
        <w:t xml:space="preserve"> II.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hAnsi="Times New Roman"/>
          <w:sz w:val="20"/>
          <w:u w:val="single"/>
        </w:rPr>
        <w:t>Article II</w:t>
      </w:r>
      <w:r>
        <w:rPr>
          <w:rFonts w:ascii="Times New Roman" w:hAnsi="Times New Roman"/>
          <w:sz w:val="20"/>
        </w:rPr>
        <w:t xml:space="preserve"> shall thereafter look only to DXL for satisfaction of its claim for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 Share shall, to the extent permitted by applicable Law, immediately prior to such time become the property of DXL,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Each of DXL, the Exchange Agent, or anyone on their behalf (each a “</w:t>
      </w:r>
      <w:r>
        <w:rPr>
          <w:rFonts w:ascii="Times New Roman" w:hAnsi="Times New Roman"/>
          <w:sz w:val="20"/>
          <w:u w:val="single"/>
        </w:rPr>
        <w:t>Payor</w:t>
      </w:r>
      <w:r>
        <w:rPr>
          <w:rFonts w:ascii="Times New Roman" w:hAnsi="Times New Roman"/>
          <w:sz w:val="20"/>
        </w:rPr>
        <w:t xml:space="preserve">”)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 under the letter of transmittal described under </w:t>
      </w:r>
      <w:r>
        <w:rPr>
          <w:rFonts w:ascii="Times New Roman" w:hAnsi="Times New Roman"/>
          <w:sz w:val="20"/>
          <w:u w:val="single"/>
        </w:rPr>
        <w:t>Section 2.02(c)</w:t>
      </w:r>
      <w:r>
        <w:rPr>
          <w:rFonts w:ascii="Times New Roman" w:hAnsi="Times New Roman"/>
          <w:sz w:val="20"/>
        </w:rPr>
        <w:t xml:space="preserve"> or the failure of FBB to provide the certificate described in </w:t>
      </w:r>
      <w:r>
        <w:rPr>
          <w:rFonts w:ascii="Times New Roman" w:hAnsi="Times New Roman"/>
          <w:sz w:val="20"/>
          <w:u w:val="single"/>
        </w:rPr>
        <w:t>Section 6.08(b)</w:t>
      </w:r>
      <w:r>
        <w:rPr>
          <w:rFonts w:ascii="Times New Roman" w:hAnsi="Times New Roman"/>
          <w:sz w:val="20"/>
        </w:rPr>
        <w:t xml:space="preserve">)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or Unissued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9" w:name="anxa76201_11"/>
      <w:bookmarkEnd w:id="119"/>
      <w:r>
        <w:rPr>
          <w:rFonts w:ascii="Times New Roman" w:hAnsi="Times New Roman"/>
          <w:b/>
          <w:sz w:val="20"/>
        </w:rPr>
        <w:t xml:space="preserve">SECTION 2.03 </w:t>
      </w:r>
      <w:r>
        <w:rPr>
          <w:rFonts w:ascii="Times New Roman" w:hAnsi="Times New Roman"/>
          <w:b/>
          <w:sz w:val="20"/>
          <w:u w:val="single"/>
        </w:rPr>
        <w:t>Stock Transfer Books</w:t>
      </w:r>
      <w:r>
        <w:rPr>
          <w:rFonts w:ascii="Times New Roman" w:hAnsi="Times New Roman"/>
          <w:sz w:val="20"/>
        </w:rPr>
        <w:t xml:space="preserve">. At the Effective Time, the stock transfer books of FBB shall be closed and there shall be no further registration of transfers of FBB Common Stock thereafter on the records of FBB. From and after the Effective Time, the holders of Certificates representing 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0" w:name="anxa76201_12"/>
      <w:bookmarkEnd w:id="120"/>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DXL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 </w:t>
      </w:r>
    </w:p>
    <w:p>
      <w:pPr>
        <w:pStyle w:val="TextBody"/>
        <w:bidi w:val="0"/>
        <w:spacing w:before="240" w:after="0"/>
        <w:jc w:val="left"/>
        <w:rPr>
          <w:rFonts w:ascii="Times New Roman" w:hAnsi="Times New Roman"/>
          <w:sz w:val="20"/>
        </w:rPr>
      </w:pPr>
      <w:bookmarkStart w:id="121" w:name="anxa76201_13"/>
      <w:bookmarkEnd w:id="121"/>
      <w:r>
        <w:rPr>
          <w:rFonts w:ascii="Times New Roman" w:hAnsi="Times New Roman"/>
          <w:b/>
          <w:sz w:val="20"/>
        </w:rPr>
        <w:t xml:space="preserve">SECTION 3.01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DXL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(ii) A true and complete copy of each of the DXL Charter and DXL Bylaws has previously been made available to FBB. DXL is not in violation of any of the provisions of the DXL Charter or DXL Bylaws. </w:t>
      </w:r>
    </w:p>
    <w:p>
      <w:pPr>
        <w:pStyle w:val="TextBody"/>
        <w:bidi w:val="0"/>
        <w:spacing w:before="240" w:after="0"/>
        <w:jc w:val="left"/>
        <w:rPr>
          <w:rFonts w:ascii="Times New Roman" w:hAnsi="Times New Roman"/>
          <w:sz w:val="20"/>
        </w:rPr>
      </w:pPr>
      <w:r>
        <w:rPr>
          <w:rFonts w:ascii="Times New Roman" w:hAnsi="Times New Roman"/>
          <w:sz w:val="20"/>
        </w:rPr>
        <w:t xml:space="preserve">(iii) 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 (B)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true and complete copy of the certificate of incorporation of Merger Sub, as amended and in effect as of the date of this Agreement, has previously been made available to FBB. </w:t>
      </w:r>
    </w:p>
    <w:p>
      <w:pPr>
        <w:pStyle w:val="TextBody"/>
        <w:bidi w:val="0"/>
        <w:spacing w:before="240" w:after="0"/>
        <w:jc w:val="left"/>
        <w:rPr>
          <w:rFonts w:ascii="Times New Roman" w:hAnsi="Times New Roman"/>
          <w:sz w:val="20"/>
        </w:rPr>
      </w:pPr>
      <w:r>
        <w:rPr>
          <w:rFonts w:ascii="Times New Roman" w:hAnsi="Times New Roman"/>
          <w:sz w:val="20"/>
        </w:rPr>
        <w:t xml:space="preserve">(ii) Merger Sub is a company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 and the other Transactions. </w:t>
      </w:r>
    </w:p>
    <w:p>
      <w:pPr>
        <w:pStyle w:val="TextBody"/>
        <w:bidi w:val="0"/>
        <w:spacing w:before="240" w:after="0"/>
        <w:jc w:val="left"/>
        <w:rPr>
          <w:rFonts w:ascii="Times New Roman" w:hAnsi="Times New Roman"/>
          <w:sz w:val="20"/>
        </w:rPr>
      </w:pPr>
      <w:bookmarkStart w:id="122" w:name="anxa76201_14"/>
      <w:bookmarkEnd w:id="122"/>
      <w:r>
        <w:rPr>
          <w:rFonts w:ascii="Times New Roman" w:hAnsi="Times New Roman"/>
          <w:b/>
          <w:sz w:val="20"/>
        </w:rPr>
        <w:t xml:space="preserve">SECTION 3.02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 The authorized share capital of DXL is 126,000,000 shares of capital stock, consisting of 125,000,000 shares of DXL Common Stock and 1,000,000 shares of DXL Preferred Stock (together, the “</w:t>
      </w:r>
      <w:r>
        <w:rPr>
          <w:rFonts w:ascii="Times New Roman" w:hAnsi="Times New Roman"/>
          <w:sz w:val="20"/>
          <w:u w:val="single"/>
        </w:rPr>
        <w:t>DXL Capital Stock</w:t>
      </w:r>
      <w:r>
        <w:rPr>
          <w:rFonts w:ascii="Times New Roman" w:hAnsi="Times New Roman"/>
          <w:sz w:val="20"/>
        </w:rPr>
        <w:t xml:space="preserve">”).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 issued and outstanding. Except as set forth in the second sentence of this </w:t>
      </w:r>
      <w:r>
        <w:rPr>
          <w:rFonts w:ascii="Times New Roman" w:hAnsi="Times New Roman"/>
          <w:sz w:val="20"/>
          <w:u w:val="single"/>
        </w:rPr>
        <w:t>Section 3.02(a)(i)</w:t>
      </w:r>
      <w:r>
        <w:rPr>
          <w:rFonts w:ascii="Times New Roman" w:hAnsi="Times New Roman"/>
          <w:sz w:val="20"/>
        </w:rPr>
        <w:t xml:space="preserve">,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hAnsi="Times New Roman"/>
          <w:sz w:val="20"/>
          <w:u w:val="single"/>
        </w:rPr>
        <w:t>DXL Voting Debt</w:t>
      </w:r>
      <w:r>
        <w:rPr>
          <w:rFonts w:ascii="Times New Roman" w:hAnsi="Times New Roman"/>
          <w:sz w:val="20"/>
        </w:rPr>
        <w:t xml:space="preserv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Equity Interests of the DXL Subsidiaries, which are identified by name, jurisdiction of incorporation or formation, and ownership thereof (including the percentage of such ownership) on </w:t>
      </w:r>
      <w:r>
        <w:rPr>
          <w:rFonts w:ascii="Times New Roman" w:hAnsi="Times New Roman"/>
          <w:sz w:val="20"/>
          <w:u w:val="single"/>
        </w:rPr>
        <w:t>Section 3.02(c)</w:t>
      </w:r>
      <w:r>
        <w:rPr>
          <w:rFonts w:ascii="Times New Roman" w:hAnsi="Times New Roman"/>
          <w:sz w:val="20"/>
        </w:rPr>
        <w:t xml:space="preserve">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 </w:t>
      </w:r>
    </w:p>
    <w:p>
      <w:pPr>
        <w:pStyle w:val="TextBody"/>
        <w:bidi w:val="0"/>
        <w:spacing w:before="240" w:after="0"/>
        <w:jc w:val="left"/>
        <w:rPr>
          <w:rFonts w:ascii="Times New Roman" w:hAnsi="Times New Roman"/>
          <w:sz w:val="20"/>
        </w:rPr>
      </w:pPr>
      <w:bookmarkStart w:id="123" w:name="anxa76201_15"/>
      <w:bookmarkEnd w:id="123"/>
      <w:r>
        <w:rPr>
          <w:rFonts w:ascii="Times New Roman" w:hAnsi="Times New Roman"/>
          <w:b/>
          <w:sz w:val="20"/>
        </w:rPr>
        <w:t xml:space="preserve">SECTION 3.03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 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affirmative vote of a majority of the votes cast at a meeting of the holders of DXL Common Stock to approve the issuance of DXL Common Stock as the Merger Consideration pursuant to the terms of this Agreement (the “</w:t>
      </w:r>
      <w:r>
        <w:rPr>
          <w:rFonts w:ascii="Times New Roman" w:hAnsi="Times New Roman"/>
          <w:sz w:val="20"/>
          <w:u w:val="single"/>
        </w:rPr>
        <w:t>DXL Stockholder Matters</w:t>
      </w:r>
      <w:r>
        <w:rPr>
          <w:rFonts w:ascii="Times New Roman" w:hAnsi="Times New Roman"/>
          <w:sz w:val="20"/>
        </w:rPr>
        <w:t>,” and such meeting, the “</w:t>
      </w:r>
      <w:r>
        <w:rPr>
          <w:rFonts w:ascii="Times New Roman" w:hAnsi="Times New Roman"/>
          <w:sz w:val="20"/>
          <w:u w:val="single"/>
        </w:rPr>
        <w:t>DXL Stockholders</w:t>
      </w:r>
      <w:r>
        <w:rPr>
          <w:rFonts w:ascii="Times New Roman" w:hAnsi="Times New Roman"/>
          <w:sz w:val="20"/>
        </w:rPr>
        <w:t xml:space="preserve"> </w:t>
      </w:r>
      <w:r>
        <w:rPr>
          <w:rFonts w:ascii="Times New Roman" w:hAnsi="Times New Roman"/>
          <w:sz w:val="20"/>
          <w:u w:val="single"/>
        </w:rPr>
        <w:t>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 the only vote of the holders of any Equity Interests of DXL necessary to approve the Merger and the Transactions, including the issuance of the Merger Consideration pursuant to the terms of this Agreement (the “</w:t>
      </w:r>
      <w:r>
        <w:rPr>
          <w:rFonts w:ascii="Times New Roman" w:hAnsi="Times New Roman"/>
          <w:sz w:val="20"/>
          <w:u w:val="single"/>
        </w:rPr>
        <w:t>Required DXL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 in </w:t>
      </w:r>
      <w:r>
        <w:rPr>
          <w:rFonts w:ascii="Times New Roman" w:hAnsi="Times New Roman"/>
          <w:sz w:val="20"/>
          <w:u w:val="single"/>
        </w:rPr>
        <w:t>Section 3.04</w:t>
      </w:r>
      <w:r>
        <w:rPr>
          <w:rFonts w:ascii="Times New Roman" w:hAnsi="Times New Roman"/>
          <w:sz w:val="20"/>
        </w:rPr>
        <w:t xml:space="preserve"> are duly obtained and/or made, (A) violate any order, injunction or decree issued by any court or agency of competent jurisdiction or other legal restraint or prohibition (an “</w:t>
      </w:r>
      <w:r>
        <w:rPr>
          <w:rFonts w:ascii="Times New Roman" w:hAnsi="Times New Roman"/>
          <w:sz w:val="20"/>
          <w:u w:val="single"/>
        </w:rPr>
        <w:t>Injunction</w:t>
      </w:r>
      <w:r>
        <w:rPr>
          <w:rFonts w:ascii="Times New Roman" w:hAnsi="Times New Roman"/>
          <w:sz w:val="20"/>
        </w:rPr>
        <w:t xml:space="preserve">”)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subject to the Enforceability Exceptions. </w:t>
      </w:r>
    </w:p>
    <w:p>
      <w:pPr>
        <w:pStyle w:val="TextBody"/>
        <w:bidi w:val="0"/>
        <w:spacing w:before="240" w:after="0"/>
        <w:jc w:val="left"/>
        <w:rPr>
          <w:rFonts w:ascii="Times New Roman" w:hAnsi="Times New Roman"/>
          <w:sz w:val="20"/>
        </w:rPr>
      </w:pPr>
      <w:bookmarkStart w:id="124" w:name="anxa76201_16"/>
      <w:bookmarkEnd w:id="124"/>
      <w:r>
        <w:rPr>
          <w:rFonts w:ascii="Times New Roman" w:hAnsi="Times New Roman"/>
          <w:b/>
          <w:sz w:val="20"/>
        </w:rPr>
        <w:t xml:space="preserve">SECTION 3.04 </w:t>
      </w:r>
      <w:r>
        <w:rPr>
          <w:rFonts w:ascii="Times New Roman" w:hAnsi="Times New Roman"/>
          <w:b/>
          <w:sz w:val="20"/>
          <w:u w:val="single"/>
        </w:rPr>
        <w:t>Consents and Approvals</w:t>
      </w:r>
      <w:r>
        <w:rPr>
          <w:rFonts w:ascii="Times New Roman" w:hAnsi="Times New Roman"/>
          <w:sz w:val="20"/>
        </w:rPr>
        <w:t>. Except for (a) the furnishing with the SEC of the Proxy Statement, and the filing with the SEC of 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hAnsi="Times New Roman"/>
          <w:sz w:val="20"/>
          <w:u w:val="single"/>
        </w:rPr>
        <w:t>Nasdaq</w:t>
      </w:r>
      <w:r>
        <w:rPr>
          <w:rFonts w:ascii="Times New Roman" w:hAnsi="Times New Roman"/>
          <w:sz w:val="20"/>
        </w:rPr>
        <w:t xml:space="preserve">”)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hAnsi="Times New Roman"/>
          <w:sz w:val="20"/>
          <w:u w:val="single"/>
        </w:rPr>
        <w:t>Governmental Entity</w:t>
      </w:r>
      <w:r>
        <w:rPr>
          <w:rFonts w:ascii="Times New Roman" w:hAnsi="Times New Roman"/>
          <w:sz w:val="20"/>
        </w:rPr>
        <w:t xml:space="preserve">”) are necessary in connection with (i) the execution and delivery by DXL and Merger Sub of this Agreement and (ii) the consummation by DXL and Merger Sub of the Transactions. </w:t>
      </w:r>
    </w:p>
    <w:p>
      <w:pPr>
        <w:pStyle w:val="TextBody"/>
        <w:bidi w:val="0"/>
        <w:spacing w:before="240" w:after="0"/>
        <w:jc w:val="left"/>
        <w:rPr>
          <w:rFonts w:ascii="Times New Roman" w:hAnsi="Times New Roman"/>
          <w:sz w:val="20"/>
        </w:rPr>
      </w:pPr>
      <w:bookmarkStart w:id="125" w:name="anxa76201_17"/>
      <w:bookmarkEnd w:id="125"/>
      <w:r>
        <w:rPr>
          <w:rFonts w:ascii="Times New Roman" w:hAnsi="Times New Roman"/>
          <w:b/>
          <w:sz w:val="20"/>
        </w:rPr>
        <w:t xml:space="preserve">SECTION 3.05 </w:t>
      </w:r>
      <w:r>
        <w:rPr>
          <w:rFonts w:ascii="Times New Roman" w:hAnsi="Times New Roman"/>
          <w:b/>
          <w:sz w:val="20"/>
          <w:u w:val="single"/>
        </w:rPr>
        <w:t>Reports</w:t>
      </w:r>
      <w:r>
        <w:rPr>
          <w:rFonts w:ascii="Times New Roman" w:hAnsi="Times New Roman"/>
          <w:sz w:val="20"/>
        </w:rPr>
        <w:t>. DXL and each of the DXL Subsidiaries have timely filed all submissions, reports, registrations, schedules, forms, 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hAnsi="Times New Roman"/>
          <w:sz w:val="20"/>
          <w:u w:val="single"/>
        </w:rPr>
        <w:t>DXL SEC Reports</w:t>
      </w:r>
      <w:r>
        <w:rPr>
          <w:rFonts w:ascii="Times New Roman" w:hAnsi="Times New Roman"/>
          <w:sz w:val="20"/>
        </w:rPr>
        <w:t xml:space="preserve">”), (b) any state or other federal regulatory authority (other than any Tax Authority, which is covered by </w:t>
      </w:r>
      <w:r>
        <w:rPr>
          <w:rFonts w:ascii="Times New Roman" w:hAnsi="Times New Roman"/>
          <w:sz w:val="20"/>
          <w:u w:val="single"/>
        </w:rPr>
        <w:t>Section 3.10</w:t>
      </w:r>
      <w:r>
        <w:rPr>
          <w:rFonts w:ascii="Times New Roman" w:hAnsi="Times New Roman"/>
          <w:sz w:val="20"/>
        </w:rPr>
        <w:t xml:space="preserve">) and (c) any foreign regulatory authority (other than any Tax Authority, which is covered by </w:t>
      </w:r>
      <w:r>
        <w:rPr>
          <w:rFonts w:ascii="Times New Roman" w:hAnsi="Times New Roman"/>
          <w:sz w:val="20"/>
          <w:u w:val="single"/>
        </w:rPr>
        <w:t>Section 3.10</w:t>
      </w:r>
      <w:r>
        <w:rPr>
          <w:rFonts w:ascii="Times New Roman" w:hAnsi="Times New Roman"/>
          <w:sz w:val="20"/>
        </w:rPr>
        <w:t>) (collectively, “</w:t>
      </w:r>
      <w:r>
        <w:rPr>
          <w:rFonts w:ascii="Times New Roman" w:hAnsi="Times New Roman"/>
          <w:sz w:val="20"/>
          <w:u w:val="single"/>
        </w:rPr>
        <w:t>Regulatory Agencies</w:t>
      </w:r>
      <w:r>
        <w:rPr>
          <w:rFonts w:ascii="Times New Roman" w:hAnsi="Times New Roman"/>
          <w:sz w:val="20"/>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hAnsi="Times New Roman"/>
          <w:sz w:val="20"/>
          <w:u w:val="single"/>
        </w:rPr>
        <w:t>Sarbanes-</w:t>
      </w:r>
      <w:r>
        <w:rPr>
          <w:rFonts w:ascii="Times New Roman" w:hAnsi="Times New Roman"/>
          <w:sz w:val="20"/>
        </w:rPr>
        <w:t xml:space="preserve"> </w:t>
      </w:r>
      <w:r>
        <w:rPr>
          <w:rFonts w:ascii="Times New Roman" w:hAnsi="Times New Roman"/>
          <w:sz w:val="20"/>
          <w:u w:val="single"/>
        </w:rPr>
        <w:t>Oxley Act</w:t>
      </w:r>
      <w:r>
        <w:rPr>
          <w:rFonts w:ascii="Times New Roman" w:hAnsi="Times New Roman"/>
          <w:sz w:val="20"/>
        </w:rPr>
        <w:t xml:space="preserve">”)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 </w:t>
      </w:r>
    </w:p>
    <w:p>
      <w:pPr>
        <w:pStyle w:val="TextBody"/>
        <w:bidi w:val="0"/>
        <w:spacing w:before="240" w:after="0"/>
        <w:jc w:val="left"/>
        <w:rPr>
          <w:rFonts w:ascii="Times New Roman" w:hAnsi="Times New Roman"/>
          <w:sz w:val="20"/>
        </w:rPr>
      </w:pPr>
      <w:bookmarkStart w:id="126" w:name="anxa76201_18"/>
      <w:bookmarkEnd w:id="126"/>
      <w:r>
        <w:rPr>
          <w:rFonts w:ascii="Times New Roman" w:hAnsi="Times New Roman"/>
          <w:b/>
          <w:sz w:val="20"/>
        </w:rPr>
        <w:t xml:space="preserve">SECTION 3.06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consolidated financial statements of DXL filed in, or furnished with, the DXL SEC Reports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 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role in the preparation of financial statements or the internal accounting controls utilized by DXL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 </w:t>
      </w:r>
    </w:p>
    <w:p>
      <w:pPr>
        <w:pStyle w:val="TextBody"/>
        <w:bidi w:val="0"/>
        <w:spacing w:before="240" w:after="0"/>
        <w:jc w:val="left"/>
        <w:rPr>
          <w:rFonts w:ascii="Times New Roman" w:hAnsi="Times New Roman"/>
          <w:sz w:val="20"/>
        </w:rPr>
      </w:pPr>
      <w:bookmarkStart w:id="127" w:name="anxa76201_19"/>
      <w:bookmarkEnd w:id="127"/>
      <w:r>
        <w:rPr>
          <w:rFonts w:ascii="Times New Roman" w:hAnsi="Times New Roman"/>
          <w:b/>
          <w:sz w:val="20"/>
        </w:rPr>
        <w:t xml:space="preserve">SECTION 3.07 </w:t>
      </w:r>
      <w:r>
        <w:rPr>
          <w:rFonts w:ascii="Times New Roman" w:hAnsi="Times New Roman"/>
          <w:b/>
          <w:sz w:val="20"/>
          <w:u w:val="single"/>
        </w:rPr>
        <w:t>Advisors’ Fees</w:t>
      </w:r>
      <w:r>
        <w:rPr>
          <w:rFonts w:ascii="Times New Roman" w:hAnsi="Times New Roman"/>
          <w:sz w:val="20"/>
        </w:rPr>
        <w:t>. None of DXL, any DXL Subsidiary or any of their respective officers or directors has employed any broker, finder, investment banker or financial advisor (each, an “</w:t>
      </w:r>
      <w:r>
        <w:rPr>
          <w:rFonts w:ascii="Times New Roman" w:hAnsi="Times New Roman"/>
          <w:sz w:val="20"/>
          <w:u w:val="single"/>
        </w:rPr>
        <w:t>Advisor</w:t>
      </w:r>
      <w:r>
        <w:rPr>
          <w:rFonts w:ascii="Times New Roman" w:hAnsi="Times New Roman"/>
          <w:sz w:val="20"/>
        </w:rPr>
        <w:t>”), or incurred any liability for any broker’s fees, commissions, finder’s fees or other Advisor fees, in connection with the Merger or other Transactions, other than Guggenheim Securities, LLC (“</w:t>
      </w:r>
      <w:r>
        <w:rPr>
          <w:rFonts w:ascii="Times New Roman" w:hAnsi="Times New Roman"/>
          <w:sz w:val="20"/>
          <w:u w:val="single"/>
        </w:rPr>
        <w:t>DXL’s Financial Advisor</w:t>
      </w:r>
      <w:r>
        <w:rPr>
          <w:rFonts w:ascii="Times New Roman" w:hAnsi="Times New Roman"/>
          <w:sz w:val="20"/>
        </w:rPr>
        <w:t xml:space="preserve">“). DXL retained DXL’s Financial Advisor pursuant to an engagement letter and has delivered to FBB a true and complete copy of such engagement letter. </w:t>
      </w:r>
    </w:p>
    <w:p>
      <w:pPr>
        <w:pStyle w:val="TextBody"/>
        <w:bidi w:val="0"/>
        <w:spacing w:before="240" w:after="0"/>
        <w:jc w:val="left"/>
        <w:rPr>
          <w:rFonts w:ascii="Times New Roman" w:hAnsi="Times New Roman"/>
          <w:sz w:val="20"/>
        </w:rPr>
      </w:pPr>
      <w:bookmarkStart w:id="128" w:name="anxa76201_20"/>
      <w:bookmarkEnd w:id="128"/>
      <w:r>
        <w:rPr>
          <w:rFonts w:ascii="Times New Roman" w:hAnsi="Times New Roman"/>
          <w:b/>
          <w:sz w:val="20"/>
        </w:rPr>
        <w:t xml:space="preserve">SECTION 3.08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February 1, 2025, through the date of this Agreement, no event or events or development or developments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29" w:name="anxa76201_21"/>
      <w:bookmarkEnd w:id="129"/>
      <w:r>
        <w:rPr>
          <w:rFonts w:ascii="Times New Roman" w:hAnsi="Times New Roman"/>
          <w:b/>
          <w:sz w:val="20"/>
        </w:rPr>
        <w:t xml:space="preserve">SECTION 3.09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hAnsi="Times New Roman"/>
          <w:sz w:val="20"/>
          <w:u w:val="single"/>
        </w:rPr>
        <w:t>Proceedings</w:t>
      </w:r>
      <w:r>
        <w:rPr>
          <w:rFonts w:ascii="Times New Roman" w:hAnsi="Times New Roman"/>
          <w:sz w:val="20"/>
        </w:rPr>
        <w:t xml:space="preserve">”)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Injunction, judgment or regulatory restriction imposed upon DXL, any of the DXL Subsidiaries or the assets of DXL or any of the DXL Subsidiaries. </w:t>
      </w:r>
    </w:p>
    <w:p>
      <w:pPr>
        <w:pStyle w:val="TextBody"/>
        <w:bidi w:val="0"/>
        <w:spacing w:before="240" w:after="0"/>
        <w:jc w:val="left"/>
        <w:rPr>
          <w:rFonts w:ascii="Times New Roman" w:hAnsi="Times New Roman"/>
          <w:sz w:val="20"/>
        </w:rPr>
      </w:pPr>
      <w:bookmarkStart w:id="130" w:name="anxa76201_22"/>
      <w:bookmarkEnd w:id="130"/>
      <w:r>
        <w:rPr>
          <w:rFonts w:ascii="Times New Roman" w:hAnsi="Times New Roman"/>
          <w:b/>
          <w:sz w:val="20"/>
        </w:rPr>
        <w:t xml:space="preserve">SECTION 3.10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(i) All Tax Returns required by Law to be filed by DXL and the DXL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DXL and the DXL Subsidiaries and all other amounts of Taxes owed by DXL and the DXL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DXL nor the DXL Subsidiaries has constituted either a “distributing corporation” or a “controlled corporation” in a distribution of stock qualifying for tax-free treatment under Section 355 of the Code in the prior two (2) years. </w:t>
      </w:r>
    </w:p>
    <w:p>
      <w:pPr>
        <w:pStyle w:val="TextBody"/>
        <w:bidi w:val="0"/>
        <w:spacing w:before="240" w:after="0"/>
        <w:jc w:val="left"/>
        <w:rPr>
          <w:rFonts w:ascii="Times New Roman" w:hAnsi="Times New Roman"/>
          <w:sz w:val="20"/>
        </w:rPr>
      </w:pPr>
      <w:r>
        <w:rPr>
          <w:rFonts w:ascii="Times New Roman" w:hAnsi="Times New Roman"/>
          <w:sz w:val="20"/>
        </w:rPr>
        <w:t xml:space="preserve">(vi) Neither DXL nor the DXL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 DXL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Neither DXL nor the DXL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31" w:name="anxa76201_23"/>
      <w:bookmarkEnd w:id="131"/>
      <w:r>
        <w:rPr>
          <w:rFonts w:ascii="Times New Roman" w:hAnsi="Times New Roman"/>
          <w:b/>
          <w:sz w:val="20"/>
        </w:rPr>
        <w:t xml:space="preserve">SECTION 3.11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DXL Benefit Plan</w:t>
      </w:r>
      <w:r>
        <w:rPr>
          <w:rFonts w:ascii="Times New Roman" w:hAnsi="Times New Roman"/>
          <w:sz w:val="20"/>
        </w:rPr>
        <w:t>” shall mean each benefit or compensation plan, arrangement, agreement, policy or program, including any “employee welfare plan” within the meaning of Section 3(1) of the Employee Retirement Income Security Act of 1974 (“</w:t>
      </w:r>
      <w:r>
        <w:rPr>
          <w:rFonts w:ascii="Times New Roman" w:hAnsi="Times New Roman"/>
          <w:sz w:val="20"/>
          <w:u w:val="single"/>
        </w:rPr>
        <w:t>ERISA</w:t>
      </w:r>
      <w:r>
        <w:rPr>
          <w:rFonts w:ascii="Times New Roman" w:hAnsi="Times New Roman"/>
          <w:sz w:val="20"/>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 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 liability, excluding, in each case, any “multiemployer plan” within the meaning of Section 4001(a)(3) of ERISA (a “</w:t>
      </w:r>
      <w:r>
        <w:rPr>
          <w:rFonts w:ascii="Times New Roman" w:hAnsi="Times New Roman"/>
          <w:sz w:val="20"/>
          <w:u w:val="single"/>
        </w:rPr>
        <w:t>Multiemployer Plan</w:t>
      </w:r>
      <w:r>
        <w:rPr>
          <w:rFonts w:ascii="Times New Roman" w:hAnsi="Times New Roman"/>
          <w:sz w:val="20"/>
        </w:rPr>
        <w:t xml:space="preserve">”). </w:t>
      </w:r>
      <w:r>
        <w:rPr>
          <w:rFonts w:ascii="Times New Roman" w:hAnsi="Times New Roman"/>
          <w:sz w:val="20"/>
          <w:u w:val="single"/>
        </w:rPr>
        <w:t>Section 3.11(a)</w:t>
      </w:r>
      <w:r>
        <w:rPr>
          <w:rFonts w:ascii="Times New Roman" w:hAnsi="Times New Roman"/>
          <w:sz w:val="20"/>
        </w:rPr>
        <w:t xml:space="preserve"> of the DXL Disclosure Schedule contains a true and complete list of each material DXL Benefit Plan; provided, for the avoidance of doubt, that the following need not be set forth on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3.11(a)</w:t>
      </w:r>
      <w:r>
        <w:rPr>
          <w:rFonts w:ascii="Times New Roman" w:hAnsi="Times New Roman"/>
          <w:sz w:val="20"/>
        </w:rPr>
        <w:t xml:space="preserve">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 (x) 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DXL nor any DXL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3.11(d)</w:t>
      </w:r>
      <w:r>
        <w:rPr>
          <w:rFonts w:ascii="Times New Roman" w:hAnsi="Times New Roman"/>
          <w:sz w:val="20"/>
        </w:rPr>
        <w:t xml:space="preserve">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3.11(e)</w:t>
      </w:r>
      <w:r>
        <w:rPr>
          <w:rFonts w:ascii="Times New Roman" w:hAnsi="Times New Roman"/>
          <w:sz w:val="20"/>
        </w:rPr>
        <w:t xml:space="preserv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DXL nor any DXL Subsidiary is a party to, nor does any of them have any obligation under any DXL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DXL, any DXL Subsidiary or any DXL ERISA Affiliate (a “</w:t>
      </w:r>
      <w:r>
        <w:rPr>
          <w:rFonts w:ascii="Times New Roman" w:hAnsi="Times New Roman"/>
          <w:sz w:val="20"/>
          <w:u w:val="single"/>
        </w:rPr>
        <w:t>DXL Multiemployer Plan</w:t>
      </w:r>
      <w:r>
        <w:rPr>
          <w:rFonts w:ascii="Times New Roman" w:hAnsi="Times New Roman"/>
          <w:sz w:val="20"/>
        </w:rPr>
        <w:t xml:space="preserve">”), as of the date of this Agreement, is listed in </w:t>
      </w:r>
      <w:r>
        <w:rPr>
          <w:rFonts w:ascii="Times New Roman" w:hAnsi="Times New Roman"/>
          <w:sz w:val="20"/>
          <w:u w:val="single"/>
        </w:rPr>
        <w:t>Section 3.11(i)</w:t>
      </w:r>
      <w:r>
        <w:rPr>
          <w:rFonts w:ascii="Times New Roman" w:hAnsi="Times New Roman"/>
          <w:sz w:val="20"/>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32" w:name="anxa76201_24"/>
      <w:bookmarkEnd w:id="132"/>
      <w:r>
        <w:rPr>
          <w:rFonts w:ascii="Times New Roman" w:hAnsi="Times New Roman"/>
          <w:b/>
          <w:sz w:val="20"/>
        </w:rPr>
        <w:t xml:space="preserve">SECTION 3.12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DXL Disclosure Schedule sets forth, as of the close of business on November 26, 2025, a complete and correct list of all current employees of DXL and the DXL Subsidiaries (“</w:t>
      </w:r>
      <w:r>
        <w:rPr>
          <w:rFonts w:ascii="Times New Roman" w:hAnsi="Times New Roman"/>
          <w:sz w:val="20"/>
          <w:u w:val="single"/>
        </w:rPr>
        <w:t>DXL Employees</w:t>
      </w:r>
      <w:r>
        <w:rPr>
          <w:rFonts w:ascii="Times New Roman" w:hAnsi="Times New Roman"/>
          <w:sz w:val="20"/>
        </w:rPr>
        <w:t>”), including their respective titles, whether such employee is classified as exempt or non-exempt pursuant to the Fair Labor Standards Act (“</w:t>
      </w:r>
      <w:r>
        <w:rPr>
          <w:rFonts w:ascii="Times New Roman" w:hAnsi="Times New Roman"/>
          <w:sz w:val="20"/>
          <w:u w:val="single"/>
        </w:rPr>
        <w:t>FLSA</w:t>
      </w:r>
      <w:r>
        <w:rPr>
          <w:rFonts w:ascii="Times New Roman" w:hAnsi="Times New Roman"/>
          <w:sz w:val="20"/>
        </w:rPr>
        <w:t xml:space="preserve">”), current compensation (including base salary (if classified as exempt) or hourly wage rate (if classified as non-exempt), current target bonus entitlement and other incentive or contingent compensation), status as full-time or part- 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 work stoppage or, to DXL’s Knowledge, threat thereof by or with respect to any employees of DXL or any DXL Subsidiary. </w:t>
      </w:r>
    </w:p>
    <w:p>
      <w:pPr>
        <w:pStyle w:val="TextBody"/>
        <w:bidi w:val="0"/>
        <w:spacing w:before="240" w:after="0"/>
        <w:jc w:val="left"/>
        <w:rPr>
          <w:rFonts w:ascii="Times New Roman" w:hAnsi="Times New Roman"/>
          <w:sz w:val="20"/>
        </w:rPr>
      </w:pPr>
      <w:r>
        <w:rPr>
          <w:rFonts w:ascii="Times New Roman" w:hAnsi="Times New Roman"/>
          <w:sz w:val="20"/>
        </w:rPr>
        <w:t>(c) In the three (3) years prior to the date hereof, neither DXL or any DXL Subsidiary has effectuated (i) a “plant closing” (as defined in the Worker Adjustment and Retraining Notification Act (“</w:t>
      </w:r>
      <w:r>
        <w:rPr>
          <w:rFonts w:ascii="Times New Roman" w:hAnsi="Times New Roman"/>
          <w:sz w:val="20"/>
          <w:u w:val="single"/>
        </w:rPr>
        <w:t>WARN</w:t>
      </w:r>
      <w:r>
        <w:rPr>
          <w:rFonts w:ascii="Times New Roman" w:hAnsi="Times New Roman"/>
          <w:sz w:val="20"/>
        </w:rPr>
        <w:t xml:space="preserve">”)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(d) 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hAnsi="Times New Roman"/>
          <w:sz w:val="20"/>
          <w:u w:val="single"/>
        </w:rPr>
        <w:t>Employment Matters</w:t>
      </w:r>
      <w:r>
        <w:rPr>
          <w:rFonts w:ascii="Times New Roman" w:hAnsi="Times New Roman"/>
          <w:sz w:val="20"/>
        </w:rPr>
        <w:t xml:space="preserve">”).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(f) 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33" w:name="anxa76201_25"/>
      <w:bookmarkEnd w:id="133"/>
      <w:r>
        <w:rPr>
          <w:rFonts w:ascii="Times New Roman" w:hAnsi="Times New Roman"/>
          <w:b/>
          <w:sz w:val="20"/>
        </w:rPr>
        <w:t xml:space="preserve">SECTION 3.13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DXL and its Subsidiaries, taken as a whole, DXL has designed and maintains a system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76201_26"/>
      <w:bookmarkEnd w:id="134"/>
      <w:r>
        <w:rPr>
          <w:rFonts w:ascii="Times New Roman" w:hAnsi="Times New Roman"/>
          <w:b/>
          <w:sz w:val="20"/>
        </w:rPr>
        <w:t xml:space="preserve">SECTION 3.14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hAnsi="Times New Roman"/>
          <w:sz w:val="20"/>
          <w:u w:val="single"/>
        </w:rPr>
        <w:t>Law</w:t>
      </w:r>
      <w:r>
        <w:rPr>
          <w:rFonts w:ascii="Times New Roman" w:hAnsi="Times New Roman"/>
          <w:sz w:val="20"/>
        </w:rPr>
        <w:t>” and collectively, “</w:t>
      </w:r>
      <w:r>
        <w:rPr>
          <w:rFonts w:ascii="Times New Roman" w:hAnsi="Times New Roman"/>
          <w:sz w:val="20"/>
          <w:u w:val="single"/>
        </w:rPr>
        <w:t>Laws</w:t>
      </w:r>
      <w:r>
        <w:rPr>
          <w:rFonts w:ascii="Times New Roman" w:hAnsi="Times New Roman"/>
          <w:sz w:val="20"/>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hAnsi="Times New Roman"/>
          <w:sz w:val="20"/>
          <w:u w:val="single"/>
        </w:rPr>
        <w:t>Licenses</w:t>
      </w:r>
      <w:r>
        <w:rPr>
          <w:rFonts w:ascii="Times New Roman" w:hAnsi="Times New Roman"/>
          <w:sz w:val="20"/>
        </w:rPr>
        <w:t>” and the terms “</w:t>
      </w:r>
      <w:r>
        <w:rPr>
          <w:rFonts w:ascii="Times New Roman" w:hAnsi="Times New Roman"/>
          <w:sz w:val="20"/>
          <w:u w:val="single"/>
        </w:rPr>
        <w:t>DXL Licenses</w:t>
      </w:r>
      <w:r>
        <w:rPr>
          <w:rFonts w:ascii="Times New Roman" w:hAnsi="Times New Roman"/>
          <w:sz w:val="20"/>
        </w:rPr>
        <w:t>” and “</w:t>
      </w:r>
      <w:r>
        <w:rPr>
          <w:rFonts w:ascii="Times New Roman" w:hAnsi="Times New Roman"/>
          <w:sz w:val="20"/>
          <w:u w:val="single"/>
        </w:rPr>
        <w:t>FBB Licenses</w:t>
      </w:r>
      <w:r>
        <w:rPr>
          <w:rFonts w:ascii="Times New Roman" w:hAnsi="Times New Roman"/>
          <w:sz w:val="20"/>
        </w:rPr>
        <w:t xml:space="preserve">” will mean Licenses of DXL or any of the DXL Subsidiaries or FBB, respectively)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 event has occurred which, with notice or the lapse of time or both, would constitute a default or violation, in any material respect, of any term, condition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 </w:t>
      </w:r>
    </w:p>
    <w:p>
      <w:pPr>
        <w:pStyle w:val="TextBody"/>
        <w:bidi w:val="0"/>
        <w:spacing w:before="240" w:after="0"/>
        <w:jc w:val="left"/>
        <w:rPr>
          <w:rFonts w:ascii="Times New Roman" w:hAnsi="Times New Roman"/>
          <w:sz w:val="20"/>
        </w:rPr>
      </w:pPr>
      <w:bookmarkStart w:id="135" w:name="anxa76201_27"/>
      <w:bookmarkEnd w:id="135"/>
      <w:r>
        <w:rPr>
          <w:rFonts w:ascii="Times New Roman" w:hAnsi="Times New Roman"/>
          <w:b/>
          <w:sz w:val="20"/>
        </w:rPr>
        <w:t xml:space="preserve">SECTION 3.15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hAnsi="Times New Roman"/>
          <w:sz w:val="20"/>
          <w:u w:val="single"/>
        </w:rPr>
        <w:t>DXL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DXL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 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 provides for the grant to DXL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DXL IP Rights other than non-exclusive licenses to a contractor or service provider of DXL or the DXL Subsidiaries entered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containing any royalty, dividend or similar arrangement based on the revenues or profits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with any Governmental Entity or a subcontractor to any Governmental Entity in connection with such DXL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 K promulgated by the SEC) of any such officer, director or owner (other than DXL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(xiv) 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as set forth elsewhere on </w:t>
      </w:r>
      <w:r>
        <w:rPr>
          <w:rFonts w:ascii="Times New Roman" w:hAnsi="Times New Roman"/>
          <w:sz w:val="20"/>
          <w:u w:val="single"/>
        </w:rPr>
        <w:t>Section 3.15(a)</w:t>
      </w:r>
      <w:r>
        <w:rPr>
          <w:rFonts w:ascii="Times New Roman" w:hAnsi="Times New Roman"/>
          <w:sz w:val="20"/>
        </w:rPr>
        <w:t xml:space="preserve"> of the DXL Disclosure Schedule, and excluding customary confidentiality and non-disclosure agreements, all other Contracts that are material to the business or operations of DXL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 has provided notice to DXL or any of its Subsidiaries that it intends to terminate any DXL Material Contract or with respect to any breach or default in any material respect of any DXL Material Contract. </w:t>
      </w:r>
    </w:p>
    <w:p>
      <w:pPr>
        <w:pStyle w:val="TextBody"/>
        <w:bidi w:val="0"/>
        <w:spacing w:before="240" w:after="0"/>
        <w:jc w:val="left"/>
        <w:rPr>
          <w:rFonts w:ascii="Times New Roman" w:hAnsi="Times New Roman"/>
          <w:sz w:val="20"/>
        </w:rPr>
      </w:pPr>
      <w:bookmarkStart w:id="136" w:name="anxa76201_28"/>
      <w:bookmarkEnd w:id="136"/>
      <w:r>
        <w:rPr>
          <w:rFonts w:ascii="Times New Roman" w:hAnsi="Times New Roman"/>
          <w:b/>
          <w:sz w:val="20"/>
        </w:rPr>
        <w:t xml:space="preserve">SECTION 3.16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possesses and is in compliance with all Environmental Permits necessary in all material respects to conduct its businesses and operations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DXL, there have been no Releases of, or exposure to, any Hazardous Materials that would reasonably be expected result in any material Environmental Claim or liability.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Environmental Laws</w:t>
      </w:r>
      <w:r>
        <w:rPr>
          <w:rFonts w:ascii="Times New Roman" w:hAnsi="Times New Roman"/>
          <w:sz w:val="20"/>
        </w:rPr>
        <w:t xml:space="preserve">”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 </w:t>
      </w:r>
    </w:p>
    <w:p>
      <w:pPr>
        <w:pStyle w:val="TextBody"/>
        <w:bidi w:val="0"/>
        <w:spacing w:before="36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Environmental Permits</w:t>
      </w:r>
      <w:r>
        <w:rPr>
          <w:rFonts w:ascii="Times New Roman" w:hAnsi="Times New Roman"/>
          <w:sz w:val="20"/>
        </w:rPr>
        <w:t xml:space="preserve">” means all Licenses required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Hazardous Materials</w:t>
      </w:r>
      <w:r>
        <w:rPr>
          <w:rFonts w:ascii="Times New Roman" w:hAnsi="Times New Roman"/>
          <w:sz w:val="20"/>
        </w:rPr>
        <w:t>” means all hazardous, toxic, explosive or radioactive substances, wastes or other pollutants, including petroleum or petroleum distillates, asbestos or asbestos-containing material, polychlorinated biphenyls (“</w:t>
      </w:r>
      <w:r>
        <w:rPr>
          <w:rFonts w:ascii="Times New Roman" w:hAnsi="Times New Roman"/>
          <w:sz w:val="20"/>
          <w:u w:val="single"/>
        </w:rPr>
        <w:t>PCBs</w:t>
      </w:r>
      <w:r>
        <w:rPr>
          <w:rFonts w:ascii="Times New Roman" w:hAnsi="Times New Roman"/>
          <w:sz w:val="20"/>
        </w:rPr>
        <w:t xml:space="preserve">”) or PCB-containing materials or equipment, radon gas, infectious or medical wastes and all other substances or wastes that in relevant form or concentration are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 </w:t>
      </w:r>
    </w:p>
    <w:p>
      <w:pPr>
        <w:pStyle w:val="TextBody"/>
        <w:bidi w:val="0"/>
        <w:spacing w:before="240" w:after="0"/>
        <w:jc w:val="left"/>
        <w:rPr>
          <w:rFonts w:ascii="Times New Roman" w:hAnsi="Times New Roman"/>
          <w:sz w:val="20"/>
        </w:rPr>
      </w:pPr>
      <w:bookmarkStart w:id="137" w:name="anxa76201_29"/>
      <w:bookmarkEnd w:id="137"/>
      <w:r>
        <w:rPr>
          <w:rFonts w:ascii="Times New Roman" w:hAnsi="Times New Roman"/>
          <w:b/>
          <w:sz w:val="20"/>
        </w:rPr>
        <w:t xml:space="preserve">SECTION 3.17 </w:t>
      </w:r>
      <w:r>
        <w:rPr>
          <w:rFonts w:ascii="Times New Roman" w:hAnsi="Times New Roman"/>
          <w:b/>
          <w:sz w:val="20"/>
          <w:u w:val="single"/>
        </w:rPr>
        <w:t>Takeover Laws</w:t>
      </w:r>
      <w:r>
        <w:rPr>
          <w:rFonts w:ascii="Times New Roman" w:hAnsi="Times New Roman"/>
          <w:sz w:val="20"/>
        </w:rPr>
        <w:t xml:space="preserve">. Assuming the representations and warranties of FBB set forth in </w:t>
      </w:r>
      <w:r>
        <w:rPr>
          <w:rFonts w:ascii="Times New Roman" w:hAnsi="Times New Roman"/>
          <w:sz w:val="20"/>
          <w:u w:val="single"/>
        </w:rPr>
        <w:t>Section 4.02</w:t>
      </w:r>
      <w:r>
        <w:rPr>
          <w:rFonts w:ascii="Times New Roman" w:hAnsi="Times New Roman"/>
          <w:sz w:val="20"/>
        </w:rPr>
        <w:t xml:space="preserve"> are true and correct, as of 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hAnsi="Times New Roman"/>
          <w:sz w:val="20"/>
          <w:u w:val="single"/>
        </w:rPr>
        <w:t>Takeover Statute</w:t>
      </w:r>
      <w:r>
        <w:rPr>
          <w:rFonts w:ascii="Times New Roman" w:hAnsi="Times New Roman"/>
          <w:sz w:val="20"/>
        </w:rPr>
        <w:t xml:space="preserve">”) or any takeover-related provision in the DXL Charter applicable to the Merger or the other Transactions. </w:t>
      </w:r>
    </w:p>
    <w:p>
      <w:pPr>
        <w:pStyle w:val="TextBody"/>
        <w:bidi w:val="0"/>
        <w:spacing w:before="240" w:after="0"/>
        <w:jc w:val="left"/>
        <w:rPr>
          <w:rFonts w:ascii="Times New Roman" w:hAnsi="Times New Roman"/>
          <w:sz w:val="20"/>
        </w:rPr>
      </w:pPr>
      <w:bookmarkStart w:id="138" w:name="anxa76201_30"/>
      <w:bookmarkEnd w:id="138"/>
      <w:r>
        <w:rPr>
          <w:rFonts w:ascii="Times New Roman" w:hAnsi="Times New Roman"/>
          <w:b/>
          <w:sz w:val="20"/>
        </w:rPr>
        <w:t xml:space="preserve">SECTION 3.18 </w:t>
      </w:r>
      <w:r>
        <w:rPr>
          <w:rFonts w:ascii="Times New Roman" w:hAnsi="Times New Roman"/>
          <w:b/>
          <w:sz w:val="20"/>
          <w:u w:val="single"/>
        </w:rPr>
        <w:t>DXL Information</w:t>
      </w:r>
      <w:r>
        <w:rPr>
          <w:rFonts w:ascii="Times New Roman" w:hAnsi="Times New Roman"/>
          <w:sz w:val="20"/>
        </w:rPr>
        <w:t xml:space="preserve">. The information relating to DXL that is provided by DXL or DXL’s Representatives for inclusion in the Proxy Statement, or in any other document filed with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39" w:name="anxa76201_31"/>
      <w:bookmarkEnd w:id="139"/>
      <w:r>
        <w:rPr>
          <w:rFonts w:ascii="Times New Roman" w:hAnsi="Times New Roman"/>
          <w:b/>
          <w:sz w:val="20"/>
        </w:rPr>
        <w:t xml:space="preserve">SECTION 3.19 </w:t>
      </w:r>
      <w:r>
        <w:rPr>
          <w:rFonts w:ascii="Times New Roman" w:hAnsi="Times New Roman"/>
          <w:b/>
          <w:sz w:val="20"/>
          <w:u w:val="single"/>
        </w:rPr>
        <w:t>Affiliate Transactions</w:t>
      </w:r>
      <w:r>
        <w:rPr>
          <w:rFonts w:ascii="Times New Roman" w:hAnsi="Times New Roman"/>
          <w:sz w:val="20"/>
        </w:rPr>
        <w:t xml:space="preserve">. Except as disclosed in DXL’s most recently filed annual report on Form 10-K, as of the date of this 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 </w:t>
      </w:r>
    </w:p>
    <w:p>
      <w:pPr>
        <w:pStyle w:val="TextBody"/>
        <w:bidi w:val="0"/>
        <w:spacing w:before="240" w:after="0"/>
        <w:jc w:val="left"/>
        <w:rPr>
          <w:rFonts w:ascii="Times New Roman" w:hAnsi="Times New Roman"/>
          <w:sz w:val="20"/>
        </w:rPr>
      </w:pPr>
      <w:bookmarkStart w:id="140" w:name="anxa76201_32"/>
      <w:bookmarkEnd w:id="140"/>
      <w:r>
        <w:rPr>
          <w:rFonts w:ascii="Times New Roman" w:hAnsi="Times New Roman"/>
          <w:b/>
          <w:sz w:val="20"/>
        </w:rPr>
        <w:t xml:space="preserve">SECTION 3.20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3.20(b)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 nor the DXL Subsidiaries have received 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DXL Disclosure Schedule sets forth, as of the date of this Agreement, a complete and accurate list of Registered IP included in the DXL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 </w:t>
      </w:r>
    </w:p>
    <w:p>
      <w:pPr>
        <w:pStyle w:val="TextBody"/>
        <w:bidi w:val="0"/>
        <w:spacing w:before="240" w:after="0"/>
        <w:jc w:val="left"/>
        <w:rPr>
          <w:rFonts w:ascii="Times New Roman" w:hAnsi="Times New Roman"/>
          <w:sz w:val="20"/>
        </w:rPr>
      </w:pPr>
      <w:bookmarkStart w:id="141" w:name="anxa76201_33"/>
      <w:bookmarkEnd w:id="141"/>
      <w:r>
        <w:rPr>
          <w:rFonts w:ascii="Times New Roman" w:hAnsi="Times New Roman"/>
          <w:b/>
          <w:sz w:val="20"/>
        </w:rPr>
        <w:t xml:space="preserve">SECTION 3.21 </w:t>
      </w:r>
      <w:r>
        <w:rPr>
          <w:rFonts w:ascii="Times New Roman" w:hAnsi="Times New Roman"/>
          <w:b/>
          <w:sz w:val="20"/>
          <w:u w:val="single"/>
        </w:rPr>
        <w:t>Title to Assets</w:t>
      </w:r>
      <w:r>
        <w:rPr>
          <w:rFonts w:ascii="Times New Roman" w:hAnsi="Times New Roman"/>
          <w:sz w:val="20"/>
        </w:rPr>
        <w:t xml:space="preserve">. Each of DXL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 </w:t>
      </w:r>
    </w:p>
    <w:p>
      <w:pPr>
        <w:pStyle w:val="TextBody"/>
        <w:bidi w:val="0"/>
        <w:spacing w:before="240" w:after="0"/>
        <w:jc w:val="left"/>
        <w:rPr>
          <w:rFonts w:ascii="Times New Roman" w:hAnsi="Times New Roman"/>
          <w:sz w:val="20"/>
        </w:rPr>
      </w:pPr>
      <w:bookmarkStart w:id="142" w:name="anxa76201_34"/>
      <w:bookmarkEnd w:id="142"/>
      <w:r>
        <w:rPr>
          <w:rFonts w:ascii="Times New Roman" w:hAnsi="Times New Roman"/>
          <w:b/>
          <w:sz w:val="20"/>
        </w:rPr>
        <w:t xml:space="preserve">SECTION 3.22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3.22(a)</w:t>
      </w:r>
      <w:r>
        <w:rPr>
          <w:rFonts w:ascii="Times New Roman" w:hAnsi="Times New Roman"/>
          <w:sz w:val="20"/>
        </w:rPr>
        <w:t xml:space="preserve">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hAnsi="Times New Roman"/>
          <w:sz w:val="20"/>
          <w:u w:val="single"/>
        </w:rPr>
        <w:t>DXL Owned Real Property</w:t>
      </w:r>
      <w:r>
        <w:rPr>
          <w:rFonts w:ascii="Times New Roman" w:hAnsi="Times New Roman"/>
          <w:sz w:val="20"/>
        </w:rPr>
        <w:t xml:space="preserve">”).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 Neither DXL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3.22(b</w:t>
      </w:r>
      <w:r>
        <w:rPr>
          <w:rFonts w:ascii="Times New Roman" w:hAnsi="Times New Roman"/>
          <w:sz w:val="20"/>
        </w:rPr>
        <w:t>)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hAnsi="Times New Roman"/>
          <w:sz w:val="20"/>
          <w:u w:val="single"/>
        </w:rPr>
        <w:t>DXL Leased Real Property</w:t>
      </w:r>
      <w:r>
        <w:rPr>
          <w:rFonts w:ascii="Times New Roman" w:hAnsi="Times New Roman"/>
          <w:sz w:val="20"/>
        </w:rPr>
        <w:t>”), free and clear of all Liens, except for Permitted Liens; (ii) as of the date hereof, each lease or sublease with respect to the DXL Leased Real Property (each, a “</w:t>
      </w:r>
      <w:r>
        <w:rPr>
          <w:rFonts w:ascii="Times New Roman" w:hAnsi="Times New Roman"/>
          <w:sz w:val="20"/>
          <w:u w:val="single"/>
        </w:rPr>
        <w:t>DXL Real Property Lease</w:t>
      </w:r>
      <w:r>
        <w:rPr>
          <w:rFonts w:ascii="Times New Roman" w:hAnsi="Times New Roman"/>
          <w:sz w:val="20"/>
        </w:rPr>
        <w:t xml:space="preserve">”)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w:t>
      </w:r>
    </w:p>
    <w:p>
      <w:pPr>
        <w:pStyle w:val="TextBody"/>
        <w:bidi w:val="0"/>
        <w:spacing w:before="0" w:after="0"/>
        <w:jc w:val="left"/>
        <w:rPr>
          <w:rFonts w:ascii="Times New Roman" w:hAnsi="Times New Roman"/>
          <w:sz w:val="20"/>
        </w:rPr>
      </w:pPr>
      <w:r>
        <w:rPr>
          <w:rFonts w:ascii="Times New Roman" w:hAnsi="Times New Roman"/>
          <w:sz w:val="20"/>
        </w:rPr>
        <w:t xml:space="preserve">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DXL Owned Real Property set forth on </w:t>
      </w:r>
      <w:r>
        <w:rPr>
          <w:rFonts w:ascii="Times New Roman" w:hAnsi="Times New Roman"/>
          <w:sz w:val="20"/>
          <w:u w:val="single"/>
        </w:rPr>
        <w:t>Section 3.22(a)</w:t>
      </w:r>
      <w:r>
        <w:rPr>
          <w:rFonts w:ascii="Times New Roman" w:hAnsi="Times New Roman"/>
          <w:sz w:val="20"/>
        </w:rPr>
        <w:t xml:space="preserve"> of the DXL Disclosure Schedule and the DXL Leased Real Property set forth on </w:t>
      </w:r>
      <w:r>
        <w:rPr>
          <w:rFonts w:ascii="Times New Roman" w:hAnsi="Times New Roman"/>
          <w:sz w:val="20"/>
          <w:u w:val="single"/>
        </w:rPr>
        <w:t>Section 3.22(b)</w:t>
      </w:r>
      <w:r>
        <w:rPr>
          <w:rFonts w:ascii="Times New Roman" w:hAnsi="Times New Roman"/>
          <w:sz w:val="20"/>
        </w:rPr>
        <w:t xml:space="preserve"> of the DXL Disclosure Schedule comprise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DXL’s Knowledge, there are no material structural or other physical defects or deficiencies in the condition of the DXL Owned Real Property and DXL Leased Real Property, and there 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 </w:t>
      </w:r>
    </w:p>
    <w:p>
      <w:pPr>
        <w:pStyle w:val="TextBody"/>
        <w:bidi w:val="0"/>
        <w:spacing w:before="240" w:after="0"/>
        <w:jc w:val="left"/>
        <w:rPr>
          <w:rFonts w:ascii="Times New Roman" w:hAnsi="Times New Roman"/>
          <w:sz w:val="20"/>
        </w:rPr>
      </w:pPr>
      <w:bookmarkStart w:id="143" w:name="anxa76201_35"/>
      <w:bookmarkEnd w:id="143"/>
      <w:r>
        <w:rPr>
          <w:rFonts w:ascii="Times New Roman" w:hAnsi="Times New Roman"/>
          <w:b/>
          <w:sz w:val="20"/>
        </w:rPr>
        <w:t xml:space="preserve">SECTION 3.23 </w:t>
      </w:r>
      <w:r>
        <w:rPr>
          <w:rFonts w:ascii="Times New Roman" w:hAnsi="Times New Roman"/>
          <w:b/>
          <w:sz w:val="20"/>
          <w:u w:val="single"/>
        </w:rPr>
        <w:t>Anti-Corruption Laws</w:t>
      </w:r>
      <w:r>
        <w:rPr>
          <w:rFonts w:ascii="Times New Roman" w:hAnsi="Times New Roman"/>
          <w:sz w:val="20"/>
        </w:rPr>
        <w:t>. None of DXL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hAnsi="Times New Roman"/>
          <w:sz w:val="20"/>
          <w:u w:val="single"/>
        </w:rPr>
        <w:t>Anti-Corruption Laws</w:t>
      </w:r>
      <w:r>
        <w:rPr>
          <w:rFonts w:ascii="Times New Roman" w:hAnsi="Times New Roman"/>
          <w:sz w:val="20"/>
        </w:rPr>
        <w:t xml:space="preserve">”). Neither DXL nor any of its Subsidiaries is or has been the subject of any investigation or inquiry by any Governmental Entity with respect to potential violations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4" w:name="anxa76201_36"/>
      <w:bookmarkEnd w:id="144"/>
      <w:r>
        <w:rPr>
          <w:rFonts w:ascii="Times New Roman" w:hAnsi="Times New Roman"/>
          <w:b/>
          <w:sz w:val="20"/>
        </w:rPr>
        <w:t xml:space="preserve">SECTION 3.24 </w:t>
      </w:r>
      <w:r>
        <w:rPr>
          <w:rFonts w:ascii="Times New Roman" w:hAnsi="Times New Roman"/>
          <w:b/>
          <w:sz w:val="20"/>
          <w:u w:val="single"/>
        </w:rPr>
        <w:t>Fairness Opinion</w:t>
      </w:r>
      <w:r>
        <w:rPr>
          <w:rFonts w:ascii="Times New Roman" w:hAnsi="Times New Roman"/>
          <w:sz w:val="20"/>
        </w:rPr>
        <w:t>. Prior to the execution of this Agreement, the DXL Board has received the oral opinion (to be confirmed 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hAnsi="Times New Roman"/>
          <w:sz w:val="20"/>
          <w:u w:val="single"/>
        </w:rPr>
        <w:t>DXL Fairness Opinion</w:t>
      </w:r>
      <w:r>
        <w:rPr>
          <w:rFonts w:ascii="Times New Roman" w:hAnsi="Times New Roman"/>
          <w:sz w:val="20"/>
        </w:rPr>
        <w:t xml:space="preserve">”). Such DXL Fairness Opinion has not been amended or rescinded as of the date of this Agreement. Copies of the written opinion of DXL’s Financial Advisor will be delivered to FBB for informational purposes only reasonably promptly following receipt thereof by DXL. </w:t>
      </w:r>
    </w:p>
    <w:p>
      <w:pPr>
        <w:pStyle w:val="TextBody"/>
        <w:bidi w:val="0"/>
        <w:spacing w:before="240" w:after="0"/>
        <w:jc w:val="left"/>
        <w:rPr>
          <w:rFonts w:ascii="Times New Roman" w:hAnsi="Times New Roman"/>
          <w:sz w:val="20"/>
        </w:rPr>
      </w:pPr>
      <w:bookmarkStart w:id="145" w:name="anxa76201_37"/>
      <w:bookmarkEnd w:id="145"/>
      <w:r>
        <w:rPr>
          <w:rFonts w:ascii="Times New Roman" w:hAnsi="Times New Roman"/>
          <w:b/>
          <w:sz w:val="20"/>
        </w:rPr>
        <w:t xml:space="preserve">SECTION 3.25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3.25</w:t>
      </w:r>
      <w:r>
        <w:rPr>
          <w:rFonts w:ascii="Times New Roman" w:hAnsi="Times New Roman"/>
          <w:sz w:val="20"/>
        </w:rPr>
        <w:t xml:space="preserve"> of the DXL Disclosure Schedule contains a complete and accurate list of all material policies of 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 </w:t>
      </w:r>
    </w:p>
    <w:p>
      <w:pPr>
        <w:pStyle w:val="TextBody"/>
        <w:bidi w:val="0"/>
        <w:spacing w:before="240" w:after="0"/>
        <w:jc w:val="left"/>
        <w:rPr>
          <w:rFonts w:ascii="Times New Roman" w:hAnsi="Times New Roman"/>
          <w:sz w:val="20"/>
        </w:rPr>
      </w:pPr>
      <w:bookmarkStart w:id="146" w:name="anxa76201_38"/>
      <w:bookmarkEnd w:id="146"/>
      <w:r>
        <w:rPr>
          <w:rFonts w:ascii="Times New Roman" w:hAnsi="Times New Roman"/>
          <w:b/>
          <w:sz w:val="20"/>
        </w:rPr>
        <w:t xml:space="preserve">SECTION 3.26 </w:t>
      </w:r>
      <w:r>
        <w:rPr>
          <w:rFonts w:ascii="Times New Roman" w:hAnsi="Times New Roman"/>
          <w:b/>
          <w:sz w:val="20"/>
          <w:u w:val="single"/>
        </w:rPr>
        <w:t>No Other Representations or Warranties; Reliance</w:t>
      </w:r>
      <w:r>
        <w:rPr>
          <w:rFonts w:ascii="Times New Roman" w:hAnsi="Times New Roman"/>
          <w:sz w:val="20"/>
        </w:rPr>
        <w:t xml:space="preserve">. Except for the express representations and warranties contained in 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w:t>
      </w:r>
      <w:r>
        <w:rPr>
          <w:rFonts w:ascii="Times New Roman" w:hAnsi="Times New Roman"/>
          <w:sz w:val="20"/>
          <w:u w:val="single"/>
        </w:rPr>
        <w:t>Article IV</w:t>
      </w:r>
      <w:r>
        <w:rPr>
          <w:rFonts w:ascii="Times New Roman" w:hAnsi="Times New Roman"/>
          <w:sz w:val="20"/>
        </w:rPr>
        <w:t xml:space="preserve">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 </w:t>
      </w:r>
    </w:p>
    <w:p>
      <w:pPr>
        <w:pStyle w:val="TextBody"/>
        <w:bidi w:val="0"/>
        <w:spacing w:before="480" w:after="0"/>
        <w:jc w:val="center"/>
        <w:rPr>
          <w:rFonts w:ascii="Times New Roman" w:hAnsi="Times New Roman"/>
          <w:b/>
          <w:sz w:val="20"/>
        </w:rPr>
      </w:pPr>
      <w:bookmarkStart w:id="147" w:name="anxa76201_39"/>
      <w:bookmarkEnd w:id="147"/>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FBB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FBB Disclosure Schedule (it being understood that any disclosure set forth in one section or subsection of the FBB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 </w:t>
      </w:r>
    </w:p>
    <w:p>
      <w:pPr>
        <w:pStyle w:val="TextBody"/>
        <w:bidi w:val="0"/>
        <w:spacing w:before="120" w:after="0"/>
        <w:jc w:val="left"/>
        <w:rPr>
          <w:rFonts w:ascii="Times New Roman" w:hAnsi="Times New Roman"/>
          <w:sz w:val="20"/>
        </w:rPr>
      </w:pPr>
      <w:bookmarkStart w:id="148" w:name="anxa76201_40"/>
      <w:bookmarkEnd w:id="148"/>
      <w:r>
        <w:rPr>
          <w:rFonts w:ascii="Times New Roman" w:hAnsi="Times New Roman"/>
          <w:b/>
          <w:sz w:val="20"/>
        </w:rPr>
        <w:t xml:space="preserve">SECTION 4.01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A true and complete copy of each of the FBB Charter and FBB Bylaws has previously been made available to DXL. FBB is not in violation of any of the provisions of the FBB Charter or FBB Bylaws. </w:t>
      </w:r>
    </w:p>
    <w:p>
      <w:pPr>
        <w:pStyle w:val="TextBody"/>
        <w:bidi w:val="0"/>
        <w:spacing w:before="240" w:after="0"/>
        <w:jc w:val="left"/>
        <w:rPr>
          <w:rFonts w:ascii="Times New Roman" w:hAnsi="Times New Roman"/>
          <w:sz w:val="20"/>
        </w:rPr>
      </w:pPr>
      <w:r>
        <w:rPr>
          <w:rFonts w:ascii="Times New Roman" w:hAnsi="Times New Roman"/>
          <w:sz w:val="20"/>
        </w:rPr>
        <w:t xml:space="preserve">(c) 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bookmarkStart w:id="149" w:name="anxa76201_41"/>
      <w:bookmarkEnd w:id="149"/>
      <w:r>
        <w:rPr>
          <w:rFonts w:ascii="Times New Roman" w:hAnsi="Times New Roman"/>
          <w:b/>
          <w:sz w:val="20"/>
        </w:rPr>
        <w:t xml:space="preserve">SECTION 4.02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authorized share capital of FBB is 1,870,000 shares of capital stock, consisting of 1,700,000 shares of FBB Common Stock and 170,000 shares of FBB Preferred Stock (together, the “</w:t>
      </w:r>
      <w:r>
        <w:rPr>
          <w:rFonts w:ascii="Times New Roman" w:hAnsi="Times New Roman"/>
          <w:sz w:val="20"/>
          <w:u w:val="single"/>
        </w:rPr>
        <w:t>FBB Capital Stock</w:t>
      </w:r>
      <w:r>
        <w:rPr>
          <w:rFonts w:ascii="Times New Roman" w:hAnsi="Times New Roman"/>
          <w:sz w:val="20"/>
        </w:rPr>
        <w:t xml:space="preserve">”).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 Preferred Stock or FBB Warrants. Except as set forth in the second sentence of this </w:t>
      </w:r>
      <w:r>
        <w:rPr>
          <w:rFonts w:ascii="Times New Roman" w:hAnsi="Times New Roman"/>
          <w:sz w:val="20"/>
          <w:u w:val="single"/>
        </w:rPr>
        <w:t>Section 4.02(a)(i)</w:t>
      </w:r>
      <w:r>
        <w:rPr>
          <w:rFonts w:ascii="Times New Roman" w:hAnsi="Times New Roman"/>
          <w:sz w:val="20"/>
        </w:rPr>
        <w:t xml:space="preserve">,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 FBB Charter or any Contract to which FBB is a party or by which it is otherwise bound. </w:t>
      </w:r>
      <w:r>
        <w:rPr>
          <w:rFonts w:ascii="Times New Roman" w:hAnsi="Times New Roman"/>
          <w:sz w:val="20"/>
          <w:u w:val="single"/>
        </w:rPr>
        <w:t>Section 4.02(a)</w:t>
      </w:r>
      <w:r>
        <w:rPr>
          <w:rFonts w:ascii="Times New Roman" w:hAnsi="Times New Roman"/>
          <w:sz w:val="20"/>
        </w:rPr>
        <w:t xml:space="preserve"> of the FBB Disclosure Schedule contains a true, correct and complete ledger of all holders of the FBB Capital Stock as of the date hereof, including the name and address of each holder, the number and class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hAnsi="Times New Roman"/>
          <w:sz w:val="20"/>
          <w:u w:val="single"/>
        </w:rPr>
        <w:t>FBB Voting Debt</w:t>
      </w:r>
      <w:r>
        <w:rPr>
          <w:rFonts w:ascii="Times New Roman" w:hAnsi="Times New Roman"/>
          <w:sz w:val="20"/>
        </w:rPr>
        <w:t xml:space="preserve">”) are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for the Equity Interests of the FBB Subsidiaries, which are identified by name, jurisdiction of incorporation or formation, and ownership thereof (including the percentage of such ownership) on </w:t>
      </w:r>
      <w:r>
        <w:rPr>
          <w:rFonts w:ascii="Times New Roman" w:hAnsi="Times New Roman"/>
          <w:sz w:val="20"/>
          <w:u w:val="single"/>
        </w:rPr>
        <w:t>Section 4.02(c)</w:t>
      </w:r>
      <w:r>
        <w:rPr>
          <w:rFonts w:ascii="Times New Roman" w:hAnsi="Times New Roman"/>
          <w:sz w:val="20"/>
        </w:rPr>
        <w:t xml:space="preserve">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 </w:t>
      </w:r>
    </w:p>
    <w:p>
      <w:pPr>
        <w:pStyle w:val="TextBody"/>
        <w:bidi w:val="0"/>
        <w:spacing w:before="240" w:after="0"/>
        <w:jc w:val="left"/>
        <w:rPr>
          <w:rFonts w:ascii="Times New Roman" w:hAnsi="Times New Roman"/>
          <w:sz w:val="20"/>
        </w:rPr>
      </w:pPr>
      <w:bookmarkStart w:id="150" w:name="anxa76201_42"/>
      <w:bookmarkEnd w:id="150"/>
      <w:r>
        <w:rPr>
          <w:rFonts w:ascii="Times New Roman" w:hAnsi="Times New Roman"/>
          <w:b/>
          <w:sz w:val="20"/>
        </w:rPr>
        <w:t xml:space="preserve">SECTION 4.03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hAnsi="Times New Roman"/>
          <w:sz w:val="20"/>
          <w:u w:val="single"/>
        </w:rPr>
        <w:t>FBB Stockholder Approval</w:t>
      </w:r>
      <w:r>
        <w:rPr>
          <w:rFonts w:ascii="Times New Roman" w:hAnsi="Times New Roman"/>
          <w:sz w:val="20"/>
        </w:rPr>
        <w:t xml:space="preserve">”),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of this Agreement by FBB nor the consummation by FBB of the Merger, the FBB Charter Amendment, the COD Amendment or the other Transactions, nor compliance by FBB with any of the terms or provisions of this Agreement, will (i) violate any provision of the FBB Charter or FBB Bylaws or (ii) assuming that the consents, approvals and filings referred to in </w:t>
      </w:r>
      <w:r>
        <w:rPr>
          <w:rFonts w:ascii="Times New Roman" w:hAnsi="Times New Roman"/>
          <w:sz w:val="20"/>
          <w:u w:val="single"/>
        </w:rPr>
        <w:t>Section 4.04</w:t>
      </w:r>
      <w:r>
        <w:rPr>
          <w:rFonts w:ascii="Times New Roman" w:hAnsi="Times New Roman"/>
          <w:sz w:val="20"/>
        </w:rPr>
        <w:t xml:space="preserve"> are duly obtained and/or made, (A) 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 </w:t>
      </w:r>
    </w:p>
    <w:p>
      <w:pPr>
        <w:pStyle w:val="TextBody"/>
        <w:bidi w:val="0"/>
        <w:spacing w:before="240" w:after="0"/>
        <w:jc w:val="left"/>
        <w:rPr>
          <w:rFonts w:ascii="Times New Roman" w:hAnsi="Times New Roman"/>
          <w:sz w:val="20"/>
        </w:rPr>
      </w:pPr>
      <w:bookmarkStart w:id="151" w:name="anxa76201_43"/>
      <w:bookmarkEnd w:id="151"/>
      <w:r>
        <w:rPr>
          <w:rFonts w:ascii="Times New Roman" w:hAnsi="Times New Roman"/>
          <w:b/>
          <w:sz w:val="20"/>
        </w:rPr>
        <w:t xml:space="preserve">SECTION 4.04 </w:t>
      </w:r>
      <w:r>
        <w:rPr>
          <w:rFonts w:ascii="Times New Roman" w:hAnsi="Times New Roman"/>
          <w:b/>
          <w:sz w:val="20"/>
          <w:u w:val="single"/>
        </w:rPr>
        <w:t>Consents and Approvals</w:t>
      </w:r>
      <w:r>
        <w:rPr>
          <w:rFonts w:ascii="Times New Roman" w:hAnsi="Times New Roman"/>
          <w:sz w:val="20"/>
        </w:rPr>
        <w:t xml:space="preserve">. Except for (a) the filing of the Certificate of Merger in accordance with the DGCL, (b) 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 (d) any filings required under the rules and regulations of Nasdaq and (e)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 </w:t>
      </w:r>
    </w:p>
    <w:p>
      <w:pPr>
        <w:pStyle w:val="TextBody"/>
        <w:bidi w:val="0"/>
        <w:spacing w:before="240" w:after="0"/>
        <w:jc w:val="left"/>
        <w:rPr>
          <w:rFonts w:ascii="Times New Roman" w:hAnsi="Times New Roman"/>
          <w:sz w:val="20"/>
        </w:rPr>
      </w:pPr>
      <w:bookmarkStart w:id="152" w:name="anxa76201_44"/>
      <w:bookmarkEnd w:id="152"/>
      <w:r>
        <w:rPr>
          <w:rFonts w:ascii="Times New Roman" w:hAnsi="Times New Roman"/>
          <w:b/>
          <w:sz w:val="20"/>
        </w:rPr>
        <w:t xml:space="preserve">SECTION 4.05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w:t>
      </w:r>
      <w:r>
        <w:rPr>
          <w:rFonts w:ascii="Times New Roman" w:hAnsi="Times New Roman"/>
          <w:sz w:val="20"/>
        </w:rPr>
        <w:t xml:space="preserve">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hAnsi="Times New Roman"/>
          <w:sz w:val="20"/>
          <w:u w:val="single"/>
        </w:rPr>
        <w:t>FBB Financial Statements</w:t>
      </w:r>
      <w:r>
        <w:rPr>
          <w:rFonts w:ascii="Times New Roman" w:hAnsi="Times New Roman"/>
          <w:sz w:val="20"/>
        </w:rPr>
        <w:t xml:space="preserve">”).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 </w:t>
      </w:r>
    </w:p>
    <w:p>
      <w:pPr>
        <w:pStyle w:val="TextBody"/>
        <w:bidi w:val="0"/>
        <w:spacing w:before="240" w:after="0"/>
        <w:jc w:val="left"/>
        <w:rPr>
          <w:rFonts w:ascii="Times New Roman" w:hAnsi="Times New Roman"/>
          <w:sz w:val="20"/>
        </w:rPr>
      </w:pPr>
      <w:bookmarkStart w:id="153" w:name="anxa76201_45"/>
      <w:bookmarkEnd w:id="153"/>
      <w:r>
        <w:rPr>
          <w:rFonts w:ascii="Times New Roman" w:hAnsi="Times New Roman"/>
          <w:b/>
          <w:sz w:val="20"/>
        </w:rPr>
        <w:t xml:space="preserve">SECTION 4.06 </w:t>
      </w:r>
      <w:r>
        <w:rPr>
          <w:rFonts w:ascii="Times New Roman" w:hAnsi="Times New Roman"/>
          <w:b/>
          <w:sz w:val="20"/>
          <w:u w:val="single"/>
        </w:rPr>
        <w:t>Advisors’ Fees</w:t>
      </w:r>
      <w:r>
        <w:rPr>
          <w:rFonts w:ascii="Times New Roman" w:hAnsi="Times New Roman"/>
          <w:sz w:val="20"/>
        </w:rPr>
        <w:t>. None of FBB, any FBB Subsidiary or any of their respective officers or directors has employed any Advisor, or incurred any liability for any broker’s fees, commissions, finder’s fees or other Advisor fees, in connection with the Merger or other Transactions, other than Rothschild &amp; Co (“</w:t>
      </w:r>
      <w:r>
        <w:rPr>
          <w:rFonts w:ascii="Times New Roman" w:hAnsi="Times New Roman"/>
          <w:sz w:val="20"/>
          <w:u w:val="single"/>
        </w:rPr>
        <w:t>FBB’s Financial Advisor</w:t>
      </w:r>
      <w:r>
        <w:rPr>
          <w:rFonts w:ascii="Times New Roman" w:hAnsi="Times New Roman"/>
          <w:sz w:val="20"/>
        </w:rPr>
        <w:t xml:space="preserve">”). FBB retained FBB’s Financial Advisor pursuant to an engagement letter and has delivered to DXL a true and complete copy of such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4" w:name="anxa76201_46"/>
      <w:bookmarkEnd w:id="154"/>
      <w:r>
        <w:rPr>
          <w:rFonts w:ascii="Times New Roman" w:hAnsi="Times New Roman"/>
          <w:b/>
          <w:sz w:val="20"/>
        </w:rPr>
        <w:t xml:space="preserve">SECTION 4.07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28, 2024, through the date of this Agreement, no event or events or development or developments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55" w:name="anxa76201_47"/>
      <w:bookmarkEnd w:id="155"/>
      <w:r>
        <w:rPr>
          <w:rFonts w:ascii="Times New Roman" w:hAnsi="Times New Roman"/>
          <w:b/>
          <w:sz w:val="20"/>
        </w:rPr>
        <w:t xml:space="preserve">SECTION 4.08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Injunction, judgment or regulatory restriction imposed upon FBB, any of the FBB Subsidiaries or the assets of FBB or any of the FBB Subsidiaries. </w:t>
      </w:r>
    </w:p>
    <w:p>
      <w:pPr>
        <w:pStyle w:val="TextBody"/>
        <w:bidi w:val="0"/>
        <w:spacing w:before="240" w:after="0"/>
        <w:jc w:val="left"/>
        <w:rPr>
          <w:rFonts w:ascii="Times New Roman" w:hAnsi="Times New Roman"/>
          <w:sz w:val="20"/>
        </w:rPr>
      </w:pPr>
      <w:bookmarkStart w:id="156" w:name="anxa76201_48"/>
      <w:bookmarkEnd w:id="156"/>
      <w:r>
        <w:rPr>
          <w:rFonts w:ascii="Times New Roman" w:hAnsi="Times New Roman"/>
          <w:b/>
          <w:sz w:val="20"/>
        </w:rPr>
        <w:t xml:space="preserve">SECTION 4.09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FBB: </w:t>
      </w:r>
    </w:p>
    <w:p>
      <w:pPr>
        <w:pStyle w:val="TextBody"/>
        <w:bidi w:val="0"/>
        <w:spacing w:before="120" w:after="0"/>
        <w:jc w:val="left"/>
        <w:rPr>
          <w:rFonts w:ascii="Times New Roman" w:hAnsi="Times New Roman"/>
          <w:sz w:val="20"/>
        </w:rPr>
      </w:pPr>
      <w:r>
        <w:rPr>
          <w:rFonts w:ascii="Times New Roman" w:hAnsi="Times New Roman"/>
          <w:sz w:val="20"/>
        </w:rPr>
        <w:t xml:space="preserve">(i) All Tax Returns required by Law to be filed by FBB and the FBB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FBB and the FBB Subsidiaries and all other amounts of Taxes owed by FBB and the FBB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FBB nor the FBB Subsidiaries has constituted either a “distributing corporation” or a “controlled corporation” in a distribution of stock qualifying for tax-free treatment under Section 355 of the Code in the prior two (2)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Neither FBB nor the FBB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360" w:after="0"/>
        <w:jc w:val="left"/>
        <w:rPr>
          <w:rFonts w:ascii="Times New Roman" w:hAnsi="Times New Roman"/>
          <w:sz w:val="20"/>
        </w:rPr>
      </w:pPr>
      <w:r>
        <w:rPr>
          <w:rFonts w:ascii="Times New Roman" w:hAnsi="Times New Roman"/>
          <w:sz w:val="20"/>
        </w:rPr>
        <w:t xml:space="preserve">(ix) 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(xi) 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(xii) FBB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(xiii) Neither FBB nor the FBB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57" w:name="anxa76201_49"/>
      <w:bookmarkEnd w:id="157"/>
      <w:r>
        <w:rPr>
          <w:rFonts w:ascii="Times New Roman" w:hAnsi="Times New Roman"/>
          <w:b/>
          <w:sz w:val="20"/>
        </w:rPr>
        <w:t xml:space="preserve">SECTION 4.10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FBB Benefit Plan</w:t>
      </w:r>
      <w:r>
        <w:rPr>
          <w:rFonts w:ascii="Times New Roman" w:hAnsi="Times New Roman"/>
          <w:sz w:val="20"/>
        </w:rPr>
        <w:t xml:space="preserve">”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 consultants to, FBB or with respect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directly or indirectly, has any liability, excluding, in each case, any Multiemployer Plan. </w:t>
      </w:r>
      <w:r>
        <w:rPr>
          <w:rFonts w:ascii="Times New Roman" w:hAnsi="Times New Roman"/>
          <w:sz w:val="20"/>
          <w:u w:val="single"/>
        </w:rPr>
        <w:t>Section 4.10(a)</w:t>
      </w:r>
      <w:r>
        <w:rPr>
          <w:rFonts w:ascii="Times New Roman" w:hAnsi="Times New Roman"/>
          <w:sz w:val="20"/>
        </w:rPr>
        <w:t xml:space="preserve">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 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 (vi) 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FBB nor any FBB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FBB nor any FBB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by this Agreement or as set forth on </w:t>
      </w:r>
      <w:r>
        <w:rPr>
          <w:rFonts w:ascii="Times New Roman" w:hAnsi="Times New Roman"/>
          <w:sz w:val="20"/>
          <w:u w:val="single"/>
        </w:rPr>
        <w:t>Section 4.10(d)</w:t>
      </w:r>
      <w:r>
        <w:rPr>
          <w:rFonts w:ascii="Times New Roman" w:hAnsi="Times New Roman"/>
          <w:sz w:val="20"/>
        </w:rPr>
        <w:t xml:space="preserve">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4.10(e)</w:t>
      </w:r>
      <w:r>
        <w:rPr>
          <w:rFonts w:ascii="Times New Roman" w:hAnsi="Times New Roman"/>
          <w:sz w:val="20"/>
        </w:rPr>
        <w:t xml:space="preserv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FBB nor any FBB Subsidiary is a party to, nor does any of them have any obligation under any FBB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FBB, any FBB Subsidiary or any FBB ERISA Affiliate (a “</w:t>
      </w:r>
      <w:r>
        <w:rPr>
          <w:rFonts w:ascii="Times New Roman" w:hAnsi="Times New Roman"/>
          <w:sz w:val="20"/>
          <w:u w:val="single"/>
        </w:rPr>
        <w:t>FBB Multiemployer Plan</w:t>
      </w:r>
      <w:r>
        <w:rPr>
          <w:rFonts w:ascii="Times New Roman" w:hAnsi="Times New Roman"/>
          <w:sz w:val="20"/>
        </w:rPr>
        <w:t xml:space="preserve">”), as of the date of this Agreement, is listed in </w:t>
      </w:r>
      <w:r>
        <w:rPr>
          <w:rFonts w:ascii="Times New Roman" w:hAnsi="Times New Roman"/>
          <w:sz w:val="20"/>
          <w:u w:val="single"/>
        </w:rPr>
        <w:t>Section 4.10(i)</w:t>
      </w:r>
      <w:r>
        <w:rPr>
          <w:rFonts w:ascii="Times New Roman" w:hAnsi="Times New Roman"/>
          <w:sz w:val="20"/>
        </w:rPr>
        <w:t xml:space="preserve">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 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58" w:name="anxa76201_50"/>
      <w:bookmarkEnd w:id="158"/>
      <w:r>
        <w:rPr>
          <w:rFonts w:ascii="Times New Roman" w:hAnsi="Times New Roman"/>
          <w:b/>
          <w:sz w:val="20"/>
        </w:rPr>
        <w:t xml:space="preserve">SECTION 4.11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4.11(a)</w:t>
      </w:r>
      <w:r>
        <w:rPr>
          <w:rFonts w:ascii="Times New Roman" w:hAnsi="Times New Roman"/>
          <w:sz w:val="20"/>
        </w:rPr>
        <w:t xml:space="preserve"> of the FBB Disclosure Schedule sets forth, as of the close of business on November 28, 2025, a complete and correct list of all current employees of FBB and the FBB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FBB Employees</w:t>
      </w:r>
      <w:r>
        <w:rPr>
          <w:rFonts w:ascii="Times New Roman" w:hAnsi="Times New Roman"/>
          <w:sz w:val="20"/>
        </w:rPr>
        <w:t xml:space="preserve">”),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4.11(b)</w:t>
      </w:r>
      <w:r>
        <w:rPr>
          <w:rFonts w:ascii="Times New Roman" w:hAnsi="Times New Roman"/>
          <w:sz w:val="20"/>
        </w:rPr>
        <w:t xml:space="preserve">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(c) 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 or any FBB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I- 9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59" w:name="anxa76201_51"/>
      <w:bookmarkEnd w:id="159"/>
      <w:r>
        <w:rPr>
          <w:rFonts w:ascii="Times New Roman" w:hAnsi="Times New Roman"/>
          <w:b/>
          <w:sz w:val="20"/>
        </w:rPr>
        <w:t xml:space="preserve">SECTION 4.12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FBB and its Subsidiaries, taken as a whole, 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 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0" w:name="anxa76201_52"/>
      <w:bookmarkEnd w:id="160"/>
      <w:r>
        <w:rPr>
          <w:rFonts w:ascii="Times New Roman" w:hAnsi="Times New Roman"/>
          <w:b/>
          <w:sz w:val="20"/>
        </w:rPr>
        <w:t xml:space="preserve">SECTION 4.13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 </w:t>
      </w:r>
    </w:p>
    <w:p>
      <w:pPr>
        <w:pStyle w:val="TextBody"/>
        <w:bidi w:val="0"/>
        <w:spacing w:before="240" w:after="0"/>
        <w:jc w:val="left"/>
        <w:rPr>
          <w:rFonts w:ascii="Times New Roman" w:hAnsi="Times New Roman"/>
          <w:sz w:val="20"/>
        </w:rPr>
      </w:pPr>
      <w:bookmarkStart w:id="161" w:name="anxa76201_53"/>
      <w:bookmarkEnd w:id="161"/>
      <w:r>
        <w:rPr>
          <w:rFonts w:ascii="Times New Roman" w:hAnsi="Times New Roman"/>
          <w:b/>
          <w:sz w:val="20"/>
        </w:rPr>
        <w:t xml:space="preserve">SECTION 4.14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hAnsi="Times New Roman"/>
          <w:sz w:val="20"/>
          <w:u w:val="single"/>
        </w:rPr>
        <w:t>FBB Material Contract</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FBB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that is a Contract with a FBB Top Customer; </w:t>
      </w:r>
    </w:p>
    <w:p>
      <w:pPr>
        <w:pStyle w:val="TextBody"/>
        <w:bidi w:val="0"/>
        <w:spacing w:before="240" w:after="0"/>
        <w:jc w:val="left"/>
        <w:rPr>
          <w:rFonts w:ascii="Times New Roman" w:hAnsi="Times New Roman"/>
          <w:sz w:val="20"/>
        </w:rPr>
      </w:pPr>
      <w:r>
        <w:rPr>
          <w:rFonts w:ascii="Times New Roman" w:hAnsi="Times New Roman"/>
          <w:sz w:val="20"/>
        </w:rPr>
        <w:t xml:space="preserve">(v) (a)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(i) provides for the grant to FBB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240" w:after="0"/>
        <w:jc w:val="left"/>
        <w:rPr>
          <w:rFonts w:ascii="Times New Roman" w:hAnsi="Times New Roman"/>
          <w:sz w:val="20"/>
        </w:rPr>
      </w:pPr>
      <w:r>
        <w:rPr>
          <w:rFonts w:ascii="Times New Roman" w:hAnsi="Times New Roman"/>
          <w:sz w:val="20"/>
        </w:rPr>
        <w:t xml:space="preserve">(xi) containing any royalty, dividend or similar arrangement based on the revenues or profits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with any Governmental Entity or a subcontractor to any Governmental Entity in connection with such FBB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 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(xvi)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(xvii) other than as set forth elsewhere on </w:t>
      </w:r>
      <w:r>
        <w:rPr>
          <w:rFonts w:ascii="Times New Roman" w:hAnsi="Times New Roman"/>
          <w:sz w:val="20"/>
          <w:u w:val="single"/>
        </w:rPr>
        <w:t>Section 4.14(a)</w:t>
      </w:r>
      <w:r>
        <w:rPr>
          <w:rFonts w:ascii="Times New Roman" w:hAnsi="Times New Roman"/>
          <w:sz w:val="20"/>
        </w:rPr>
        <w:t xml:space="preserve"> of the FBB Disclosure Schedule, and excluding customary confidentiality and non-disclose agreements, all other Contracts that are material to the business or operations of FBB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2" w:name="anxa76201_54"/>
      <w:bookmarkEnd w:id="162"/>
      <w:r>
        <w:rPr>
          <w:rFonts w:ascii="Times New Roman" w:hAnsi="Times New Roman"/>
          <w:b/>
          <w:sz w:val="20"/>
        </w:rPr>
        <w:t xml:space="preserve">SECTION 4.15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possesses and is in compliance with all Environmental Permits necessary in all material respects to conduct its businesses and operations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FBB, there have been no Releases of, or exposure to, any Hazardous Materials that would reasonably be expected to result in any material Environmental Claim or liability. </w:t>
      </w:r>
    </w:p>
    <w:p>
      <w:pPr>
        <w:pStyle w:val="TextBody"/>
        <w:bidi w:val="0"/>
        <w:spacing w:before="240" w:after="0"/>
        <w:jc w:val="left"/>
        <w:rPr>
          <w:rFonts w:ascii="Times New Roman" w:hAnsi="Times New Roman"/>
          <w:sz w:val="20"/>
        </w:rPr>
      </w:pPr>
      <w:bookmarkStart w:id="163" w:name="anxa76201_55"/>
      <w:bookmarkEnd w:id="163"/>
      <w:r>
        <w:rPr>
          <w:rFonts w:ascii="Times New Roman" w:hAnsi="Times New Roman"/>
          <w:b/>
          <w:sz w:val="20"/>
        </w:rPr>
        <w:t xml:space="preserve">SECTION 4.16 </w:t>
      </w:r>
      <w:r>
        <w:rPr>
          <w:rFonts w:ascii="Times New Roman" w:hAnsi="Times New Roman"/>
          <w:b/>
          <w:sz w:val="20"/>
          <w:u w:val="single"/>
        </w:rPr>
        <w:t>Takeover Laws</w:t>
      </w:r>
      <w:r>
        <w:rPr>
          <w:rFonts w:ascii="Times New Roman" w:hAnsi="Times New Roman"/>
          <w:sz w:val="20"/>
        </w:rPr>
        <w:t xml:space="preserve">. To FBB’s Knowledge, there are no Takeover Statutes or any takeover-related provision in the FBB Charter applicable to the Merger or the other Transactions. </w:t>
      </w:r>
    </w:p>
    <w:p>
      <w:pPr>
        <w:pStyle w:val="TextBody"/>
        <w:bidi w:val="0"/>
        <w:spacing w:before="240" w:after="0"/>
        <w:jc w:val="left"/>
        <w:rPr>
          <w:rFonts w:ascii="Times New Roman" w:hAnsi="Times New Roman"/>
          <w:sz w:val="20"/>
        </w:rPr>
      </w:pPr>
      <w:bookmarkStart w:id="164" w:name="anxa76201_56"/>
      <w:bookmarkEnd w:id="164"/>
      <w:r>
        <w:rPr>
          <w:rFonts w:ascii="Times New Roman" w:hAnsi="Times New Roman"/>
          <w:b/>
          <w:sz w:val="20"/>
        </w:rPr>
        <w:t xml:space="preserve">SECTION 4.17 </w:t>
      </w:r>
      <w:r>
        <w:rPr>
          <w:rFonts w:ascii="Times New Roman" w:hAnsi="Times New Roman"/>
          <w:b/>
          <w:sz w:val="20"/>
          <w:u w:val="single"/>
        </w:rPr>
        <w:t>FBB Information</w:t>
      </w:r>
      <w:r>
        <w:rPr>
          <w:rFonts w:ascii="Times New Roman" w:hAnsi="Times New Roman"/>
          <w:sz w:val="20"/>
        </w:rPr>
        <w:t xml:space="preserve">. The information relating to FBB that is provided by FBB or FBB’s Representatives for inclusion in the 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65" w:name="anxa76201_57"/>
      <w:bookmarkEnd w:id="165"/>
      <w:r>
        <w:rPr>
          <w:rFonts w:ascii="Times New Roman" w:hAnsi="Times New Roman"/>
          <w:b/>
          <w:sz w:val="20"/>
        </w:rPr>
        <w:t xml:space="preserve">SECTION 4.18 </w:t>
      </w:r>
      <w:r>
        <w:rPr>
          <w:rFonts w:ascii="Times New Roman" w:hAnsi="Times New Roman"/>
          <w:b/>
          <w:sz w:val="20"/>
          <w:u w:val="single"/>
        </w:rPr>
        <w:t>Affiliate Transactions</w:t>
      </w:r>
      <w:r>
        <w:rPr>
          <w:rFonts w:ascii="Times New Roman" w:hAnsi="Times New Roman"/>
          <w:sz w:val="20"/>
        </w:rPr>
        <w:t xml:space="preserve">. To FBB’s Knowledge, as of the date of this Agreement, there are no material transactions, 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 </w:t>
      </w:r>
    </w:p>
    <w:p>
      <w:pPr>
        <w:pStyle w:val="TextBody"/>
        <w:bidi w:val="0"/>
        <w:spacing w:before="240" w:after="0"/>
        <w:jc w:val="left"/>
        <w:rPr>
          <w:rFonts w:ascii="Times New Roman" w:hAnsi="Times New Roman"/>
          <w:sz w:val="20"/>
        </w:rPr>
      </w:pPr>
      <w:bookmarkStart w:id="166" w:name="anxa76201_58"/>
      <w:bookmarkEnd w:id="166"/>
      <w:r>
        <w:rPr>
          <w:rFonts w:ascii="Times New Roman" w:hAnsi="Times New Roman"/>
          <w:b/>
          <w:sz w:val="20"/>
        </w:rPr>
        <w:t xml:space="preserve">SECTION 4.19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4.19(b)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 misappropriating or otherwise violating, or since January 1, 2023, has infringed, misappropriated or otherwise violated, any FBB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4.19(e)</w:t>
      </w:r>
      <w:r>
        <w:rPr>
          <w:rFonts w:ascii="Times New Roman" w:hAnsi="Times New Roman"/>
          <w:sz w:val="20"/>
        </w:rPr>
        <w:t xml:space="preserve"> of the FBB Disclosure Schedule sets forth, as of the date of this Agreement, a complete and accurate list of Registered IP included in the FBB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 </w:t>
      </w:r>
    </w:p>
    <w:p>
      <w:pPr>
        <w:pStyle w:val="TextBody"/>
        <w:bidi w:val="0"/>
        <w:spacing w:before="240" w:after="0"/>
        <w:jc w:val="left"/>
        <w:rPr>
          <w:rFonts w:ascii="Times New Roman" w:hAnsi="Times New Roman"/>
          <w:sz w:val="20"/>
        </w:rPr>
      </w:pPr>
      <w:bookmarkStart w:id="167" w:name="anxa76201_59"/>
      <w:bookmarkEnd w:id="167"/>
      <w:r>
        <w:rPr>
          <w:rFonts w:ascii="Times New Roman" w:hAnsi="Times New Roman"/>
          <w:b/>
          <w:sz w:val="20"/>
        </w:rPr>
        <w:t xml:space="preserve">SECTION 4.20 </w:t>
      </w:r>
      <w:r>
        <w:rPr>
          <w:rFonts w:ascii="Times New Roman" w:hAnsi="Times New Roman"/>
          <w:b/>
          <w:sz w:val="20"/>
          <w:u w:val="single"/>
        </w:rPr>
        <w:t>Title to Assets</w:t>
      </w:r>
      <w:r>
        <w:rPr>
          <w:rFonts w:ascii="Times New Roman" w:hAnsi="Times New Roman"/>
          <w:sz w:val="20"/>
        </w:rPr>
        <w:t xml:space="preserve">. Each of FBB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 </w:t>
      </w:r>
    </w:p>
    <w:p>
      <w:pPr>
        <w:pStyle w:val="TextBody"/>
        <w:bidi w:val="0"/>
        <w:spacing w:before="240" w:after="0"/>
        <w:jc w:val="left"/>
        <w:rPr>
          <w:rFonts w:ascii="Times New Roman" w:hAnsi="Times New Roman"/>
          <w:sz w:val="20"/>
        </w:rPr>
      </w:pPr>
      <w:bookmarkStart w:id="168" w:name="anxa76201_60"/>
      <w:bookmarkEnd w:id="168"/>
      <w:r>
        <w:rPr>
          <w:rFonts w:ascii="Times New Roman" w:hAnsi="Times New Roman"/>
          <w:b/>
          <w:sz w:val="20"/>
        </w:rPr>
        <w:t xml:space="preserve">SECTION 4.21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4.21(a)</w:t>
      </w:r>
      <w:r>
        <w:rPr>
          <w:rFonts w:ascii="Times New Roman" w:hAnsi="Times New Roman"/>
          <w:sz w:val="20"/>
        </w:rPr>
        <w:t xml:space="preserve">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hAnsi="Times New Roman"/>
          <w:sz w:val="20"/>
          <w:u w:val="single"/>
        </w:rPr>
        <w:t>FBB Owned Real Property</w:t>
      </w:r>
      <w:r>
        <w:rPr>
          <w:rFonts w:ascii="Times New Roman" w:hAnsi="Times New Roman"/>
          <w:sz w:val="20"/>
        </w:rPr>
        <w:t xml:space="preserve">”) .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4.21(b)</w:t>
      </w:r>
      <w:r>
        <w:rPr>
          <w:rFonts w:ascii="Times New Roman" w:hAnsi="Times New Roman"/>
          <w:sz w:val="20"/>
        </w:rPr>
        <w:t xml:space="preserve">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its Subsidiaries (the “</w:t>
      </w:r>
      <w:r>
        <w:rPr>
          <w:rFonts w:ascii="Times New Roman" w:hAnsi="Times New Roman"/>
          <w:sz w:val="20"/>
          <w:u w:val="single"/>
        </w:rPr>
        <w:t>FBB Leased Real Property</w:t>
      </w:r>
      <w:r>
        <w:rPr>
          <w:rFonts w:ascii="Times New Roman" w:hAnsi="Times New Roman"/>
          <w:sz w:val="20"/>
        </w:rPr>
        <w:t>”), free and clear of all Liens, except for Permitted Liens; (ii) as of the date hereof, each lease or sublease with respect to the FBB Leased Real Property (each, an “</w:t>
      </w:r>
      <w:r>
        <w:rPr>
          <w:rFonts w:ascii="Times New Roman" w:hAnsi="Times New Roman"/>
          <w:sz w:val="20"/>
          <w:u w:val="single"/>
        </w:rPr>
        <w:t>FBB Real Property Lease</w:t>
      </w:r>
      <w:r>
        <w:rPr>
          <w:rFonts w:ascii="Times New Roman" w:hAnsi="Times New Roman"/>
          <w:sz w:val="20"/>
        </w:rPr>
        <w:t xml:space="preserve">”)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FBB Owned Real Property set forth on </w:t>
      </w:r>
      <w:r>
        <w:rPr>
          <w:rFonts w:ascii="Times New Roman" w:hAnsi="Times New Roman"/>
          <w:sz w:val="20"/>
          <w:u w:val="single"/>
        </w:rPr>
        <w:t>Section 4.21(a)</w:t>
      </w:r>
      <w:r>
        <w:rPr>
          <w:rFonts w:ascii="Times New Roman" w:hAnsi="Times New Roman"/>
          <w:sz w:val="20"/>
        </w:rPr>
        <w:t xml:space="preserve"> of the FBB Disclosure Schedule and the FBB Leased Real Property set forth on </w:t>
      </w:r>
      <w:r>
        <w:rPr>
          <w:rFonts w:ascii="Times New Roman" w:hAnsi="Times New Roman"/>
          <w:sz w:val="20"/>
          <w:u w:val="single"/>
        </w:rPr>
        <w:t>Section 4.21(b)</w:t>
      </w:r>
      <w:r>
        <w:rPr>
          <w:rFonts w:ascii="Times New Roman" w:hAnsi="Times New Roman"/>
          <w:sz w:val="20"/>
        </w:rPr>
        <w:t xml:space="preserve">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 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 </w:t>
      </w:r>
    </w:p>
    <w:p>
      <w:pPr>
        <w:pStyle w:val="TextBody"/>
        <w:bidi w:val="0"/>
        <w:spacing w:before="240" w:after="0"/>
        <w:jc w:val="left"/>
        <w:rPr>
          <w:rFonts w:ascii="Times New Roman" w:hAnsi="Times New Roman"/>
          <w:sz w:val="20"/>
        </w:rPr>
      </w:pPr>
      <w:bookmarkStart w:id="169" w:name="anxa76201_61"/>
      <w:bookmarkEnd w:id="169"/>
      <w:r>
        <w:rPr>
          <w:rFonts w:ascii="Times New Roman" w:hAnsi="Times New Roman"/>
          <w:b/>
          <w:sz w:val="20"/>
        </w:rPr>
        <w:t xml:space="preserve">SECTION 4.22 </w:t>
      </w:r>
      <w:r>
        <w:rPr>
          <w:rFonts w:ascii="Times New Roman" w:hAnsi="Times New Roman"/>
          <w:b/>
          <w:sz w:val="20"/>
          <w:u w:val="single"/>
        </w:rPr>
        <w:t>Anti-Corruption Laws</w:t>
      </w:r>
      <w:r>
        <w:rPr>
          <w:rFonts w:ascii="Times New Roman" w:hAnsi="Times New Roman"/>
          <w:sz w:val="20"/>
        </w:rPr>
        <w:t xml:space="preserve">. None of FBB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 </w:t>
      </w:r>
    </w:p>
    <w:p>
      <w:pPr>
        <w:pStyle w:val="TextBody"/>
        <w:bidi w:val="0"/>
        <w:spacing w:before="240" w:after="0"/>
        <w:jc w:val="left"/>
        <w:rPr>
          <w:rFonts w:ascii="Times New Roman" w:hAnsi="Times New Roman"/>
          <w:sz w:val="20"/>
        </w:rPr>
      </w:pPr>
      <w:bookmarkStart w:id="170" w:name="anxa76201_62"/>
      <w:bookmarkEnd w:id="170"/>
      <w:r>
        <w:rPr>
          <w:rFonts w:ascii="Times New Roman" w:hAnsi="Times New Roman"/>
          <w:b/>
          <w:sz w:val="20"/>
        </w:rPr>
        <w:t xml:space="preserve">SECTION 4.23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4.23</w:t>
      </w:r>
      <w:r>
        <w:rPr>
          <w:rFonts w:ascii="Times New Roman" w:hAnsi="Times New Roman"/>
          <w:sz w:val="20"/>
        </w:rPr>
        <w:t xml:space="preserve"> of the FBB Disclosure Schedule contains a complete and accurate list of all material policies of 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 </w:t>
      </w:r>
    </w:p>
    <w:p>
      <w:pPr>
        <w:pStyle w:val="TextBody"/>
        <w:bidi w:val="0"/>
        <w:spacing w:before="240" w:after="0"/>
        <w:jc w:val="left"/>
        <w:rPr>
          <w:rFonts w:ascii="Times New Roman" w:hAnsi="Times New Roman"/>
          <w:sz w:val="20"/>
        </w:rPr>
      </w:pPr>
      <w:bookmarkStart w:id="171" w:name="anxa76201_63"/>
      <w:bookmarkEnd w:id="171"/>
      <w:r>
        <w:rPr>
          <w:rFonts w:ascii="Times New Roman" w:hAnsi="Times New Roman"/>
          <w:b/>
          <w:sz w:val="20"/>
        </w:rPr>
        <w:t xml:space="preserve">SECTION 4.24 </w:t>
      </w:r>
      <w:r>
        <w:rPr>
          <w:rFonts w:ascii="Times New Roman" w:hAnsi="Times New Roman"/>
          <w:b/>
          <w:sz w:val="20"/>
          <w:u w:val="single"/>
        </w:rPr>
        <w:t>Pre-Closing Investment</w:t>
      </w:r>
      <w:r>
        <w:rPr>
          <w:rFonts w:ascii="Times New Roman" w:hAnsi="Times New Roman"/>
          <w:sz w:val="20"/>
        </w:rPr>
        <w:t xml:space="preserve">. FBB has delivered to DXL true, correct and complete copies of any Commitment and Subscription Agreements that have been entered as of the date hereof. As of the date hereof, the Commitment and Subscription Agreement with each FBB Investor is in 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 all of the conditions precedent to the obligations of the FBB Investors to purchase the shares of FBB Common Stock in the Pre-Closing Investment in the commitment amount set forth in the Commitment and Subscription Agreements on the terms therein. </w:t>
      </w:r>
    </w:p>
    <w:p>
      <w:pPr>
        <w:pStyle w:val="TextBody"/>
        <w:bidi w:val="0"/>
        <w:spacing w:before="240" w:after="0"/>
        <w:jc w:val="left"/>
        <w:rPr>
          <w:rFonts w:ascii="Times New Roman" w:hAnsi="Times New Roman"/>
          <w:sz w:val="20"/>
        </w:rPr>
      </w:pPr>
      <w:bookmarkStart w:id="172" w:name="anxa76201_64"/>
      <w:bookmarkEnd w:id="172"/>
      <w:r>
        <w:rPr>
          <w:rFonts w:ascii="Times New Roman" w:hAnsi="Times New Roman"/>
          <w:b/>
          <w:sz w:val="20"/>
        </w:rPr>
        <w:t xml:space="preserve">SECTION 4.25 </w:t>
      </w:r>
      <w:r>
        <w:rPr>
          <w:rFonts w:ascii="Times New Roman" w:hAnsi="Times New Roman"/>
          <w:b/>
          <w:sz w:val="20"/>
          <w:u w:val="single"/>
        </w:rPr>
        <w:t>FBB Stockholders</w:t>
      </w:r>
      <w:r>
        <w:rPr>
          <w:rFonts w:ascii="Times New Roman" w:hAnsi="Times New Roman"/>
          <w:sz w:val="20"/>
        </w:rPr>
        <w:t xml:space="preserve">. As of the date hereof and as of the Closing Date, there are, and will be, less than thirty (30) FBB Stockholders who are not “accredited investors” as defined in Rule 501(a) of Regulation D under the Securities Act. </w:t>
      </w:r>
    </w:p>
    <w:p>
      <w:pPr>
        <w:pStyle w:val="TextBody"/>
        <w:bidi w:val="0"/>
        <w:spacing w:before="240" w:after="0"/>
        <w:jc w:val="left"/>
        <w:rPr>
          <w:rFonts w:ascii="Times New Roman" w:hAnsi="Times New Roman"/>
          <w:sz w:val="20"/>
        </w:rPr>
      </w:pPr>
      <w:bookmarkStart w:id="173" w:name="anxa76201_65"/>
      <w:bookmarkEnd w:id="173"/>
      <w:r>
        <w:rPr>
          <w:rFonts w:ascii="Times New Roman" w:hAnsi="Times New Roman"/>
          <w:b/>
          <w:sz w:val="20"/>
        </w:rPr>
        <w:t xml:space="preserve">SECTION 4.26 </w:t>
      </w:r>
      <w:r>
        <w:rPr>
          <w:rFonts w:ascii="Times New Roman" w:hAnsi="Times New Roman"/>
          <w:b/>
          <w:sz w:val="20"/>
          <w:u w:val="single"/>
        </w:rPr>
        <w:t>No Other Representations or Warranties</w:t>
      </w:r>
      <w:r>
        <w:rPr>
          <w:rFonts w:ascii="Times New Roman" w:hAnsi="Times New Roman"/>
          <w:sz w:val="20"/>
        </w:rPr>
        <w:t xml:space="preserve">. Except for the express representations and warranties contained in this 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w:t>
      </w:r>
      <w:r>
        <w:rPr>
          <w:rFonts w:ascii="Times New Roman" w:hAnsi="Times New Roman"/>
          <w:sz w:val="20"/>
          <w:u w:val="single"/>
        </w:rPr>
        <w:t>Article III</w:t>
      </w:r>
      <w:r>
        <w:rPr>
          <w:rFonts w:ascii="Times New Roman" w:hAnsi="Times New Roman"/>
          <w:sz w:val="20"/>
        </w:rPr>
        <w:t xml:space="preserve">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 </w:t>
      </w:r>
    </w:p>
    <w:p>
      <w:pPr>
        <w:pStyle w:val="TextBody"/>
        <w:bidi w:val="0"/>
        <w:spacing w:before="480" w:after="0"/>
        <w:jc w:val="center"/>
        <w:rPr>
          <w:rFonts w:ascii="Times New Roman" w:hAnsi="Times New Roman"/>
          <w:b/>
          <w:sz w:val="20"/>
        </w:rPr>
      </w:pPr>
      <w:bookmarkStart w:id="174" w:name="anxa76201_66"/>
      <w:bookmarkEnd w:id="174"/>
      <w:r>
        <w:rPr>
          <w:rFonts w:ascii="Times New Roman" w:hAnsi="Times New Roman"/>
          <w:b/>
          <w:sz w:val="20"/>
          <w:u w:val="single"/>
        </w:rPr>
        <w:t>ARTICLE V</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COVENANTS RELATING TO CONDUCT OF BUSINESS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5" w:name="anxa76201_67"/>
      <w:bookmarkEnd w:id="175"/>
      <w:r>
        <w:rPr>
          <w:rFonts w:ascii="Times New Roman" w:hAnsi="Times New Roman"/>
          <w:b/>
          <w:sz w:val="20"/>
        </w:rPr>
        <w:t xml:space="preserve">SECTION 5.01 </w:t>
      </w:r>
      <w:r>
        <w:rPr>
          <w:rFonts w:ascii="Times New Roman" w:hAnsi="Times New Roman"/>
          <w:b/>
          <w:sz w:val="20"/>
          <w:u w:val="single"/>
        </w:rPr>
        <w:t>Conduct of Businesses Prior to the Effective Time</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(i) as required by Law, (ii) as expressly contemplated or permitted by this Agreement, (iii) as specifically set forth in </w:t>
      </w:r>
      <w:r>
        <w:rPr>
          <w:rFonts w:ascii="Times New Roman" w:hAnsi="Times New Roman"/>
          <w:sz w:val="20"/>
          <w:u w:val="single"/>
        </w:rPr>
        <w:t>Section 5.01</w:t>
      </w:r>
      <w:r>
        <w:rPr>
          <w:rFonts w:ascii="Times New Roman" w:hAnsi="Times New Roman"/>
          <w:sz w:val="20"/>
        </w:rPr>
        <w:t xml:space="preserve"> of the DXL Disclosure Schedule or the FBB Disclosure Schedule, as applicable, (iv) as necessary to effectuate the items set forth in </w:t>
      </w:r>
      <w:r>
        <w:rPr>
          <w:rFonts w:ascii="Times New Roman" w:hAnsi="Times New Roman"/>
          <w:sz w:val="20"/>
          <w:u w:val="single"/>
        </w:rPr>
        <w:t>Section 6.19</w:t>
      </w:r>
      <w:r>
        <w:rPr>
          <w:rFonts w:ascii="Times New Roman" w:hAnsi="Times New Roman"/>
          <w:sz w:val="20"/>
        </w:rPr>
        <w:t xml:space="preserve">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w:t>
      </w:r>
      <w:r>
        <w:rPr>
          <w:rFonts w:ascii="Times New Roman" w:hAnsi="Times New Roman"/>
          <w:sz w:val="20"/>
          <w:u w:val="single"/>
        </w:rPr>
        <w:t>Section 5.01</w:t>
      </w:r>
      <w:r>
        <w:rPr>
          <w:rFonts w:ascii="Times New Roman" w:hAnsi="Times New Roman"/>
          <w:sz w:val="20"/>
        </w:rPr>
        <w:t xml:space="preserve">, (i) neither party will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in order to satisfy such party’s obligations under this </w:t>
      </w:r>
      <w:r>
        <w:rPr>
          <w:rFonts w:ascii="Times New Roman" w:hAnsi="Times New Roman"/>
          <w:sz w:val="20"/>
          <w:u w:val="single"/>
        </w:rPr>
        <w:t>Section 5.01</w:t>
      </w:r>
      <w:r>
        <w:rPr>
          <w:rFonts w:ascii="Times New Roman" w:hAnsi="Times New Roman"/>
          <w:sz w:val="20"/>
        </w:rPr>
        <w:t xml:space="preserve"> and (ii) each party shall be deemed not to have failed to satisfy its obligations under this </w:t>
      </w:r>
      <w:r>
        <w:rPr>
          <w:rFonts w:ascii="Times New Roman" w:hAnsi="Times New Roman"/>
          <w:sz w:val="20"/>
          <w:u w:val="single"/>
        </w:rPr>
        <w:t>Section 5.01</w:t>
      </w:r>
      <w:r>
        <w:rPr>
          <w:rFonts w:ascii="Times New Roman" w:hAnsi="Times New Roman"/>
          <w:sz w:val="20"/>
        </w:rPr>
        <w:t xml:space="preserve"> to the extent such failure resulted, directly or indirectly, from such party’s failure to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where consent for such action hereunder was requested in writing and not given by the other party. </w:t>
      </w:r>
    </w:p>
    <w:p>
      <w:pPr>
        <w:pStyle w:val="TextBody"/>
        <w:bidi w:val="0"/>
        <w:spacing w:before="240" w:after="0"/>
        <w:jc w:val="left"/>
        <w:rPr>
          <w:rFonts w:ascii="Times New Roman" w:hAnsi="Times New Roman"/>
          <w:sz w:val="20"/>
        </w:rPr>
      </w:pPr>
      <w:bookmarkStart w:id="176" w:name="anxa76201_68"/>
      <w:bookmarkEnd w:id="176"/>
      <w:r>
        <w:rPr>
          <w:rFonts w:ascii="Times New Roman" w:hAnsi="Times New Roman"/>
          <w:b/>
          <w:sz w:val="20"/>
        </w:rPr>
        <w:t xml:space="preserve">SECTION 5.02 </w:t>
      </w:r>
      <w:r>
        <w:rPr>
          <w:rFonts w:ascii="Times New Roman" w:hAnsi="Times New Roman"/>
          <w:b/>
          <w:sz w:val="20"/>
          <w:u w:val="single"/>
        </w:rPr>
        <w:t>DXL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specifically set forth in </w:t>
      </w:r>
      <w:r>
        <w:rPr>
          <w:rFonts w:ascii="Times New Roman" w:hAnsi="Times New Roman"/>
          <w:sz w:val="20"/>
          <w:u w:val="single"/>
        </w:rPr>
        <w:t>Section 5.02</w:t>
      </w:r>
      <w:r>
        <w:rPr>
          <w:rFonts w:ascii="Times New Roman" w:hAnsi="Times New Roman"/>
          <w:sz w:val="20"/>
        </w:rPr>
        <w:t xml:space="preserve"> of the DXL Disclosure Schedule or as consented to in writing by FBB (such consent not to be unreasonably withheld, conditioned or delayed), DXL will not, and will not permit any of the DXL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(including interest) on, or directly or indirectly redeem, purchase or otherwise acquire, any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hAnsi="Times New Roman"/>
          <w:sz w:val="20"/>
          <w:u w:val="single"/>
        </w:rPr>
        <w:t>provided</w:t>
      </w:r>
      <w:r>
        <w:rPr>
          <w:rFonts w:ascii="Times New Roman" w:hAnsi="Times New Roman"/>
          <w:sz w:val="20"/>
        </w:rPr>
        <w:t xml:space="preserve">,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(e)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(f) 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(g) (i)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change or amend any data privacy or information security policies or practices of DXL or the DXL Subsidiaries,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set forth in the DXL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(n) (i) amend the DXL Charter (or the organizational documents of any DXL Subsidiary), except as contemplated by </w:t>
      </w:r>
      <w:r>
        <w:rPr>
          <w:rFonts w:ascii="Times New Roman" w:hAnsi="Times New Roman"/>
          <w:sz w:val="20"/>
          <w:u w:val="single"/>
        </w:rPr>
        <w:t>Section 6.09</w:t>
      </w:r>
      <w:r>
        <w:rPr>
          <w:rFonts w:ascii="Times New Roman" w:hAnsi="Times New Roman"/>
          <w:sz w:val="20"/>
        </w:rPr>
        <w:t xml:space="preserve"> or otherwise as specifically set forth in this Agreement, or (ii) otherwise take any action to exempt any Person (other than FBB), or any action taken by any such Person, from any Takeover Statute or similarly restrictive provisions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(o) (x)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fail to keep or cause to be kept its material existing insurance policies (or substantial equivalents) in such amounts substantially as in force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(q) agree, commit, resolve or propose to take any of the actions prohibited by this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7" w:name="anxa76201_69"/>
      <w:bookmarkEnd w:id="177"/>
      <w:r>
        <w:rPr>
          <w:rFonts w:ascii="Times New Roman" w:hAnsi="Times New Roman"/>
          <w:b/>
          <w:sz w:val="20"/>
        </w:rPr>
        <w:t xml:space="preserve">SECTION 5.03 </w:t>
      </w:r>
      <w:r>
        <w:rPr>
          <w:rFonts w:ascii="Times New Roman" w:hAnsi="Times New Roman"/>
          <w:b/>
          <w:sz w:val="20"/>
          <w:u w:val="single"/>
        </w:rPr>
        <w:t>FBB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necessary to effectuate the items set forth in </w:t>
      </w:r>
      <w:r>
        <w:rPr>
          <w:rFonts w:ascii="Times New Roman" w:hAnsi="Times New Roman"/>
          <w:sz w:val="20"/>
          <w:u w:val="single"/>
        </w:rPr>
        <w:t>Section 6.19,</w:t>
      </w:r>
      <w:r>
        <w:rPr>
          <w:rFonts w:ascii="Times New Roman" w:hAnsi="Times New Roman"/>
          <w:sz w:val="20"/>
        </w:rPr>
        <w:t xml:space="preserve"> as specifically set forth in </w:t>
      </w:r>
      <w:r>
        <w:rPr>
          <w:rFonts w:ascii="Times New Roman" w:hAnsi="Times New Roman"/>
          <w:sz w:val="20"/>
          <w:u w:val="single"/>
        </w:rPr>
        <w:t>Section 5.03</w:t>
      </w:r>
      <w:r>
        <w:rPr>
          <w:rFonts w:ascii="Times New Roman" w:hAnsi="Times New Roman"/>
          <w:sz w:val="20"/>
        </w:rPr>
        <w:t xml:space="preserve"> of the FBB Disclosure Schedule or as consented to in writing by DXL (such consent not to be unreasonably withheld, conditioned or delayed), FBB will not, and will not permit any of the FBB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on, or directly or indirectly redeem, purchase or otherwise acquire, any of its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 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(e) 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(f) (i)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change or amend any data privacy or information security policies or practices of FBB or the FBB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(k) 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set forth in the FBB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amend the FBB Charter in a manner that would reasonably be expected to prevent or hinder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 (i) implement or adopt any material change in its Tax accounting or financial accounting policies, practices or methods, other than as may be required by applicable Law or GAAP or regulatory guidelines or to consummate the Transactions or (ii) make, change or revoke any material Tax election, except, in the case of each of clauses (i) and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fail to keep or cause to be kept its material existing insurance policies (or substantial equivalents) in such amounts substantially as in force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(p) agree, commit, resolve or propose to take any of the actions prohibited by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8" w:name="anxa76201_70"/>
      <w:bookmarkEnd w:id="178"/>
      <w:r>
        <w:rPr>
          <w:rFonts w:ascii="Times New Roman" w:hAnsi="Times New Roman"/>
          <w:b/>
          <w:sz w:val="20"/>
        </w:rPr>
        <w:t xml:space="preserve">SECTION 5.04 </w:t>
      </w:r>
      <w:r>
        <w:rPr>
          <w:rFonts w:ascii="Times New Roman" w:hAnsi="Times New Roman"/>
          <w:b/>
          <w:sz w:val="20"/>
          <w:u w:val="single"/>
        </w:rPr>
        <w:t>Control of Other Party’s Business</w:t>
      </w:r>
      <w:r>
        <w:rPr>
          <w:rFonts w:ascii="Times New Roman" w:hAnsi="Times New Roman"/>
          <w:sz w:val="20"/>
        </w:rPr>
        <w:t xml:space="preserve">. Nothing contained in this Agreement will give DXL, directly or indirectly, the right to 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 </w:t>
      </w:r>
    </w:p>
    <w:p>
      <w:pPr>
        <w:pStyle w:val="TextBody"/>
        <w:bidi w:val="0"/>
        <w:spacing w:before="240" w:after="0"/>
        <w:jc w:val="left"/>
        <w:rPr>
          <w:rFonts w:ascii="Times New Roman" w:hAnsi="Times New Roman"/>
          <w:sz w:val="20"/>
        </w:rPr>
      </w:pPr>
      <w:bookmarkStart w:id="179" w:name="anxa76201_71"/>
      <w:bookmarkEnd w:id="179"/>
      <w:r>
        <w:rPr>
          <w:rFonts w:ascii="Times New Roman" w:hAnsi="Times New Roman"/>
          <w:b/>
          <w:sz w:val="20"/>
        </w:rPr>
        <w:t xml:space="preserve">SECTION 5.05 </w:t>
      </w:r>
      <w:r>
        <w:rPr>
          <w:rFonts w:ascii="Times New Roman" w:hAnsi="Times New Roman"/>
          <w:b/>
          <w:sz w:val="20"/>
          <w:u w:val="single"/>
        </w:rPr>
        <w:t>FBB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(iii) execute or enter into any letter of intent, memorandum of understanding, agreement in principle, acquisition agreement, merger agreement, option or any other agreement (other than an Acceptable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an “</w:t>
      </w:r>
      <w:r>
        <w:rPr>
          <w:rFonts w:ascii="Times New Roman" w:hAnsi="Times New Roman"/>
          <w:sz w:val="20"/>
          <w:u w:val="single"/>
        </w:rPr>
        <w:t>FBB Takeover Proposal</w:t>
      </w:r>
      <w:r>
        <w:rPr>
          <w:rFonts w:ascii="Times New Roman" w:hAnsi="Times New Roman"/>
          <w:sz w:val="20"/>
        </w:rPr>
        <w:t xml:space="preserve">”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hAnsi="Times New Roman"/>
          <w:sz w:val="20"/>
          <w:u w:val="single"/>
        </w:rPr>
        <w:t>Section 5.05</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(c) As used in this Agreement, an “</w:t>
      </w:r>
      <w:r>
        <w:rPr>
          <w:rFonts w:ascii="Times New Roman" w:hAnsi="Times New Roman"/>
          <w:sz w:val="20"/>
          <w:u w:val="single"/>
        </w:rPr>
        <w:t>Excluded Transaction</w:t>
      </w:r>
      <w:r>
        <w:rPr>
          <w:rFonts w:ascii="Times New Roman" w:hAnsi="Times New Roman"/>
          <w:sz w:val="20"/>
        </w:rPr>
        <w:t xml:space="preserve">”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(d) 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 the information required to be provided to DXL under this </w:t>
      </w:r>
      <w:r>
        <w:rPr>
          <w:rFonts w:ascii="Times New Roman" w:hAnsi="Times New Roman"/>
          <w:sz w:val="20"/>
          <w:u w:val="single"/>
        </w:rPr>
        <w:t>Section 5.05</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It is understood and agreed that any violation of this </w:t>
      </w:r>
      <w:r>
        <w:rPr>
          <w:rFonts w:ascii="Times New Roman" w:hAnsi="Times New Roman"/>
          <w:sz w:val="20"/>
          <w:u w:val="single"/>
        </w:rPr>
        <w:t>Section 5.05</w:t>
      </w:r>
      <w:r>
        <w:rPr>
          <w:rFonts w:ascii="Times New Roman" w:hAnsi="Times New Roman"/>
          <w:sz w:val="20"/>
        </w:rPr>
        <w:t xml:space="preserve"> by any of FBB’s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05 by FBB. </w:t>
      </w:r>
    </w:p>
    <w:p>
      <w:pPr>
        <w:pStyle w:val="TextBody"/>
        <w:bidi w:val="0"/>
        <w:spacing w:before="240" w:after="0"/>
        <w:jc w:val="left"/>
        <w:rPr>
          <w:rFonts w:ascii="Times New Roman" w:hAnsi="Times New Roman"/>
          <w:sz w:val="20"/>
        </w:rPr>
      </w:pPr>
      <w:bookmarkStart w:id="180" w:name="anxa76201_72"/>
      <w:bookmarkEnd w:id="180"/>
      <w:r>
        <w:rPr>
          <w:rFonts w:ascii="Times New Roman" w:hAnsi="Times New Roman"/>
          <w:b/>
          <w:sz w:val="20"/>
        </w:rPr>
        <w:t xml:space="preserve">SECTION 5.06 </w:t>
      </w:r>
      <w:r>
        <w:rPr>
          <w:rFonts w:ascii="Times New Roman" w:hAnsi="Times New Roman"/>
          <w:b/>
          <w:sz w:val="20"/>
          <w:u w:val="single"/>
        </w:rPr>
        <w:t>DXL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w:t>
      </w:r>
      <w:r>
        <w:rPr>
          <w:rFonts w:ascii="Times New Roman" w:hAnsi="Times New Roman"/>
          <w:sz w:val="20"/>
          <w:u w:val="single"/>
        </w:rPr>
        <w:t>Section 5.06</w:t>
      </w:r>
      <w:r>
        <w:rPr>
          <w:rFonts w:ascii="Times New Roman" w:hAnsi="Times New Roman"/>
          <w:sz w:val="20"/>
        </w:rPr>
        <w:t xml:space="preserve">, solely to the extent necessary to ascertain facts or clarify terms with respect to a DXL Takeover Proposal for the DXL Board to be able to have sufficient information to make the determination described in </w:t>
      </w:r>
      <w:r>
        <w:rPr>
          <w:rFonts w:ascii="Times New Roman" w:hAnsi="Times New Roman"/>
          <w:sz w:val="20"/>
          <w:u w:val="single"/>
        </w:rPr>
        <w:t>Section 5.06(d)</w:t>
      </w:r>
      <w:r>
        <w:rPr>
          <w:rFonts w:ascii="Times New Roman" w:hAnsi="Times New Roman"/>
          <w:sz w:val="20"/>
        </w:rPr>
        <w:t>)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hAnsi="Times New Roman"/>
          <w:sz w:val="20"/>
          <w:u w:val="single"/>
        </w:rPr>
        <w:t>DXL Acquisition Agreement</w:t>
      </w:r>
      <w:r>
        <w:rPr>
          <w:rFonts w:ascii="Times New Roman" w:hAnsi="Times New Roman"/>
          <w:sz w:val="20"/>
        </w:rPr>
        <w:t xml:space="preserve">”).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 “</w:t>
      </w:r>
      <w:r>
        <w:rPr>
          <w:rFonts w:ascii="Times New Roman" w:hAnsi="Times New Roman"/>
          <w:sz w:val="20"/>
          <w:u w:val="single"/>
        </w:rPr>
        <w:t>DXL Takeover Proposal</w:t>
      </w:r>
      <w:r>
        <w:rPr>
          <w:rFonts w:ascii="Times New Roman" w:hAnsi="Times New Roman"/>
          <w:sz w:val="20"/>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For the avoidance of doubt, neither the Merger nor the other Transactions shall be deemed a DXL Takeover Proposal. Wherever the term “group” is used in this </w:t>
      </w:r>
      <w:r>
        <w:rPr>
          <w:rFonts w:ascii="Times New Roman" w:hAnsi="Times New Roman"/>
          <w:sz w:val="20"/>
          <w:u w:val="single"/>
        </w:rPr>
        <w:t>Section 5.06</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 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w:t>
      </w:r>
      <w:r>
        <w:rPr>
          <w:rFonts w:ascii="Times New Roman" w:hAnsi="Times New Roman"/>
          <w:sz w:val="20"/>
          <w:u w:val="single"/>
        </w:rPr>
        <w:t>Section 5.06</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Section 5.06</w:t>
      </w:r>
      <w:r>
        <w:rPr>
          <w:rFonts w:ascii="Times New Roman" w:hAnsi="Times New Roman"/>
          <w:sz w:val="20"/>
        </w:rPr>
        <w:t xml:space="preserve"> to the contrary, if at any time prior to obtaining the Required DXL Stockholder Vote, the DXL stockholders, DXL or any of its Subsidiaries or Representatives receives a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 </w:t>
      </w:r>
    </w:p>
    <w:p>
      <w:pPr>
        <w:pStyle w:val="TextBody"/>
        <w:bidi w:val="0"/>
        <w:spacing w:before="240" w:after="0"/>
        <w:jc w:val="left"/>
        <w:rPr>
          <w:rFonts w:ascii="Times New Roman" w:hAnsi="Times New Roman"/>
          <w:sz w:val="20"/>
        </w:rPr>
      </w:pPr>
      <w:r>
        <w:rPr>
          <w:rFonts w:ascii="Times New Roman" w:hAnsi="Times New Roman"/>
          <w:sz w:val="20"/>
        </w:rPr>
        <w:t>(e) For purposes of this Agreement, the term “</w:t>
      </w:r>
      <w:r>
        <w:rPr>
          <w:rFonts w:ascii="Times New Roman" w:hAnsi="Times New Roman"/>
          <w:sz w:val="20"/>
          <w:u w:val="single"/>
        </w:rPr>
        <w:t>DXL Superior Proposal</w:t>
      </w:r>
      <w:r>
        <w:rPr>
          <w:rFonts w:ascii="Times New Roman" w:hAnsi="Times New Roman"/>
          <w:sz w:val="20"/>
        </w:rPr>
        <w:t xml:space="preserve">” means any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of this Agreement deemed relevant by the DXL Board or any such committee in good faith and (iii) the obligation to pay the DXL Termination Fee. </w:t>
      </w:r>
    </w:p>
    <w:p>
      <w:pPr>
        <w:pStyle w:val="TextBody"/>
        <w:bidi w:val="0"/>
        <w:spacing w:before="240" w:after="0"/>
        <w:jc w:val="left"/>
        <w:rPr>
          <w:rFonts w:ascii="Times New Roman" w:hAnsi="Times New Roman"/>
          <w:sz w:val="20"/>
        </w:rPr>
      </w:pPr>
      <w:r>
        <w:rPr>
          <w:rFonts w:ascii="Times New Roman" w:hAnsi="Times New Roman"/>
          <w:sz w:val="20"/>
        </w:rPr>
        <w:t>(f) 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hAnsi="Times New Roman"/>
          <w:sz w:val="20"/>
          <w:u w:val="single"/>
        </w:rPr>
        <w:t>DXL Adverse Recommendation Change</w:t>
      </w:r>
      <w:r>
        <w:rPr>
          <w:rFonts w:ascii="Times New Roman" w:hAnsi="Times New Roman"/>
          <w:sz w:val="20"/>
        </w:rPr>
        <w:t xml:space="preserve">”) or (iv) enter into or propose publicly to execute or enter into (or cause or permit DXL or any of its Subsidiaries to execute or enter into or propose publicly to execute or enter into) a DXL Acquisition Agreement (other than any Acceptable Confidentiality Agreement entered into in accordance with this </w:t>
      </w:r>
      <w:r>
        <w:rPr>
          <w:rFonts w:ascii="Times New Roman" w:hAnsi="Times New Roman"/>
          <w:sz w:val="20"/>
          <w:u w:val="single"/>
        </w:rPr>
        <w:t>Section 5.06</w:t>
      </w:r>
      <w:r>
        <w:rPr>
          <w:rFonts w:ascii="Times New Roman" w:hAnsi="Times New Roman"/>
          <w:sz w:val="20"/>
        </w:rPr>
        <w:t xml:space="preserve">). Notwithstanding anything to the contrary in this </w:t>
      </w:r>
      <w:r>
        <w:rPr>
          <w:rFonts w:ascii="Times New Roman" w:hAnsi="Times New Roman"/>
          <w:sz w:val="20"/>
          <w:u w:val="single"/>
        </w:rPr>
        <w:t>Section 5.06,</w:t>
      </w:r>
      <w:r>
        <w:rPr>
          <w:rFonts w:ascii="Times New Roman" w:hAnsi="Times New Roman"/>
          <w:sz w:val="20"/>
        </w:rPr>
        <w:t xml:space="preserve">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terminate this Agreement pursuant to </w:t>
      </w:r>
      <w:r>
        <w:rPr>
          <w:rFonts w:ascii="Times New Roman" w:hAnsi="Times New Roman"/>
          <w:sz w:val="20"/>
          <w:u w:val="single"/>
        </w:rPr>
        <w:t>Section 8.01(j),</w:t>
      </w:r>
      <w:r>
        <w:rPr>
          <w:rFonts w:ascii="Times New Roman" w:hAnsi="Times New Roman"/>
          <w:sz w:val="20"/>
        </w:rPr>
        <w:t xml:space="preserve"> in either case if the DXL Board or any committee thereof determines in good faith, after consultation with its financial advisor and outside counsel, that (A) 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hAnsi="Times New Roman"/>
          <w:sz w:val="20"/>
          <w:u w:val="single"/>
        </w:rPr>
        <w:t>Notice of DXL Adverse Recommendation Change</w:t>
      </w:r>
      <w:r>
        <w:rPr>
          <w:rFonts w:ascii="Times New Roman" w:hAnsi="Times New Roman"/>
          <w:sz w:val="20"/>
        </w:rPr>
        <w:t xml:space="preserve">”)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 (4)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 pursuant to this sentence shall be void and of no force and effect unless the termination is in accordance with </w:t>
      </w:r>
      <w:r>
        <w:rPr>
          <w:rFonts w:ascii="Times New Roman" w:hAnsi="Times New Roman"/>
          <w:sz w:val="20"/>
          <w:u w:val="single"/>
        </w:rPr>
        <w:t>Section 8.01(j)</w:t>
      </w:r>
      <w:r>
        <w:rPr>
          <w:rFonts w:ascii="Times New Roman" w:hAnsi="Times New Roman"/>
          <w:sz w:val="20"/>
        </w:rPr>
        <w:t xml:space="preserve"> and DXL pays FBB the DXL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any violation of this </w:t>
      </w:r>
      <w:r>
        <w:rPr>
          <w:rFonts w:ascii="Times New Roman" w:hAnsi="Times New Roman"/>
          <w:sz w:val="20"/>
          <w:u w:val="single"/>
        </w:rPr>
        <w:t>Section 5.06</w:t>
      </w:r>
      <w:r>
        <w:rPr>
          <w:rFonts w:ascii="Times New Roman" w:hAnsi="Times New Roman"/>
          <w:sz w:val="20"/>
        </w:rPr>
        <w:t xml:space="preserve"> by any of DXL’s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06 by DXL. </w:t>
      </w:r>
    </w:p>
    <w:p>
      <w:pPr>
        <w:pStyle w:val="TextBody"/>
        <w:bidi w:val="0"/>
        <w:spacing w:before="480" w:after="0"/>
        <w:jc w:val="center"/>
        <w:rPr>
          <w:rFonts w:ascii="Times New Roman" w:hAnsi="Times New Roman"/>
          <w:b/>
          <w:sz w:val="20"/>
        </w:rPr>
      </w:pPr>
      <w:bookmarkStart w:id="181" w:name="anxa76201_73"/>
      <w:bookmarkEnd w:id="181"/>
      <w:r>
        <w:rPr>
          <w:rFonts w:ascii="Times New Roman" w:hAnsi="Times New Roman"/>
          <w:b/>
          <w:sz w:val="20"/>
          <w:u w:val="single"/>
        </w:rPr>
        <w:t>ARTICLE VI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ADDITIONAL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82" w:name="anxa76201_74"/>
      <w:bookmarkEnd w:id="182"/>
      <w:r>
        <w:rPr>
          <w:rFonts w:ascii="Times New Roman" w:hAnsi="Times New Roman"/>
          <w:b/>
          <w:sz w:val="20"/>
        </w:rPr>
        <w:t xml:space="preserve">SECTION 6.01 </w:t>
      </w:r>
      <w:r>
        <w:rPr>
          <w:rFonts w:ascii="Times New Roman" w:hAnsi="Times New Roman"/>
          <w:b/>
          <w:sz w:val="20"/>
          <w:u w:val="single"/>
        </w:rPr>
        <w:t>Preparation of the Proxy Statement; Stockholder Approvals; Listing Application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 book entries recording the record ownership of shares of DXL Common Stock shall bear such annotations as DXL may reasonably deem necessary in connection therewith. </w:t>
      </w:r>
    </w:p>
    <w:p>
      <w:pPr>
        <w:pStyle w:val="TextBody"/>
        <w:bidi w:val="0"/>
        <w:spacing w:before="240" w:after="0"/>
        <w:jc w:val="left"/>
        <w:rPr>
          <w:rFonts w:ascii="Times New Roman" w:hAnsi="Times New Roman"/>
          <w:sz w:val="20"/>
        </w:rPr>
      </w:pPr>
      <w:r>
        <w:rPr>
          <w:rFonts w:ascii="Times New Roman" w:hAnsi="Times New Roman"/>
          <w:sz w:val="20"/>
        </w:rPr>
        <w:t>(b) 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hAnsi="Times New Roman"/>
          <w:sz w:val="20"/>
          <w:u w:val="single"/>
        </w:rPr>
        <w:t>Proxy Statement</w:t>
      </w:r>
      <w:r>
        <w:rPr>
          <w:rFonts w:ascii="Times New Roman" w:hAnsi="Times New Roman"/>
          <w:sz w:val="20"/>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hAnsi="Times New Roman"/>
          <w:sz w:val="20"/>
          <w:u w:val="single"/>
        </w:rPr>
        <w:t>Clearance Date</w:t>
      </w:r>
      <w:r>
        <w:rPr>
          <w:rFonts w:ascii="Times New Roman" w:hAnsi="Times New Roman"/>
          <w:sz w:val="20"/>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hAnsi="Times New Roman"/>
          <w:sz w:val="20"/>
          <w:u w:val="single"/>
        </w:rPr>
        <w:t>,</w:t>
      </w:r>
      <w:r>
        <w:rPr>
          <w:rFonts w:ascii="Times New Roman" w:hAnsi="Times New Roman"/>
          <w:sz w:val="20"/>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(c) FBB shall use its reasonable best efforts to obtain the FBB Stockholder Approval and deliver a written consent of holders of FBB Capital Stock representing the FBB Stockholder Approval (the “</w:t>
      </w:r>
      <w:r>
        <w:rPr>
          <w:rFonts w:ascii="Times New Roman" w:hAnsi="Times New Roman"/>
          <w:sz w:val="20"/>
          <w:u w:val="single"/>
        </w:rPr>
        <w:t>FBB Written Consent</w:t>
      </w:r>
      <w:r>
        <w:rPr>
          <w:rFonts w:ascii="Times New Roman" w:hAnsi="Times New Roman"/>
          <w:sz w:val="20"/>
        </w:rPr>
        <w:t xml:space="preserve">”) as soon as reasonably practicable following the execution of this Agreement, but in no event more than forty-eight (48) hours following such execution. </w:t>
      </w:r>
    </w:p>
    <w:p>
      <w:pPr>
        <w:pStyle w:val="TextBody"/>
        <w:bidi w:val="0"/>
        <w:spacing w:before="240" w:after="0"/>
        <w:jc w:val="left"/>
        <w:rPr>
          <w:rFonts w:ascii="Times New Roman" w:hAnsi="Times New Roman"/>
          <w:sz w:val="20"/>
        </w:rPr>
      </w:pPr>
      <w:r>
        <w:rPr>
          <w:rFonts w:ascii="Times New Roman" w:hAnsi="Times New Roman"/>
          <w:sz w:val="20"/>
        </w:rPr>
        <w:t>(d) Promptly following the date of the FBB Stockholder Approval, FBB shall mail a notice (the “</w:t>
      </w:r>
      <w:r>
        <w:rPr>
          <w:rFonts w:ascii="Times New Roman" w:hAnsi="Times New Roman"/>
          <w:sz w:val="20"/>
          <w:u w:val="single"/>
        </w:rPr>
        <w:t>FBB Stockholder Notice</w:t>
      </w:r>
      <w:r>
        <w:rPr>
          <w:rFonts w:ascii="Times New Roman" w:hAnsi="Times New Roman"/>
          <w:sz w:val="20"/>
        </w:rPr>
        <w:t xml:space="preserve">”)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 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w:t>
      </w:r>
      <w:r>
        <w:rPr>
          <w:rFonts w:ascii="Times New Roman" w:hAnsi="Times New Roman"/>
          <w:sz w:val="20"/>
          <w:u w:val="single"/>
        </w:rPr>
        <w:t>Section 6.01(d</w:t>
      </w:r>
      <w:r>
        <w:rPr>
          <w:rFonts w:ascii="Times New Roman" w:hAnsi="Times New Roman"/>
          <w:sz w:val="20"/>
        </w:rPr>
        <w:t xml:space="preserve">) shall be subject to DXL’s advance review and reasonable approval, which approval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(e) 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hAnsi="Times New Roman"/>
          <w:sz w:val="20"/>
          <w:u w:val="single"/>
        </w:rPr>
        <w:t>Information Statement</w:t>
      </w:r>
      <w:r>
        <w:rPr>
          <w:rFonts w:ascii="Times New Roman" w:hAnsi="Times New Roman"/>
          <w:sz w:val="20"/>
        </w:rPr>
        <w:t xml:space="preserve">”)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 </w:t>
      </w:r>
    </w:p>
    <w:p>
      <w:pPr>
        <w:pStyle w:val="TextBody"/>
        <w:bidi w:val="0"/>
        <w:spacing w:before="240" w:after="0"/>
        <w:jc w:val="left"/>
        <w:rPr>
          <w:rFonts w:ascii="Times New Roman" w:hAnsi="Times New Roman"/>
          <w:sz w:val="20"/>
        </w:rPr>
      </w:pPr>
      <w:r>
        <w:rPr>
          <w:rFonts w:ascii="Times New Roman" w:hAnsi="Times New Roman"/>
          <w:sz w:val="20"/>
        </w:rPr>
        <w:t xml:space="preserve">(f) 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(10th) Business Day following the date on which the investor questionnaire form was delivered. </w:t>
      </w:r>
    </w:p>
    <w:p>
      <w:pPr>
        <w:pStyle w:val="TextBody"/>
        <w:bidi w:val="0"/>
        <w:spacing w:before="240" w:after="0"/>
        <w:jc w:val="left"/>
        <w:rPr>
          <w:rFonts w:ascii="Times New Roman" w:hAnsi="Times New Roman"/>
          <w:sz w:val="20"/>
        </w:rPr>
      </w:pPr>
      <w:r>
        <w:rPr>
          <w:rFonts w:ascii="Times New Roman" w:hAnsi="Times New Roman"/>
          <w:sz w:val="20"/>
        </w:rPr>
        <w:t xml:space="preserve">(g) 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 </w:t>
      </w:r>
    </w:p>
    <w:p>
      <w:pPr>
        <w:pStyle w:val="TextBody"/>
        <w:bidi w:val="0"/>
        <w:spacing w:before="240" w:after="0"/>
        <w:jc w:val="left"/>
        <w:rPr>
          <w:rFonts w:ascii="Times New Roman" w:hAnsi="Times New Roman"/>
          <w:sz w:val="20"/>
        </w:rPr>
      </w:pPr>
      <w:r>
        <w:rPr>
          <w:rFonts w:ascii="Times New Roman" w:hAnsi="Times New Roman"/>
          <w:sz w:val="20"/>
        </w:rPr>
        <w:t xml:space="preserve">(h) 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 (i) 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3" w:name="anxa76201_75"/>
      <w:bookmarkEnd w:id="183"/>
      <w:r>
        <w:rPr>
          <w:rFonts w:ascii="Times New Roman" w:hAnsi="Times New Roman"/>
          <w:b/>
          <w:sz w:val="20"/>
        </w:rPr>
        <w:t xml:space="preserve">SECTION 6.02 </w:t>
      </w:r>
      <w:r>
        <w:rPr>
          <w:rFonts w:ascii="Times New Roman" w:hAnsi="Times New Roman"/>
          <w:b/>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shall use reasonable best efforts to prepare and file with the SEC within thirty (30) calendar days of the Closing a registration statement of DXL (the “</w:t>
      </w:r>
      <w:r>
        <w:rPr>
          <w:rFonts w:ascii="Times New Roman" w:hAnsi="Times New Roman"/>
          <w:sz w:val="20"/>
          <w:u w:val="single"/>
        </w:rPr>
        <w:t>Resale Registration Statement</w:t>
      </w:r>
      <w:r>
        <w:rPr>
          <w:rFonts w:ascii="Times New Roman" w:hAnsi="Times New Roman"/>
          <w:sz w:val="20"/>
        </w:rPr>
        <w:t>”) registering the resale by the FBB Stockholders (the “</w:t>
      </w:r>
      <w:r>
        <w:rPr>
          <w:rFonts w:ascii="Times New Roman" w:hAnsi="Times New Roman"/>
          <w:sz w:val="20"/>
          <w:u w:val="single"/>
        </w:rPr>
        <w:t>FBB Selling Stockholders</w:t>
      </w:r>
      <w:r>
        <w:rPr>
          <w:rFonts w:ascii="Times New Roman" w:hAnsi="Times New Roman"/>
          <w:sz w:val="20"/>
        </w:rPr>
        <w:t xml:space="preserve">”)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(b) 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hAnsi="Times New Roman"/>
          <w:sz w:val="20"/>
          <w:u w:val="single"/>
        </w:rPr>
        <w:t>Automatic Shelf Registration Statement</w:t>
      </w:r>
      <w:r>
        <w:rPr>
          <w:rFonts w:ascii="Times New Roman" w:hAnsi="Times New Roman"/>
          <w:sz w:val="20"/>
        </w:rPr>
        <w:t xml:space="preserve">”),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 covered by such Resale Registration Statement (as used in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Registrable Securities</w:t>
      </w:r>
      <w:r>
        <w:rPr>
          <w:rFonts w:ascii="Times New Roman" w:hAnsi="Times New Roman"/>
          <w:sz w:val="20"/>
        </w:rPr>
        <w:t xml:space="preserve">”)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 DXL has not yet completed the Maximum Number of Takedowns at the request of any FBB Significant Stockholder permitted pursuant to </w:t>
      </w:r>
      <w:r>
        <w:rPr>
          <w:rFonts w:ascii="Times New Roman" w:hAnsi="Times New Roman"/>
          <w:sz w:val="20"/>
          <w:u w:val="single"/>
        </w:rPr>
        <w:t>Section 6.02(d)</w:t>
      </w:r>
      <w:r>
        <w:rPr>
          <w:rFonts w:ascii="Times New Roman" w:hAnsi="Times New Roman"/>
          <w:sz w:val="20"/>
        </w:rPr>
        <w:t xml:space="preserve"> hereof, DXL shall, upon receipt of a valid Demand Notice delivered at least ten (10) Business Days in advance by any FBB Significant Stockholder requesting that DXL facilitate a takedown pursuant to </w:t>
      </w:r>
      <w:r>
        <w:rPr>
          <w:rFonts w:ascii="Times New Roman" w:hAnsi="Times New Roman"/>
          <w:sz w:val="20"/>
          <w:u w:val="single"/>
        </w:rPr>
        <w:t>Section 6.02(d)</w:t>
      </w:r>
      <w:r>
        <w:rPr>
          <w:rFonts w:ascii="Times New Roman" w:hAnsi="Times New Roman"/>
          <w:sz w:val="20"/>
        </w:rPr>
        <w:t xml:space="preserve"> hereof, again file a Resale Registration Statement (or a registration statement on any such other form as DXL deems appropriate), which may be an Automatic Shelf Registration Statement, if DXL is so eligible, and facilitate a “takedown” (which may include Underwritten Offerings) pursuant to this </w:t>
      </w:r>
      <w:r>
        <w:rPr>
          <w:rFonts w:ascii="Times New Roman" w:hAnsi="Times New Roman"/>
          <w:sz w:val="20"/>
          <w:u w:val="single"/>
        </w:rPr>
        <w:t>Section 6.02</w:t>
      </w:r>
      <w:r>
        <w:rPr>
          <w:rFonts w:ascii="Times New Roman" w:hAnsi="Times New Roman"/>
          <w:sz w:val="20"/>
        </w:rPr>
        <w:t xml:space="preserve">, and shall have no further obligation to cause such Resale Registration Statement (or such other form) to be effective and usable beyond the completion of such takedown; provided, further, however, that DXL shall not be deemed to have breached its obligations under this </w:t>
      </w:r>
      <w:r>
        <w:rPr>
          <w:rFonts w:ascii="Times New Roman" w:hAnsi="Times New Roman"/>
          <w:sz w:val="20"/>
          <w:u w:val="single"/>
        </w:rPr>
        <w:t>Section 6.02</w:t>
      </w:r>
      <w:r>
        <w:rPr>
          <w:rFonts w:ascii="Times New Roman" w:hAnsi="Times New Roman"/>
          <w:sz w:val="20"/>
        </w:rPr>
        <w:t xml:space="preserve">, (x) if DXL shall fail to fulfill its obligations under this </w:t>
      </w:r>
      <w:r>
        <w:rPr>
          <w:rFonts w:ascii="Times New Roman" w:hAnsi="Times New Roman"/>
          <w:sz w:val="20"/>
          <w:u w:val="single"/>
        </w:rPr>
        <w:t>Section 6.02</w:t>
      </w:r>
      <w:r>
        <w:rPr>
          <w:rFonts w:ascii="Times New Roman" w:hAnsi="Times New Roman"/>
          <w:sz w:val="20"/>
        </w:rPr>
        <w:t xml:space="preserve">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 perform or comply with its covenants in this </w:t>
      </w:r>
      <w:r>
        <w:rPr>
          <w:rFonts w:ascii="Times New Roman" w:hAnsi="Times New Roman"/>
          <w:sz w:val="20"/>
          <w:u w:val="single"/>
        </w:rPr>
        <w:t>Section 6.02</w:t>
      </w:r>
      <w:r>
        <w:rPr>
          <w:rFonts w:ascii="Times New Roman" w:hAnsi="Times New Roman"/>
          <w:sz w:val="20"/>
        </w:rPr>
        <w:t xml:space="preserve">; provided, that the number of such suspensions or delays under this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in total the suspensions or delays shall not exceed a suspension or delay of more than ninety (90) calendar days during any such twelve (12) month period).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 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 (ii) the consent of FBB’s independent auditor to include or incorporate by reference audited financial statement reports in the Resale Registration Statement, (iii) information necessary to enable DXL to prepare required pro forma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 </w:t>
      </w:r>
    </w:p>
    <w:p>
      <w:pPr>
        <w:pStyle w:val="TextBody"/>
        <w:bidi w:val="0"/>
        <w:spacing w:before="240" w:after="0"/>
        <w:jc w:val="left"/>
        <w:rPr>
          <w:rFonts w:ascii="Times New Roman" w:hAnsi="Times New Roman"/>
          <w:sz w:val="20"/>
        </w:rPr>
      </w:pPr>
      <w:r>
        <w:rPr>
          <w:rFonts w:ascii="Times New Roman" w:hAnsi="Times New Roman"/>
          <w:sz w:val="20"/>
        </w:rPr>
        <w:t>(d) Upon the written request (each, a “</w:t>
      </w:r>
      <w:r>
        <w:rPr>
          <w:rFonts w:ascii="Times New Roman" w:hAnsi="Times New Roman"/>
          <w:sz w:val="20"/>
          <w:u w:val="single"/>
        </w:rPr>
        <w:t>Demand Notice</w:t>
      </w:r>
      <w:r>
        <w:rPr>
          <w:rFonts w:ascii="Times New Roman" w:hAnsi="Times New Roman"/>
          <w:sz w:val="20"/>
        </w:rPr>
        <w:t xml:space="preserve">”)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 (ii) more than the Maximum Number of Takedowns per such FBB Significant Stockholder under this </w:t>
      </w:r>
      <w:r>
        <w:rPr>
          <w:rFonts w:ascii="Times New Roman" w:hAnsi="Times New Roman"/>
          <w:sz w:val="20"/>
          <w:u w:val="single"/>
        </w:rPr>
        <w:t>Section 6.02(d</w:t>
      </w:r>
      <w:r>
        <w:rPr>
          <w:rFonts w:ascii="Times New Roman" w:hAnsi="Times New Roman"/>
          <w:sz w:val="20"/>
        </w:rPr>
        <w:t xml:space="preserve">) and, in any event, shall not be obligated to facilitate a takedown under this </w:t>
      </w:r>
      <w:r>
        <w:rPr>
          <w:rFonts w:ascii="Times New Roman" w:hAnsi="Times New Roman"/>
          <w:sz w:val="20"/>
          <w:u w:val="single"/>
        </w:rPr>
        <w:t>Section 6.02(d)</w:t>
      </w:r>
      <w:r>
        <w:rPr>
          <w:rFonts w:ascii="Times New Roman" w:hAnsi="Times New Roman"/>
          <w:sz w:val="20"/>
        </w:rPr>
        <w:t xml:space="preserve">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(90th) calendar day after receipt by DXL of the written request from such FBB Significant Stockholder to effect a takedown under this </w:t>
      </w:r>
      <w:r>
        <w:rPr>
          <w:rFonts w:ascii="Times New Roman" w:hAnsi="Times New Roman"/>
          <w:sz w:val="20"/>
          <w:u w:val="single"/>
        </w:rPr>
        <w:t>Section 6.02(d</w:t>
      </w:r>
      <w:r>
        <w:rPr>
          <w:rFonts w:ascii="Times New Roman" w:hAnsi="Times New Roman"/>
          <w:sz w:val="20"/>
        </w:rPr>
        <w:t xml:space="preserve">); provided, that the number of any such delays or any delay pursuant to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no more than ninety (90) calendar days in any twelve (12) month period). In connection with any takedown pursuant to this </w:t>
      </w:r>
      <w:r>
        <w:rPr>
          <w:rFonts w:ascii="Times New Roman" w:hAnsi="Times New Roman"/>
          <w:sz w:val="20"/>
          <w:u w:val="single"/>
        </w:rPr>
        <w:t>Section 6.02(d)</w:t>
      </w:r>
      <w:r>
        <w:rPr>
          <w:rFonts w:ascii="Times New Roman" w:hAnsi="Times New Roman"/>
          <w:sz w:val="20"/>
        </w:rPr>
        <w:t xml:space="preserve">,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 (y) 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 terminate (x) on a reasonable basis, any takedown pursuant to </w:t>
      </w:r>
      <w:r>
        <w:rPr>
          <w:rFonts w:ascii="Times New Roman" w:hAnsi="Times New Roman"/>
          <w:sz w:val="20"/>
          <w:u w:val="single"/>
        </w:rPr>
        <w:t>Section 6.02</w:t>
      </w:r>
      <w:r>
        <w:rPr>
          <w:rFonts w:ascii="Times New Roman" w:hAnsi="Times New Roman"/>
          <w:sz w:val="20"/>
        </w:rPr>
        <w:t xml:space="preserve"> at least two (2) Business Days prior to the “launch” of any marketing efforts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and (y) one takedown in any twelve (12)-month period pursuant to </w:t>
      </w:r>
      <w:r>
        <w:rPr>
          <w:rFonts w:ascii="Times New Roman" w:hAnsi="Times New Roman"/>
          <w:sz w:val="20"/>
          <w:u w:val="single"/>
        </w:rPr>
        <w:t>Section 6.02</w:t>
      </w:r>
      <w:r>
        <w:rPr>
          <w:rFonts w:ascii="Times New Roman" w:hAnsi="Times New Roman"/>
          <w:sz w:val="20"/>
        </w:rPr>
        <w:t xml:space="preserve"> after the “launch” of any marketing efforts of such takedown but before completion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hAnsi="Times New Roman"/>
          <w:sz w:val="20"/>
          <w:u w:val="single"/>
        </w:rPr>
        <w:t>Section 6.02(e)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both cases, any Registration Expenses in connection with any such terminated takedown shall be borne by such FBB Significant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hAnsi="Times New Roman"/>
          <w:sz w:val="20"/>
          <w:u w:val="single"/>
        </w:rPr>
        <w:t>DXL Initiated Registration</w:t>
      </w:r>
      <w:r>
        <w:rPr>
          <w:rFonts w:ascii="Times New Roman" w:hAnsi="Times New Roman"/>
          <w:sz w:val="20"/>
        </w:rPr>
        <w:t>”), DXL shall give written notice (each, a “</w:t>
      </w:r>
      <w:r>
        <w:rPr>
          <w:rFonts w:ascii="Times New Roman" w:hAnsi="Times New Roman"/>
          <w:sz w:val="20"/>
          <w:u w:val="single"/>
        </w:rPr>
        <w:t>Piggyback Notice</w:t>
      </w:r>
      <w:r>
        <w:rPr>
          <w:rFonts w:ascii="Times New Roman" w:hAnsi="Times New Roman"/>
          <w:sz w:val="20"/>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hAnsi="Times New Roman"/>
          <w:sz w:val="20"/>
          <w:u w:val="single"/>
        </w:rPr>
        <w:t>Piggyback Registration</w:t>
      </w:r>
      <w:r>
        <w:rPr>
          <w:rFonts w:ascii="Times New Roman" w:hAnsi="Times New Roman"/>
          <w:sz w:val="20"/>
        </w:rPr>
        <w:t xml:space="preserve">”). DXL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such FBB Significant Stockholders pursuant to this </w:t>
      </w:r>
      <w:r>
        <w:rPr>
          <w:rFonts w:ascii="Times New Roman" w:hAnsi="Times New Roman"/>
          <w:sz w:val="20"/>
          <w:u w:val="single"/>
        </w:rPr>
        <w:t>Section 6.02(e)</w:t>
      </w:r>
      <w:r>
        <w:rPr>
          <w:rFonts w:ascii="Times New Roman" w:hAnsi="Times New Roman"/>
          <w:sz w:val="20"/>
        </w:rPr>
        <w:t xml:space="preserv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 pursuant to </w:t>
      </w:r>
      <w:r>
        <w:rPr>
          <w:rFonts w:ascii="Times New Roman" w:hAnsi="Times New Roman"/>
          <w:sz w:val="20"/>
          <w:u w:val="single"/>
        </w:rPr>
        <w:t>Section 6.02(d)</w:t>
      </w:r>
      <w:r>
        <w:rPr>
          <w:rFonts w:ascii="Times New Roman" w:hAnsi="Times New Roman"/>
          <w:sz w:val="20"/>
        </w:rPr>
        <w:t xml:space="preserve">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w:t>
      </w:r>
      <w:r>
        <w:rPr>
          <w:rFonts w:ascii="Times New Roman" w:hAnsi="Times New Roman"/>
          <w:sz w:val="20"/>
          <w:u w:val="single"/>
        </w:rPr>
        <w:t>Section 6.02(d)</w:t>
      </w:r>
      <w:r>
        <w:rPr>
          <w:rFonts w:ascii="Times New Roman" w:hAnsi="Times New Roman"/>
          <w:sz w:val="20"/>
        </w:rPr>
        <w:t xml:space="preserve"> or this </w:t>
      </w:r>
      <w:r>
        <w:rPr>
          <w:rFonts w:ascii="Times New Roman" w:hAnsi="Times New Roman"/>
          <w:sz w:val="20"/>
          <w:u w:val="single"/>
        </w:rPr>
        <w:t>Section 6.02(e)</w:t>
      </w:r>
      <w:r>
        <w:rPr>
          <w:rFonts w:ascii="Times New Roman" w:hAnsi="Times New Roman"/>
          <w:sz w:val="20"/>
        </w:rPr>
        <w:t xml:space="preserv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 (60) 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 pursuant to Rule 144. In addition, to the extent the offering contemplated by the party submitting a Demand Notice or by DXL or any other stockholder is an overnight or one-day block trade or bought deal, the Piggyback Notice and other provisions contained in this </w:t>
      </w:r>
      <w:r>
        <w:rPr>
          <w:rFonts w:ascii="Times New Roman" w:hAnsi="Times New Roman"/>
          <w:sz w:val="20"/>
          <w:u w:val="single"/>
        </w:rPr>
        <w:t>Section 6.02(e)</w:t>
      </w:r>
      <w:r>
        <w:rPr>
          <w:rFonts w:ascii="Times New Roman" w:hAnsi="Times New Roman"/>
          <w:sz w:val="20"/>
        </w:rPr>
        <w:t xml:space="preserve">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 </w:t>
      </w:r>
    </w:p>
    <w:p>
      <w:pPr>
        <w:pStyle w:val="TextBody"/>
        <w:bidi w:val="0"/>
        <w:spacing w:before="240" w:after="0"/>
        <w:jc w:val="left"/>
        <w:rPr>
          <w:rFonts w:ascii="Times New Roman" w:hAnsi="Times New Roman"/>
          <w:sz w:val="20"/>
        </w:rPr>
      </w:pPr>
      <w:r>
        <w:rPr>
          <w:rFonts w:ascii="Times New Roman" w:hAnsi="Times New Roman"/>
          <w:sz w:val="20"/>
        </w:rPr>
        <w:t>(g) 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hAnsi="Times New Roman"/>
          <w:sz w:val="20"/>
          <w:u w:val="single"/>
        </w:rPr>
        <w:t>Indemnified Party</w:t>
      </w:r>
      <w:r>
        <w:rPr>
          <w:rFonts w:ascii="Times New Roman" w:hAnsi="Times New Roman"/>
          <w:sz w:val="20"/>
        </w:rPr>
        <w:t>” and collectively, the “</w:t>
      </w:r>
      <w:r>
        <w:rPr>
          <w:rFonts w:ascii="Times New Roman" w:hAnsi="Times New Roman"/>
          <w:sz w:val="20"/>
          <w:u w:val="single"/>
        </w:rPr>
        <w:t>Indemnified Parties</w:t>
      </w:r>
      <w:r>
        <w:rPr>
          <w:rFonts w:ascii="Times New Roman" w:hAnsi="Times New Roman"/>
          <w:sz w:val="20"/>
        </w:rPr>
        <w:t xml:space="preserve">”),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(h) 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6.02(g)</w:t>
      </w:r>
      <w:r>
        <w:rPr>
          <w:rFonts w:ascii="Times New Roman" w:hAnsi="Times New Roman"/>
          <w:sz w:val="20"/>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supplied by, such indemnifying party or Indemnified Parties, and the parties’ relative intent, knowledge, access to information and opportunity to correct or prevent such action. The amount paid or payable by a party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6.02(h)</w:t>
      </w:r>
      <w:r>
        <w:rPr>
          <w:rFonts w:ascii="Times New Roman" w:hAnsi="Times New Roman"/>
          <w:sz w:val="20"/>
        </w:rPr>
        <w:t xml:space="preserve"> as a result of the losses, claims, damages, liabilities and expenses referred to above shall be deemed to include any reasonable out of pocket legal fees or other reasonable an documented expenses incurred by such party in connection with any investigation or proceeding. Any obligation of FBB Selling Stockholders to contribute pursuant to this </w:t>
      </w:r>
      <w:r>
        <w:rPr>
          <w:rFonts w:ascii="Times New Roman" w:hAnsi="Times New Roman"/>
          <w:sz w:val="20"/>
          <w:u w:val="single"/>
        </w:rPr>
        <w:t>Section 6.02(h)</w:t>
      </w:r>
      <w:r>
        <w:rPr>
          <w:rFonts w:ascii="Times New Roman" w:hAnsi="Times New Roman"/>
          <w:sz w:val="20"/>
        </w:rPr>
        <w:t xml:space="preserve">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 this </w:t>
      </w:r>
      <w:r>
        <w:rPr>
          <w:rFonts w:ascii="Times New Roman" w:hAnsi="Times New Roman"/>
          <w:sz w:val="20"/>
          <w:u w:val="single"/>
        </w:rPr>
        <w:t>Section 6.02(h)</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6.02(h)</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(i) With a view to making available the benefits of certain rules and regulations of the SEC which may at any time permit the sale of Registrable Securities of DXL to the public without registration, DXL agrees: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file with the SEC in a timely manner all reports and other documents required of DXL under the Securities Act and the Exchange Act (at any time after it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receipt by DXL of customary representations and other documentation reasonably acceptable to DXL in connection therewith, upon the earlier of such time as the Registrable Securities (x) have been sold or transferred pursuant to an effective registration statement, (y) 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(j) DXL shall pay all Registration Expenses and the FBB Significant Stockholder who has sent the Demand Notice, together with each FBB Significant Stockholder participating in a Piggyback Registration, as applicable, shall pay all Selling Expenses in connection with this </w:t>
      </w:r>
      <w:r>
        <w:rPr>
          <w:rFonts w:ascii="Times New Roman" w:hAnsi="Times New Roman"/>
          <w:sz w:val="20"/>
          <w:u w:val="single"/>
        </w:rPr>
        <w:t>Section 6.02</w:t>
      </w:r>
      <w:r>
        <w:rPr>
          <w:rFonts w:ascii="Times New Roman" w:hAnsi="Times New Roman"/>
          <w:sz w:val="20"/>
        </w:rPr>
        <w:t xml:space="preserve">; provided, 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 </w:t>
      </w:r>
    </w:p>
    <w:p>
      <w:pPr>
        <w:pStyle w:val="TextBody"/>
        <w:bidi w:val="0"/>
        <w:spacing w:before="240" w:after="0"/>
        <w:jc w:val="left"/>
        <w:rPr>
          <w:rFonts w:ascii="Times New Roman" w:hAnsi="Times New Roman"/>
          <w:sz w:val="20"/>
        </w:rPr>
      </w:pPr>
      <w:r>
        <w:rPr>
          <w:rFonts w:ascii="Times New Roman" w:hAnsi="Times New Roman"/>
          <w:sz w:val="20"/>
        </w:rPr>
        <w:t xml:space="preserve">(k) 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 senior or superior to the registration rights granted to the FBB Significant Stockholders under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covenants contained in this </w:t>
      </w:r>
      <w:r>
        <w:rPr>
          <w:rFonts w:ascii="Times New Roman" w:hAnsi="Times New Roman"/>
          <w:sz w:val="20"/>
          <w:u w:val="single"/>
        </w:rPr>
        <w:t>Section 6.02</w:t>
      </w:r>
      <w:r>
        <w:rPr>
          <w:rFonts w:ascii="Times New Roman" w:hAnsi="Times New Roman"/>
          <w:sz w:val="20"/>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 obligations with respect to indemnification and contribution of the FBB Selling Stockholders as set forth in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4" w:name="anxa76201_76"/>
      <w:bookmarkEnd w:id="184"/>
      <w:r>
        <w:rPr>
          <w:rFonts w:ascii="Times New Roman" w:hAnsi="Times New Roman"/>
          <w:b/>
          <w:sz w:val="20"/>
        </w:rPr>
        <w:t xml:space="preserve">SECTION 6.03 </w:t>
      </w:r>
      <w:r>
        <w:rPr>
          <w:rFonts w:ascii="Times New Roman" w:hAnsi="Times New Roman"/>
          <w:b/>
          <w:sz w:val="20"/>
          <w:u w:val="single"/>
        </w:rPr>
        <w:t>Access to Information; Confidentiality</w:t>
      </w:r>
      <w:r>
        <w:rPr>
          <w:rFonts w:ascii="Times New Roman" w:hAnsi="Times New Roman"/>
          <w:sz w:val="20"/>
        </w:rPr>
        <w:t xml:space="preserve">. From the date of this Agreement until the Effective Time, upon reasonable notice 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 records that are stored in an offsite archive location pursuant to the ordinary course document storage policies. Any access pursuant to this </w:t>
      </w:r>
      <w:r>
        <w:rPr>
          <w:rFonts w:ascii="Times New Roman" w:hAnsi="Times New Roman"/>
          <w:sz w:val="20"/>
          <w:u w:val="single"/>
        </w:rPr>
        <w:t>Section 6.03</w:t>
      </w:r>
      <w:r>
        <w:rPr>
          <w:rFonts w:ascii="Times New Roman" w:hAnsi="Times New Roman"/>
          <w:sz w:val="20"/>
        </w:rPr>
        <w:t xml:space="preserve">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w:t>
      </w:r>
      <w:r>
        <w:rPr>
          <w:rFonts w:ascii="Times New Roman" w:hAnsi="Times New Roman"/>
          <w:sz w:val="20"/>
          <w:u w:val="single"/>
        </w:rPr>
        <w:t>Section 6.03</w:t>
      </w:r>
      <w:r>
        <w:rPr>
          <w:rFonts w:ascii="Times New Roman" w:hAnsi="Times New Roman"/>
          <w:sz w:val="20"/>
        </w:rPr>
        <w:t xml:space="preserve">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 withholding party shall use its reasonable best efforts to make appropriate substitute arrangements to permit reasonable disclosure not in violation of any Law) or (c) 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hAnsi="Times New Roman"/>
          <w:sz w:val="20"/>
          <w:u w:val="single"/>
        </w:rPr>
        <w:t>Section 6.03</w:t>
      </w:r>
      <w:r>
        <w:rPr>
          <w:rFonts w:ascii="Times New Roman" w:hAnsi="Times New Roman"/>
          <w:sz w:val="20"/>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hAnsi="Times New Roman"/>
          <w:sz w:val="20"/>
          <w:u w:val="single"/>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5" w:name="anxa76201_77"/>
      <w:bookmarkEnd w:id="185"/>
      <w:r>
        <w:rPr>
          <w:rFonts w:ascii="Times New Roman" w:hAnsi="Times New Roman"/>
          <w:b/>
          <w:sz w:val="20"/>
        </w:rPr>
        <w:t xml:space="preserve">SECTION 6.04 </w:t>
      </w:r>
      <w:r>
        <w:rPr>
          <w:rFonts w:ascii="Times New Roman" w:hAnsi="Times New Roman"/>
          <w:b/>
          <w:sz w:val="20"/>
          <w:u w:val="single"/>
        </w:rPr>
        <w:t>Required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hAnsi="Times New Roman"/>
          <w:sz w:val="20"/>
          <w:u w:val="single"/>
        </w:rPr>
        <w:t>Consents</w:t>
      </w:r>
      <w:r>
        <w:rPr>
          <w:rFonts w:ascii="Times New Roman" w:hAnsi="Times New Roman"/>
          <w:sz w:val="20"/>
        </w:rPr>
        <w:t xml:space="preserve">”)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 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substance thereof) between it and their respective Subsidiaries and Representatives, on the one hand, and any Governmental Entity or members of any Governmental Entity’s staff, on the other hand, with respect to this Agreement and the Transactions. </w:t>
      </w:r>
    </w:p>
    <w:p>
      <w:pPr>
        <w:pStyle w:val="TextBody"/>
        <w:bidi w:val="0"/>
        <w:spacing w:before="240" w:after="0"/>
        <w:jc w:val="left"/>
        <w:rPr>
          <w:rFonts w:ascii="Times New Roman" w:hAnsi="Times New Roman"/>
          <w:sz w:val="20"/>
        </w:rPr>
      </w:pPr>
      <w:bookmarkStart w:id="186" w:name="anxa76201_78"/>
      <w:bookmarkEnd w:id="186"/>
      <w:r>
        <w:rPr>
          <w:rFonts w:ascii="Times New Roman" w:hAnsi="Times New Roman"/>
          <w:b/>
          <w:sz w:val="20"/>
        </w:rPr>
        <w:t xml:space="preserve">SECTION 6.05 </w:t>
      </w:r>
      <w:r>
        <w:rPr>
          <w:rFonts w:ascii="Times New Roman" w:hAnsi="Times New Roman"/>
          <w:b/>
          <w:sz w:val="20"/>
          <w:u w:val="single"/>
        </w:rPr>
        <w:t>Stockholder Litigation</w:t>
      </w:r>
      <w:r>
        <w:rPr>
          <w:rFonts w:ascii="Times New Roman" w:hAnsi="Times New Roman"/>
          <w:sz w:val="20"/>
        </w:rPr>
        <w:t xml:space="preserve">. Each party shall give each other party prompt notice of any stockholder litigation against such 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 </w:t>
      </w:r>
    </w:p>
    <w:p>
      <w:pPr>
        <w:pStyle w:val="TextBody"/>
        <w:bidi w:val="0"/>
        <w:spacing w:before="240" w:after="0"/>
        <w:jc w:val="left"/>
        <w:rPr>
          <w:rFonts w:ascii="Times New Roman" w:hAnsi="Times New Roman"/>
          <w:sz w:val="20"/>
        </w:rPr>
      </w:pPr>
      <w:bookmarkStart w:id="187" w:name="anxa76201_79"/>
      <w:bookmarkEnd w:id="187"/>
      <w:r>
        <w:rPr>
          <w:rFonts w:ascii="Times New Roman" w:hAnsi="Times New Roman"/>
          <w:b/>
          <w:sz w:val="20"/>
        </w:rPr>
        <w:t xml:space="preserve">SECTION 6.06 </w:t>
      </w:r>
      <w:r>
        <w:rPr>
          <w:rFonts w:ascii="Times New Roman" w:hAnsi="Times New Roman"/>
          <w:b/>
          <w:sz w:val="20"/>
          <w:u w:val="single"/>
        </w:rPr>
        <w:t>DXL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anything contained in, and subject to, </w:t>
      </w:r>
      <w:r>
        <w:rPr>
          <w:rFonts w:ascii="Times New Roman" w:hAnsi="Times New Roman"/>
          <w:sz w:val="20"/>
          <w:u w:val="single"/>
        </w:rPr>
        <w:t>Section 6.01(a)</w:t>
      </w:r>
      <w:r>
        <w:rPr>
          <w:rFonts w:ascii="Times New Roman" w:hAnsi="Times New Roman"/>
          <w:sz w:val="20"/>
        </w:rPr>
        <w:t xml:space="preserve">,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 date that the DXL Stockholders Meeting is required to be held in accordance with </w:t>
      </w:r>
      <w:r>
        <w:rPr>
          <w:rFonts w:ascii="Times New Roman" w:hAnsi="Times New Roman"/>
          <w:sz w:val="20"/>
          <w:u w:val="single"/>
        </w:rPr>
        <w:t>Section 6.01(h)</w:t>
      </w:r>
      <w:r>
        <w:rPr>
          <w:rFonts w:ascii="Times New Roman" w:hAnsi="Times New Roman"/>
          <w:sz w:val="20"/>
        </w:rPr>
        <w:t xml:space="preserve">.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 </w:t>
      </w:r>
    </w:p>
    <w:p>
      <w:pPr>
        <w:pStyle w:val="TextBody"/>
        <w:bidi w:val="0"/>
        <w:spacing w:before="240" w:after="0"/>
        <w:jc w:val="left"/>
        <w:rPr>
          <w:rFonts w:ascii="Times New Roman" w:hAnsi="Times New Roman"/>
          <w:sz w:val="20"/>
        </w:rPr>
      </w:pPr>
      <w:r>
        <w:rPr>
          <w:rFonts w:ascii="Times New Roman" w:hAnsi="Times New Roman"/>
          <w:sz w:val="20"/>
        </w:rPr>
        <w:t xml:space="preserve">(b) 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 </w:t>
      </w:r>
    </w:p>
    <w:p>
      <w:pPr>
        <w:pStyle w:val="TextBody"/>
        <w:bidi w:val="0"/>
        <w:spacing w:before="240" w:after="0"/>
        <w:jc w:val="left"/>
        <w:rPr>
          <w:rFonts w:ascii="Times New Roman" w:hAnsi="Times New Roman"/>
          <w:sz w:val="20"/>
        </w:rPr>
      </w:pPr>
      <w:bookmarkStart w:id="188" w:name="anxa76201_80"/>
      <w:bookmarkEnd w:id="188"/>
      <w:r>
        <w:rPr>
          <w:rFonts w:ascii="Times New Roman" w:hAnsi="Times New Roman"/>
          <w:b/>
          <w:sz w:val="20"/>
        </w:rPr>
        <w:t xml:space="preserve">SECTION 6.07 </w:t>
      </w:r>
      <w:r>
        <w:rPr>
          <w:rFonts w:ascii="Times New Roman" w:hAnsi="Times New Roman"/>
          <w:b/>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explicitly provided in this Agreement, all costs and expenses incurred in connection with this Agreement, the Merger and the other Transactions will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pursuant to </w:t>
      </w:r>
      <w:r>
        <w:rPr>
          <w:rFonts w:ascii="Times New Roman" w:hAnsi="Times New Roman"/>
          <w:sz w:val="20"/>
          <w:u w:val="single"/>
        </w:rPr>
        <w:t xml:space="preserve">Section 8.01(j) </w:t>
      </w:r>
      <w:r>
        <w:rPr>
          <w:rFonts w:ascii="Times New Roman" w:hAnsi="Times New Roman"/>
          <w:sz w:val="20"/>
        </w:rPr>
        <w:t xml:space="preserve">(accepting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FBB pursuant to </w:t>
      </w:r>
      <w:r>
        <w:rPr>
          <w:rFonts w:ascii="Times New Roman" w:hAnsi="Times New Roman"/>
          <w:sz w:val="20"/>
          <w:u w:val="single"/>
        </w:rPr>
        <w:t>Section 8.01(k)</w:t>
      </w:r>
      <w:r>
        <w:rPr>
          <w:rFonts w:ascii="Times New Roman" w:hAnsi="Times New Roman"/>
          <w:sz w:val="20"/>
        </w:rPr>
        <w:t xml:space="preserve"> (change in DXL Board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(iii) (x) a DXL Takeover Proposal shall have been publicly announced or disclosed or otherwise communicated to DXL or the DXL Board after the date of this Agreement but prior to the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Agreement and this Agreement is terminated pursuant to </w:t>
      </w:r>
      <w:r>
        <w:rPr>
          <w:rFonts w:ascii="Times New Roman" w:hAnsi="Times New Roman"/>
          <w:sz w:val="20"/>
          <w:u w:val="single"/>
        </w:rPr>
        <w:t>Section 8.01(c)</w:t>
      </w:r>
      <w:r>
        <w:rPr>
          <w:rFonts w:ascii="Times New Roman" w:hAnsi="Times New Roman"/>
          <w:sz w:val="20"/>
        </w:rPr>
        <w:t xml:space="preserve"> (failure to obtain Required DXL Stockholder Vote), </w:t>
      </w:r>
      <w:r>
        <w:rPr>
          <w:rFonts w:ascii="Times New Roman" w:hAnsi="Times New Roman"/>
          <w:sz w:val="20"/>
          <w:u w:val="single"/>
        </w:rPr>
        <w:t>Section 8.01(e)</w:t>
      </w:r>
      <w:r>
        <w:rPr>
          <w:rFonts w:ascii="Times New Roman" w:hAnsi="Times New Roman"/>
          <w:sz w:val="20"/>
        </w:rPr>
        <w:t xml:space="preserve"> (lapse of End Date) or </w:t>
      </w:r>
      <w:r>
        <w:rPr>
          <w:rFonts w:ascii="Times New Roman" w:hAnsi="Times New Roman"/>
          <w:sz w:val="20"/>
          <w:u w:val="single"/>
        </w:rPr>
        <w:t>Section 8.01(g)</w:t>
      </w:r>
      <w:r>
        <w:rPr>
          <w:rFonts w:ascii="Times New Roman" w:hAnsi="Times New Roman"/>
          <w:sz w:val="20"/>
        </w:rPr>
        <w:t xml:space="preserve"> (DXL breach) and (y) within twelve (12) months after the date of such termination, DXL enters into an agreement with respect to, or consummates, a Subsequent Transaction in respect of the DXL Takeover Proposal referred to in the immediately preceding clause (x); </w:t>
      </w:r>
    </w:p>
    <w:p>
      <w:pPr>
        <w:pStyle w:val="TextBody"/>
        <w:bidi w:val="0"/>
        <w:spacing w:before="240" w:after="0"/>
        <w:jc w:val="left"/>
        <w:rPr>
          <w:rFonts w:ascii="Times New Roman" w:hAnsi="Times New Roman"/>
          <w:sz w:val="20"/>
        </w:rPr>
      </w:pPr>
      <w:r>
        <w:rPr>
          <w:rFonts w:ascii="Times New Roman" w:hAnsi="Times New Roman"/>
          <w:sz w:val="20"/>
        </w:rPr>
        <w:t>then DXL shall pay FBB a fee equal to $2,500,000 (the “</w:t>
      </w:r>
      <w:r>
        <w:rPr>
          <w:rFonts w:ascii="Times New Roman" w:hAnsi="Times New Roman"/>
          <w:sz w:val="20"/>
          <w:u w:val="single"/>
        </w:rPr>
        <w:t>DXL Termination Fee</w:t>
      </w:r>
      <w:r>
        <w:rPr>
          <w:rFonts w:ascii="Times New Roman" w:hAnsi="Times New Roman"/>
          <w:sz w:val="20"/>
        </w:rPr>
        <w:t xml:space="preserve">”), by wire transfer of same day funds to an account designated by FBB, in each case substantially concurrently with, or prior to, such termination (in the case of a termination referred to in </w:t>
      </w:r>
      <w:r>
        <w:rPr>
          <w:rFonts w:ascii="Times New Roman" w:hAnsi="Times New Roman"/>
          <w:sz w:val="20"/>
          <w:u w:val="single"/>
        </w:rPr>
        <w:t>Section 6.07(b)(i)</w:t>
      </w:r>
      <w:r>
        <w:rPr>
          <w:rFonts w:ascii="Times New Roman" w:hAnsi="Times New Roman"/>
          <w:sz w:val="20"/>
        </w:rPr>
        <w:t xml:space="preserve"> or </w:t>
      </w:r>
      <w:r>
        <w:rPr>
          <w:rFonts w:ascii="Times New Roman" w:hAnsi="Times New Roman"/>
          <w:sz w:val="20"/>
          <w:u w:val="single"/>
        </w:rPr>
        <w:t>Section 6.07(b)(ii)</w:t>
      </w:r>
      <w:r>
        <w:rPr>
          <w:rFonts w:ascii="Times New Roman" w:hAnsi="Times New Roman"/>
          <w:sz w:val="20"/>
        </w:rPr>
        <w:t xml:space="preserve">) or within two (2) Business Days following the earlier of entering into the agreement in respect of, or consummation of, the Subsequent Transaction referred to in </w:t>
      </w:r>
      <w:r>
        <w:rPr>
          <w:rFonts w:ascii="Times New Roman" w:hAnsi="Times New Roman"/>
          <w:sz w:val="20"/>
          <w:u w:val="single"/>
        </w:rPr>
        <w:t>Section 6.07(b)(ii)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or FBB pursuant to </w:t>
      </w:r>
      <w:r>
        <w:rPr>
          <w:rFonts w:ascii="Times New Roman" w:hAnsi="Times New Roman"/>
          <w:sz w:val="20"/>
          <w:u w:val="single"/>
        </w:rPr>
        <w:t xml:space="preserve">Section 8.01(c) </w:t>
      </w:r>
      <w:r>
        <w:rPr>
          <w:rFonts w:ascii="Times New Roman" w:hAnsi="Times New Roman"/>
          <w:sz w:val="20"/>
        </w:rPr>
        <w:t xml:space="preserve">(failure to obtain Required DXL Stockholder Vote); or </w:t>
      </w:r>
    </w:p>
    <w:p>
      <w:pPr>
        <w:pStyle w:val="TextBody"/>
        <w:bidi w:val="0"/>
        <w:spacing w:before="240" w:after="0"/>
        <w:jc w:val="left"/>
        <w:rPr>
          <w:rFonts w:ascii="Times New Roman" w:hAnsi="Times New Roman"/>
          <w:sz w:val="20"/>
        </w:rPr>
      </w:pPr>
      <w:r>
        <w:rPr>
          <w:rFonts w:ascii="Times New Roman" w:hAnsi="Times New Roman"/>
          <w:sz w:val="20"/>
        </w:rPr>
        <w:t xml:space="preserve">(ii) there is any payment of the DXL Termination Fee in accordance with </w:t>
      </w:r>
      <w:r>
        <w:rPr>
          <w:rFonts w:ascii="Times New Roman" w:hAnsi="Times New Roman"/>
          <w:sz w:val="20"/>
          <w:u w:val="single"/>
        </w:rPr>
        <w:t>Section 6.07(b)(i</w:t>
      </w:r>
      <w:r>
        <w:rPr>
          <w:rFonts w:ascii="Times New Roman" w:hAnsi="Times New Roman"/>
          <w:sz w:val="20"/>
        </w:rPr>
        <w:t>)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DXL pursuant to </w:t>
      </w:r>
      <w:r>
        <w:rPr>
          <w:rFonts w:ascii="Times New Roman" w:hAnsi="Times New Roman"/>
          <w:sz w:val="20"/>
          <w:u w:val="single"/>
        </w:rPr>
        <w:t xml:space="preserve">Section 8.01(h), </w:t>
      </w:r>
      <w:r>
        <w:rPr>
          <w:rFonts w:ascii="Times New Roman" w:hAnsi="Times New Roman"/>
          <w:sz w:val="20"/>
        </w:rPr>
        <w:t xml:space="preserve">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 termination. For the avoidance of doubt, in the event DXL does not exercise its right to terminate this Agreement pursuant to </w:t>
      </w:r>
      <w:r>
        <w:rPr>
          <w:rFonts w:ascii="Times New Roman" w:hAnsi="Times New Roman"/>
          <w:sz w:val="20"/>
          <w:u w:val="single"/>
        </w:rPr>
        <w:t>Section 8.01(h</w:t>
      </w:r>
      <w:r>
        <w:rPr>
          <w:rFonts w:ascii="Times New Roman" w:hAnsi="Times New Roman"/>
          <w:sz w:val="20"/>
        </w:rPr>
        <w:t xml:space="preserve">), but there is a breach by FBB or failure by FBB to perform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 and </w:t>
      </w:r>
      <w:r>
        <w:rPr>
          <w:rFonts w:ascii="Times New Roman" w:hAnsi="Times New Roman"/>
          <w:sz w:val="20"/>
          <w:u w:val="single"/>
        </w:rPr>
        <w:t>Section 6.19</w:t>
      </w:r>
      <w:r>
        <w:rPr>
          <w:rFonts w:ascii="Times New Roman" w:hAnsi="Times New Roman"/>
          <w:sz w:val="20"/>
        </w:rPr>
        <w:t xml:space="preserve"> which would result in the failure of the condition set forth in </w:t>
      </w:r>
      <w:r>
        <w:rPr>
          <w:rFonts w:ascii="Times New Roman" w:hAnsi="Times New Roman"/>
          <w:sz w:val="20"/>
          <w:u w:val="single"/>
        </w:rPr>
        <w:t>Section 7.01(d)</w:t>
      </w:r>
      <w:r>
        <w:rPr>
          <w:rFonts w:ascii="Times New Roman" w:hAnsi="Times New Roman"/>
          <w:sz w:val="20"/>
        </w:rPr>
        <w:t xml:space="preserve">, then DXL shall maintain all of its rights and remedies set forth in this Agreement, including, but not limited to, </w:t>
      </w:r>
      <w:r>
        <w:rPr>
          <w:rFonts w:ascii="Times New Roman" w:hAnsi="Times New Roman"/>
          <w:sz w:val="20"/>
          <w:u w:val="single"/>
        </w:rPr>
        <w:t>Section 9.</w:t>
      </w:r>
      <w:r>
        <w:rPr>
          <w:rFonts w:ascii="Times New Roman" w:hAnsi="Times New Roman"/>
          <w:sz w:val="20"/>
        </w:rPr>
        <w:t xml:space="preserve">11. </w:t>
      </w:r>
    </w:p>
    <w:p>
      <w:pPr>
        <w:pStyle w:val="TextBody"/>
        <w:bidi w:val="0"/>
        <w:spacing w:before="240" w:after="0"/>
        <w:jc w:val="left"/>
        <w:rPr>
          <w:rFonts w:ascii="Times New Roman" w:hAnsi="Times New Roman"/>
          <w:sz w:val="20"/>
        </w:rPr>
      </w:pPr>
      <w:r>
        <w:rPr>
          <w:rFonts w:ascii="Times New Roman" w:hAnsi="Times New Roman"/>
          <w:sz w:val="20"/>
        </w:rPr>
        <w:t xml:space="preserve">(e) If either DXL or FBB fails to pay when due any amount payable under this </w:t>
      </w:r>
      <w:r>
        <w:rPr>
          <w:rFonts w:ascii="Times New Roman" w:hAnsi="Times New Roman"/>
          <w:sz w:val="20"/>
          <w:u w:val="single"/>
        </w:rPr>
        <w:t>Section 6.07</w:t>
      </w:r>
      <w:r>
        <w:rPr>
          <w:rFonts w:ascii="Times New Roman" w:hAnsi="Times New Roman"/>
          <w:sz w:val="20"/>
        </w:rPr>
        <w:t xml:space="preserve">, then (i) either DXL or FBB, as applicable, shall reimburse the other party for all costs and expenses (including reasonable fees and disbursements of counsel) incurred in connection with the collection of such overdue amount and the enforcement by such other party of its rights under this </w:t>
      </w:r>
      <w:r>
        <w:rPr>
          <w:rFonts w:ascii="Times New Roman" w:hAnsi="Times New Roman"/>
          <w:sz w:val="20"/>
          <w:u w:val="single"/>
        </w:rPr>
        <w:t>Section 6.07</w:t>
      </w:r>
      <w:r>
        <w:rPr>
          <w:rFonts w:ascii="Times New Roman" w:hAnsi="Times New Roman"/>
          <w:sz w:val="20"/>
        </w:rPr>
        <w:t xml:space="preserve">,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hAnsi="Times New Roman"/>
          <w:i/>
          <w:sz w:val="20"/>
        </w:rPr>
        <w:t>The Wall Street Journal</w:t>
      </w:r>
      <w:r>
        <w:rPr>
          <w:rFonts w:ascii="Times New Roman" w:hAnsi="Times New Roman"/>
          <w:sz w:val="20"/>
        </w:rPr>
        <w:t xml:space="preserve">, “Money Rates” section on the date such overdue amount was originally required to be paid. </w:t>
      </w:r>
    </w:p>
    <w:p>
      <w:pPr>
        <w:pStyle w:val="TextBody"/>
        <w:bidi w:val="0"/>
        <w:spacing w:before="240" w:after="0"/>
        <w:jc w:val="left"/>
        <w:rPr>
          <w:rFonts w:ascii="Times New Roman" w:hAnsi="Times New Roman"/>
          <w:sz w:val="20"/>
        </w:rPr>
      </w:pPr>
      <w:bookmarkStart w:id="189" w:name="anxa76201_81"/>
      <w:bookmarkEnd w:id="189"/>
      <w:r>
        <w:rPr>
          <w:rFonts w:ascii="Times New Roman" w:hAnsi="Times New Roman"/>
          <w:b/>
          <w:sz w:val="20"/>
        </w:rPr>
        <w:t xml:space="preserve">SECTION 6.08 </w:t>
      </w:r>
      <w:r>
        <w:rPr>
          <w:rFonts w:ascii="Times New Roman" w:hAnsi="Times New Roman"/>
          <w:b/>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1313(a) of the Code (or any similar state, local or non-U.S. Tax Law). The parties’ right to take any action disclosed in </w:t>
      </w:r>
      <w:r>
        <w:rPr>
          <w:rFonts w:ascii="Times New Roman" w:hAnsi="Times New Roman"/>
          <w:sz w:val="20"/>
          <w:u w:val="single"/>
        </w:rPr>
        <w:t>Section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of the DXL Disclosure Schedule or the FBB Disclosure Schedule, as applicable, shall be subject to and subordinate to the parties’ respective obligations under this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FBB shall deliver to DXL and Merger Sub a certificate pursuant to Treasury Regulations Sections 1.1445-2(c) and 1.897- 2(h), together with a form of notice to the IRS in accordance with the requirements of Treasury Regulations Section 1.897-2(h), in each case, in form and substance reasonably acceptable to DXL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(c) Each of DXL, Merger Sub and FBB shall use commercially reasonable efforts to promptly notify the other party if such party becomes aware of any non-public fact or circumstance that, to 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 </w:t>
      </w:r>
    </w:p>
    <w:p>
      <w:pPr>
        <w:pStyle w:val="TextBody"/>
        <w:bidi w:val="0"/>
        <w:spacing w:before="240" w:after="0"/>
        <w:jc w:val="left"/>
        <w:rPr>
          <w:rFonts w:ascii="Times New Roman" w:hAnsi="Times New Roman"/>
          <w:sz w:val="20"/>
        </w:rPr>
      </w:pPr>
      <w:bookmarkStart w:id="190" w:name="anxa76201_82"/>
      <w:bookmarkEnd w:id="190"/>
      <w:r>
        <w:rPr>
          <w:rFonts w:ascii="Times New Roman" w:hAnsi="Times New Roman"/>
          <w:b/>
          <w:sz w:val="20"/>
        </w:rPr>
        <w:t xml:space="preserve">SECTION 6.09 </w:t>
      </w:r>
      <w:r>
        <w:rPr>
          <w:rFonts w:ascii="Times New Roman" w:hAnsi="Times New Roman"/>
          <w:b/>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 (4) members of the Board of Directors designated by DXL (the “</w:t>
      </w:r>
      <w:r>
        <w:rPr>
          <w:rFonts w:ascii="Times New Roman" w:hAnsi="Times New Roman"/>
          <w:sz w:val="20"/>
          <w:u w:val="single"/>
        </w:rPr>
        <w:t>DXL Nominee Directors</w:t>
      </w:r>
      <w:r>
        <w:rPr>
          <w:rFonts w:ascii="Times New Roman" w:hAnsi="Times New Roman"/>
          <w:sz w:val="20"/>
        </w:rPr>
        <w:t>”), (ii) four (4) members of the Board of Directors designated by FBB, one of which shall be the Chief Executive Officer of FBB as of the date hereof (the “</w:t>
      </w:r>
      <w:r>
        <w:rPr>
          <w:rFonts w:ascii="Times New Roman" w:hAnsi="Times New Roman"/>
          <w:sz w:val="20"/>
          <w:u w:val="single"/>
        </w:rPr>
        <w:t>FBB Nominee Directors</w:t>
      </w:r>
      <w:r>
        <w:rPr>
          <w:rFonts w:ascii="Times New Roman" w:hAnsi="Times New Roman"/>
          <w:sz w:val="20"/>
        </w:rPr>
        <w:t>”), and (iii) one (1) member of the Board of Directors mutually agreed to by both DXL and FBB (the “</w:t>
      </w:r>
      <w:r>
        <w:rPr>
          <w:rFonts w:ascii="Times New Roman" w:hAnsi="Times New Roman"/>
          <w:sz w:val="20"/>
          <w:u w:val="single"/>
        </w:rPr>
        <w:t>Independent Director</w:t>
      </w:r>
      <w:r>
        <w:rPr>
          <w:rFonts w:ascii="Times New Roman" w:hAnsi="Times New Roman"/>
          <w:sz w:val="20"/>
        </w:rPr>
        <w:t>,” and together with the DXL Nominee Directors and the FBB Nominee Directors, the “</w:t>
      </w:r>
      <w:r>
        <w:rPr>
          <w:rFonts w:ascii="Times New Roman" w:hAnsi="Times New Roman"/>
          <w:sz w:val="20"/>
          <w:u w:val="single"/>
        </w:rPr>
        <w:t>Post-Closing Directors</w:t>
      </w:r>
      <w:r>
        <w:rPr>
          <w:rFonts w:ascii="Times New Roman" w:hAnsi="Times New Roman"/>
          <w:sz w:val="20"/>
        </w:rPr>
        <w:t xml:space="preserve">”);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 </w:t>
      </w:r>
    </w:p>
    <w:p>
      <w:pPr>
        <w:pStyle w:val="TextBody"/>
        <w:bidi w:val="0"/>
        <w:spacing w:before="240" w:after="0"/>
        <w:jc w:val="left"/>
        <w:rPr>
          <w:rFonts w:ascii="Times New Roman" w:hAnsi="Times New Roman"/>
          <w:sz w:val="20"/>
        </w:rPr>
      </w:pPr>
      <w:r>
        <w:rPr>
          <w:rFonts w:ascii="Times New Roman" w:hAnsi="Times New Roman"/>
          <w:sz w:val="20"/>
        </w:rPr>
        <w:t xml:space="preserve">(b) 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bookmarkStart w:id="191" w:name="anxa76201_83"/>
      <w:bookmarkEnd w:id="191"/>
      <w:r>
        <w:rPr>
          <w:rFonts w:ascii="Times New Roman" w:hAnsi="Times New Roman"/>
          <w:b/>
          <w:sz w:val="20"/>
        </w:rPr>
        <w:t xml:space="preserve">SECTION 6.10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hAnsi="Times New Roman"/>
          <w:sz w:val="20"/>
          <w:u w:val="single"/>
        </w:rPr>
        <w:t>Continuing Employees</w:t>
      </w:r>
      <w:r>
        <w:rPr>
          <w:rFonts w:ascii="Times New Roman" w:hAnsi="Times New Roman"/>
          <w:sz w:val="20"/>
        </w:rPr>
        <w:t xml:space="preserve">”) with the following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(provided that DXL may satisfy its obligations under this </w:t>
      </w:r>
      <w:r>
        <w:rPr>
          <w:rFonts w:ascii="Times New Roman" w:hAnsi="Times New Roman"/>
          <w:sz w:val="20"/>
          <w:u w:val="single"/>
        </w:rPr>
        <w:t>Section 6.10(c)(ii)</w:t>
      </w:r>
      <w:r>
        <w:rPr>
          <w:rFonts w:ascii="Times New Roman" w:hAnsi="Times New Roman"/>
          <w:sz w:val="20"/>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w:t>
      </w:r>
      <w:r>
        <w:rPr>
          <w:rFonts w:ascii="Times New Roman" w:hAnsi="Times New Roman"/>
          <w:sz w:val="20"/>
          <w:u w:val="single"/>
        </w:rPr>
        <w:t>Section 6.10</w:t>
      </w:r>
      <w:r>
        <w:rPr>
          <w:rFonts w:ascii="Times New Roman" w:hAnsi="Times New Roman"/>
          <w:sz w:val="20"/>
        </w:rPr>
        <w:t xml:space="preserve"> shall be in addition to, and not in contravention of, any obligations under the applicable collective bargaining agreement or union agreement or applicable Law. </w:t>
      </w:r>
    </w:p>
    <w:p>
      <w:pPr>
        <w:pStyle w:val="TextBody"/>
        <w:bidi w:val="0"/>
        <w:spacing w:before="240" w:after="0"/>
        <w:jc w:val="left"/>
        <w:rPr>
          <w:rFonts w:ascii="Times New Roman" w:hAnsi="Times New Roman"/>
          <w:sz w:val="20"/>
        </w:rPr>
      </w:pPr>
      <w:r>
        <w:rPr>
          <w:rFonts w:ascii="Times New Roman" w:hAnsi="Times New Roman"/>
          <w:sz w:val="20"/>
        </w:rPr>
        <w:t>(b) 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hAnsi="Times New Roman"/>
          <w:sz w:val="20"/>
          <w:u w:val="single"/>
        </w:rPr>
        <w:t>New Benefit Plans</w:t>
      </w:r>
      <w:r>
        <w:rPr>
          <w:rFonts w:ascii="Times New Roman" w:hAnsi="Times New Roman"/>
          <w:sz w:val="20"/>
        </w:rPr>
        <w:t xml:space="preserve">”)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 </w:t>
      </w:r>
    </w:p>
    <w:p>
      <w:pPr>
        <w:pStyle w:val="TextBody"/>
        <w:bidi w:val="0"/>
        <w:spacing w:before="240" w:after="0"/>
        <w:jc w:val="left"/>
        <w:rPr>
          <w:rFonts w:ascii="Times New Roman" w:hAnsi="Times New Roman"/>
          <w:sz w:val="20"/>
        </w:rPr>
      </w:pPr>
      <w:r>
        <w:rPr>
          <w:rFonts w:ascii="Times New Roman" w:hAnsi="Times New Roman"/>
          <w:sz w:val="20"/>
        </w:rPr>
        <w:t>(c) In the event any Continuing Employee first becomes eligible to participate under any employee benefit plan or compensation plan maintained by DXL or a DXL Subsidiary (including, without limitation, the Surviving Company) (each a “</w:t>
      </w:r>
      <w:r>
        <w:rPr>
          <w:rFonts w:ascii="Times New Roman" w:hAnsi="Times New Roman"/>
          <w:sz w:val="20"/>
          <w:u w:val="single"/>
        </w:rPr>
        <w:t>New Plan</w:t>
      </w:r>
      <w:r>
        <w:rPr>
          <w:rFonts w:ascii="Times New Roman" w:hAnsi="Times New Roman"/>
          <w:sz w:val="20"/>
        </w:rPr>
        <w:t xml:space="preserve">”),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 </w:t>
      </w:r>
    </w:p>
    <w:p>
      <w:pPr>
        <w:pStyle w:val="TextBody"/>
        <w:bidi w:val="0"/>
        <w:spacing w:before="240" w:after="0"/>
        <w:jc w:val="left"/>
        <w:rPr>
          <w:rFonts w:ascii="Times New Roman" w:hAnsi="Times New Roman"/>
          <w:sz w:val="20"/>
        </w:rPr>
      </w:pPr>
      <w:r>
        <w:rPr>
          <w:rFonts w:ascii="Times New Roman" w:hAnsi="Times New Roman"/>
          <w:sz w:val="20"/>
        </w:rPr>
        <w:t xml:space="preserve">(d) 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and agree that all provisions contained in this </w:t>
      </w:r>
      <w:r>
        <w:rPr>
          <w:rFonts w:ascii="Times New Roman" w:hAnsi="Times New Roman"/>
          <w:sz w:val="20"/>
          <w:u w:val="single"/>
        </w:rPr>
        <w:t>Section 6.10</w:t>
      </w:r>
      <w:r>
        <w:rPr>
          <w:rFonts w:ascii="Times New Roman" w:hAnsi="Times New Roman"/>
          <w:sz w:val="20"/>
        </w:rPr>
        <w:t xml:space="preserve">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 </w:t>
      </w:r>
    </w:p>
    <w:p>
      <w:pPr>
        <w:pStyle w:val="TextBody"/>
        <w:bidi w:val="0"/>
        <w:spacing w:before="240" w:after="0"/>
        <w:jc w:val="left"/>
        <w:rPr>
          <w:rFonts w:ascii="Times New Roman" w:hAnsi="Times New Roman"/>
          <w:sz w:val="20"/>
        </w:rPr>
      </w:pPr>
      <w:bookmarkStart w:id="192" w:name="anxa76201_84"/>
      <w:bookmarkEnd w:id="192"/>
      <w:r>
        <w:rPr>
          <w:rFonts w:ascii="Times New Roman" w:hAnsi="Times New Roman"/>
          <w:b/>
          <w:sz w:val="20"/>
        </w:rPr>
        <w:t xml:space="preserve">SECTION 6.11 </w:t>
      </w:r>
      <w:r>
        <w:rPr>
          <w:rFonts w:ascii="Times New Roman" w:hAnsi="Times New Roman"/>
          <w:b/>
          <w:sz w:val="20"/>
          <w:u w:val="single"/>
        </w:rPr>
        <w:t>Directors’ and Officers’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hAnsi="Times New Roman"/>
          <w:sz w:val="20"/>
          <w:u w:val="single"/>
        </w:rPr>
        <w:t>D&amp;O Indemnified Parties</w:t>
      </w:r>
      <w:r>
        <w:rPr>
          <w:rFonts w:ascii="Times New Roman" w:hAnsi="Times New Roman"/>
          <w:sz w:val="20"/>
        </w:rPr>
        <w:t xml:space="preserve">”)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 agreements of FBB and its Subsidiaries with any D&amp;O Indemnified Party existing prior to the date of this Agreement and set forth on </w:t>
      </w:r>
      <w:r>
        <w:rPr>
          <w:rFonts w:ascii="Times New Roman" w:hAnsi="Times New Roman"/>
          <w:sz w:val="20"/>
          <w:u w:val="single"/>
        </w:rPr>
        <w:t>Section 6.11</w:t>
      </w:r>
      <w:r>
        <w:rPr>
          <w:rFonts w:ascii="Times New Roman" w:hAnsi="Times New Roman"/>
          <w:sz w:val="20"/>
        </w:rPr>
        <w:t xml:space="preserve"> of the FBB Disclosure Schedule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6.11</w:t>
      </w:r>
      <w:r>
        <w:rPr>
          <w:rFonts w:ascii="Times New Roman" w:hAnsi="Times New Roman"/>
          <w:sz w:val="20"/>
        </w:rPr>
        <w:t xml:space="preserve">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hAnsi="Times New Roman"/>
          <w:sz w:val="20"/>
          <w:u w:val="single"/>
        </w:rPr>
        <w:t>Tail Policy</w:t>
      </w:r>
      <w:r>
        <w:rPr>
          <w:rFonts w:ascii="Times New Roman" w:hAnsi="Times New Roman"/>
          <w:sz w:val="20"/>
        </w:rPr>
        <w:t xml:space="preserve">”).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contained in this </w:t>
      </w:r>
      <w:r>
        <w:rPr>
          <w:rFonts w:ascii="Times New Roman" w:hAnsi="Times New Roman"/>
          <w:sz w:val="20"/>
          <w:u w:val="single"/>
        </w:rPr>
        <w:t>Section 6.11</w:t>
      </w:r>
      <w:r>
        <w:rPr>
          <w:rFonts w:ascii="Times New Roman" w:hAnsi="Times New Roman"/>
          <w:sz w:val="20"/>
        </w:rPr>
        <w:t xml:space="preserve">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93" w:name="anxa76201_85"/>
      <w:bookmarkEnd w:id="193"/>
      <w:r>
        <w:rPr>
          <w:rFonts w:ascii="Times New Roman" w:hAnsi="Times New Roman"/>
          <w:b/>
          <w:sz w:val="20"/>
        </w:rPr>
        <w:t xml:space="preserve">SECTION 6.12 </w:t>
      </w:r>
      <w:r>
        <w:rPr>
          <w:rFonts w:ascii="Times New Roman" w:hAnsi="Times New Roman"/>
          <w:b/>
          <w:sz w:val="20"/>
          <w:u w:val="single"/>
        </w:rPr>
        <w:t>Financial Statements</w:t>
      </w:r>
      <w:r>
        <w:rPr>
          <w:rFonts w:ascii="Times New Roman" w:hAnsi="Times New Roman"/>
          <w:sz w:val="20"/>
        </w:rPr>
        <w:t xml:space="preserve">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delivered by FBB hereunder shall comply with the applicable accounting requirements and rules and regulations of the SEC, the Exchange Act and Securities Act, as applicable, including Rule 3-05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 </w:t>
      </w:r>
    </w:p>
    <w:p>
      <w:pPr>
        <w:pStyle w:val="TextBody"/>
        <w:bidi w:val="0"/>
        <w:spacing w:before="240" w:after="0"/>
        <w:jc w:val="left"/>
        <w:rPr>
          <w:rFonts w:ascii="Times New Roman" w:hAnsi="Times New Roman"/>
          <w:sz w:val="20"/>
        </w:rPr>
      </w:pPr>
      <w:bookmarkStart w:id="194" w:name="anxa76201_86"/>
      <w:bookmarkEnd w:id="194"/>
      <w:r>
        <w:rPr>
          <w:rFonts w:ascii="Times New Roman" w:hAnsi="Times New Roman"/>
          <w:b/>
          <w:sz w:val="20"/>
        </w:rPr>
        <w:t xml:space="preserve">SECTION 6.13 </w:t>
      </w:r>
      <w:r>
        <w:rPr>
          <w:rFonts w:ascii="Times New Roman" w:hAnsi="Times New Roman"/>
          <w:b/>
          <w:sz w:val="20"/>
          <w:u w:val="single"/>
        </w:rPr>
        <w:t>Notification of Certain Matters</w:t>
      </w:r>
      <w:r>
        <w:rPr>
          <w:rFonts w:ascii="Times New Roman" w:hAnsi="Times New Roman"/>
          <w:sz w:val="20"/>
        </w:rPr>
        <w:t xml:space="preserve">. Prior to the Effective Time, DXL shall give prompt notice to FBB, and FBB shall give 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w:t>
      </w:r>
      <w:r>
        <w:rPr>
          <w:rFonts w:ascii="Times New Roman" w:hAnsi="Times New Roman"/>
          <w:sz w:val="20"/>
          <w:u w:val="single"/>
        </w:rPr>
        <w:t>Section 6.13</w:t>
      </w:r>
      <w:r>
        <w:rPr>
          <w:rFonts w:ascii="Times New Roman" w:hAnsi="Times New Roman"/>
          <w:sz w:val="20"/>
        </w:rPr>
        <w:t xml:space="preserve">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 </w:t>
      </w:r>
    </w:p>
    <w:p>
      <w:pPr>
        <w:pStyle w:val="TextBody"/>
        <w:bidi w:val="0"/>
        <w:spacing w:before="240" w:after="0"/>
        <w:jc w:val="left"/>
        <w:rPr>
          <w:rFonts w:ascii="Times New Roman" w:hAnsi="Times New Roman"/>
          <w:sz w:val="20"/>
        </w:rPr>
      </w:pPr>
      <w:bookmarkStart w:id="195" w:name="anxa76201_87"/>
      <w:bookmarkEnd w:id="195"/>
      <w:r>
        <w:rPr>
          <w:rFonts w:ascii="Times New Roman" w:hAnsi="Times New Roman"/>
          <w:b/>
          <w:sz w:val="20"/>
        </w:rPr>
        <w:t xml:space="preserve">SECTION 6.14 </w:t>
      </w:r>
      <w:r>
        <w:rPr>
          <w:rFonts w:ascii="Times New Roman" w:hAnsi="Times New Roman"/>
          <w:b/>
          <w:sz w:val="20"/>
          <w:u w:val="single"/>
        </w:rPr>
        <w:t>Obligations of Merger Sub</w:t>
      </w:r>
      <w:r>
        <w:rPr>
          <w:rFonts w:ascii="Times New Roman" w:hAnsi="Times New Roman"/>
          <w:sz w:val="20"/>
        </w:rPr>
        <w:t xml:space="preserve">. DXL shall take all action necessary to cause Merger Sub to perform its obligations under this Agreement and to consummate the Transactions upon the terms and subject to the conditions set forth in this Agreement. </w:t>
      </w:r>
    </w:p>
    <w:p>
      <w:pPr>
        <w:pStyle w:val="TextBody"/>
        <w:bidi w:val="0"/>
        <w:spacing w:before="240" w:after="0"/>
        <w:jc w:val="left"/>
        <w:rPr>
          <w:rFonts w:ascii="Times New Roman" w:hAnsi="Times New Roman"/>
          <w:sz w:val="20"/>
        </w:rPr>
      </w:pPr>
      <w:bookmarkStart w:id="196" w:name="anxa76201_88"/>
      <w:bookmarkEnd w:id="196"/>
      <w:r>
        <w:rPr>
          <w:rFonts w:ascii="Times New Roman" w:hAnsi="Times New Roman"/>
          <w:b/>
          <w:sz w:val="20"/>
        </w:rPr>
        <w:t xml:space="preserve">SECTION 6.15 </w:t>
      </w:r>
      <w:r>
        <w:rPr>
          <w:rFonts w:ascii="Times New Roman" w:hAnsi="Times New Roman"/>
          <w:b/>
          <w:sz w:val="20"/>
          <w:u w:val="single"/>
        </w:rPr>
        <w:t>Payment for Third Party Consents</w:t>
      </w:r>
      <w:r>
        <w:rPr>
          <w:rFonts w:ascii="Times New Roman" w:hAnsi="Times New Roman"/>
          <w:sz w:val="20"/>
        </w:rPr>
        <w:t xml:space="preserve">. Each of DXL and FBB shall pay all amounts, which payments are expressly required by the terms of any Contract, payable by DXL or FBB, as applicable, in connection with third-party consents, waivers, amendments, and the like, required for the Transactions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7" w:name="anxa76201_89"/>
      <w:bookmarkEnd w:id="197"/>
      <w:r>
        <w:rPr>
          <w:rFonts w:ascii="Times New Roman" w:hAnsi="Times New Roman"/>
          <w:b/>
          <w:sz w:val="20"/>
        </w:rPr>
        <w:t xml:space="preserve">SECTION 6.16 </w:t>
      </w:r>
      <w:r>
        <w:rPr>
          <w:rFonts w:ascii="Times New Roman" w:hAnsi="Times New Roman"/>
          <w:b/>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 (ii) consummate the transactions contemplated by such Commitment and Subscription Agreements at or prior to Closing, and in each case of clauses (i) and (ii), DXL shall cooperate with FBB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Each of DXL and FBB (for the purposes of this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each, a “</w:t>
      </w:r>
      <w:r>
        <w:rPr>
          <w:rFonts w:ascii="Times New Roman" w:hAnsi="Times New Roman"/>
          <w:sz w:val="20"/>
          <w:u w:val="single"/>
        </w:rPr>
        <w:t>Cooperating Party</w:t>
      </w:r>
      <w:r>
        <w:rPr>
          <w:rFonts w:ascii="Times New Roman" w:hAnsi="Times New Roman"/>
          <w:sz w:val="20"/>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hAnsi="Times New Roman"/>
          <w:sz w:val="20"/>
          <w:u w:val="single"/>
        </w:rPr>
        <w:t>A&amp;R Term Loan Amendment</w:t>
      </w:r>
      <w:r>
        <w:rPr>
          <w:rFonts w:ascii="Times New Roman" w:hAnsi="Times New Roman"/>
          <w:sz w:val="20"/>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hAnsi="Times New Roman"/>
          <w:sz w:val="20"/>
          <w:u w:val="single"/>
        </w:rPr>
        <w:t>Combined ABL Facility</w:t>
      </w:r>
      <w:r>
        <w:rPr>
          <w:rFonts w:ascii="Times New Roman" w:hAnsi="Times New Roman"/>
          <w:sz w:val="20"/>
        </w:rPr>
        <w:t>”, and, together with the Existing Term Loan Facility and A&amp;R Term Loan Facility, the “</w:t>
      </w:r>
      <w:r>
        <w:rPr>
          <w:rFonts w:ascii="Times New Roman" w:hAnsi="Times New Roman"/>
          <w:sz w:val="20"/>
          <w:u w:val="single"/>
        </w:rPr>
        <w:t>Debt</w:t>
      </w:r>
      <w:r>
        <w:rPr>
          <w:rFonts w:ascii="Times New Roman" w:hAnsi="Times New Roman"/>
          <w:sz w:val="20"/>
        </w:rPr>
        <w:t xml:space="preserve"> </w:t>
      </w:r>
      <w:r>
        <w:rPr>
          <w:rFonts w:ascii="Times New Roman" w:hAnsi="Times New Roman"/>
          <w:sz w:val="20"/>
          <w:u w:val="single"/>
        </w:rPr>
        <w:t>Financing</w:t>
      </w:r>
      <w:r>
        <w:rPr>
          <w:rFonts w:ascii="Times New Roman" w:hAnsi="Times New Roman"/>
          <w:sz w:val="20"/>
        </w:rPr>
        <w:t xml:space="preserve">”). For the avoidance of doubt, no Cooperating Party shall be required, in connection with the cooperation contemplated by this </w:t>
      </w:r>
      <w:r>
        <w:rPr>
          <w:rFonts w:ascii="Times New Roman" w:hAnsi="Times New Roman"/>
          <w:sz w:val="20"/>
          <w:u w:val="single"/>
        </w:rPr>
        <w:t>Section 6.16</w:t>
      </w:r>
      <w:r>
        <w:rPr>
          <w:rFonts w:ascii="Times New Roman" w:hAnsi="Times New Roman"/>
          <w:sz w:val="20"/>
        </w:rPr>
        <w:t xml:space="preserve">,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6.16(c</w:t>
      </w:r>
      <w:r>
        <w:rPr>
          <w:rFonts w:ascii="Times New Roman" w:hAnsi="Times New Roman"/>
          <w:sz w:val="20"/>
        </w:rPr>
        <w:t xml:space="preserve">), each Cooperating Party, as applicable, shall, and shall cause its Subsidiaries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(ii) provide customary certificates, organizational documents, schedules, instruments and other deliverables reasonably requested by lenders, including information necessary to add such Cooperating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participate in customary diligence and coordination sessions relating to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 </w:t>
      </w:r>
    </w:p>
    <w:p>
      <w:pPr>
        <w:pStyle w:val="TextBody"/>
        <w:bidi w:val="0"/>
        <w:spacing w:before="240" w:after="0"/>
        <w:jc w:val="left"/>
        <w:rPr>
          <w:rFonts w:ascii="Times New Roman" w:hAnsi="Times New Roman"/>
          <w:sz w:val="20"/>
        </w:rPr>
      </w:pPr>
      <w:r>
        <w:rPr>
          <w:rFonts w:ascii="Times New Roman" w:hAnsi="Times New Roman"/>
          <w:sz w:val="20"/>
        </w:rPr>
        <w:t xml:space="preserve">(v) 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nothing in </w:t>
      </w:r>
      <w:r>
        <w:rPr>
          <w:rFonts w:ascii="Times New Roman" w:hAnsi="Times New Roman"/>
          <w:sz w:val="20"/>
          <w:u w:val="single"/>
        </w:rPr>
        <w:t>Section 6.16(c)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 </w:t>
      </w:r>
    </w:p>
    <w:p>
      <w:pPr>
        <w:pStyle w:val="TextBody"/>
        <w:bidi w:val="0"/>
        <w:spacing w:before="240" w:after="0"/>
        <w:jc w:val="left"/>
        <w:rPr>
          <w:rFonts w:ascii="Times New Roman" w:hAnsi="Times New Roman"/>
          <w:sz w:val="20"/>
        </w:rPr>
      </w:pPr>
      <w:bookmarkStart w:id="198" w:name="anxa76201_90"/>
      <w:bookmarkEnd w:id="198"/>
      <w:r>
        <w:rPr>
          <w:rFonts w:ascii="Times New Roman" w:hAnsi="Times New Roman"/>
          <w:b/>
          <w:sz w:val="20"/>
        </w:rPr>
        <w:t xml:space="preserve">SECTION 6.17 </w:t>
      </w:r>
      <w:r>
        <w:rPr>
          <w:rFonts w:ascii="Times New Roman" w:hAnsi="Times New Roman"/>
          <w:b/>
          <w:sz w:val="20"/>
          <w:u w:val="single"/>
        </w:rPr>
        <w:t>Updated Capitalization Information</w:t>
      </w:r>
      <w:r>
        <w:rPr>
          <w:rFonts w:ascii="Times New Roman" w:hAnsi="Times New Roman"/>
          <w:sz w:val="20"/>
        </w:rPr>
        <w:t xml:space="preserve">. At least three (3) Business Days prior to the Closing, and again immediately prior to the Closing, DXL shall deliver to FBB a written document that sets forth all of the information that DXL would have been required to include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the DXL Disclosure Schedule in order to make the representations and warranties set forth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3.02</w:t>
      </w:r>
      <w:r>
        <w:rPr>
          <w:rFonts w:ascii="Times New Roman" w:hAnsi="Times New Roman"/>
          <w:sz w:val="20"/>
        </w:rPr>
        <w:t xml:space="preserve">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w:t>
      </w:r>
      <w:r>
        <w:rPr>
          <w:rFonts w:ascii="Times New Roman" w:hAnsi="Times New Roman"/>
          <w:sz w:val="20"/>
          <w:u w:val="single"/>
        </w:rPr>
        <w:t>Section 4.02</w:t>
      </w:r>
      <w:r>
        <w:rPr>
          <w:rFonts w:ascii="Times New Roman" w:hAnsi="Times New Roman"/>
          <w:sz w:val="20"/>
        </w:rPr>
        <w:t xml:space="preserve"> of the FBB Disclosure Schedule in order to make the representations and warranties set forth in </w:t>
      </w:r>
      <w:r>
        <w:rPr>
          <w:rFonts w:ascii="Times New Roman" w:hAnsi="Times New Roman"/>
          <w:sz w:val="20"/>
          <w:u w:val="single"/>
        </w:rPr>
        <w:t>Section 4.02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4.02</w:t>
      </w:r>
      <w:r>
        <w:rPr>
          <w:rFonts w:ascii="Times New Roman" w:hAnsi="Times New Roman"/>
          <w:sz w:val="20"/>
        </w:rPr>
        <w:t xml:space="preserve"> to the date of this Agreement shall be deemed to be references to the date of the Closing). Notwithstanding the foregoing, nothing contained in this </w:t>
      </w:r>
      <w:r>
        <w:rPr>
          <w:rFonts w:ascii="Times New Roman" w:hAnsi="Times New Roman"/>
          <w:sz w:val="20"/>
          <w:u w:val="single"/>
        </w:rPr>
        <w:t>Section 6.17</w:t>
      </w:r>
      <w:r>
        <w:rPr>
          <w:rFonts w:ascii="Times New Roman" w:hAnsi="Times New Roman"/>
          <w:sz w:val="20"/>
        </w:rPr>
        <w:t xml:space="preserve">, including the delivery by DXL to FBB and FBB to DXL of the updated capitalization information required by this </w:t>
      </w:r>
      <w:r>
        <w:rPr>
          <w:rFonts w:ascii="Times New Roman" w:hAnsi="Times New Roman"/>
          <w:sz w:val="20"/>
          <w:u w:val="single"/>
        </w:rPr>
        <w:t>Section 6.17</w:t>
      </w:r>
      <w:r>
        <w:rPr>
          <w:rFonts w:ascii="Times New Roman" w:hAnsi="Times New Roman"/>
          <w:sz w:val="20"/>
        </w:rPr>
        <w:t xml:space="preserve">, shall (i) update any information contained in the DXL Disclosure Schedule or the FBB Disclosure Schedule, (ii) modify, amend or affect any representation or warranty contained in this Agreement or (iii) permit action or non-action otherwise prohibited by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9" w:name="anxa76201_91"/>
      <w:bookmarkEnd w:id="199"/>
      <w:r>
        <w:rPr>
          <w:rFonts w:ascii="Times New Roman" w:hAnsi="Times New Roman"/>
          <w:b/>
          <w:sz w:val="20"/>
        </w:rPr>
        <w:t xml:space="preserve">SECTION 6.18 </w:t>
      </w:r>
      <w:r>
        <w:rPr>
          <w:rFonts w:ascii="Times New Roman" w:hAnsi="Times New Roman"/>
          <w:b/>
          <w:sz w:val="20"/>
          <w:u w:val="single"/>
        </w:rPr>
        <w:t>Listing of DXL Common Stock on Nasdaq</w:t>
      </w:r>
      <w:r>
        <w:rPr>
          <w:rFonts w:ascii="Times New Roman" w:hAnsi="Times New Roman"/>
          <w:sz w:val="20"/>
        </w:rPr>
        <w:t xml:space="preserve">. Prior to the Effective Time, DXL shall prepare and submit to the Nasdaq a 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 </w:t>
      </w:r>
    </w:p>
    <w:p>
      <w:pPr>
        <w:pStyle w:val="TextBody"/>
        <w:bidi w:val="0"/>
        <w:spacing w:before="240" w:after="0"/>
        <w:jc w:val="left"/>
        <w:rPr>
          <w:rFonts w:ascii="Times New Roman" w:hAnsi="Times New Roman"/>
          <w:sz w:val="20"/>
        </w:rPr>
      </w:pPr>
      <w:bookmarkStart w:id="200" w:name="anxa76201_92"/>
      <w:bookmarkEnd w:id="200"/>
      <w:r>
        <w:rPr>
          <w:rFonts w:ascii="Times New Roman" w:hAnsi="Times New Roman"/>
          <w:b/>
          <w:sz w:val="20"/>
        </w:rPr>
        <w:t xml:space="preserve">SECTION 6.19 </w:t>
      </w:r>
      <w:r>
        <w:rPr>
          <w:rFonts w:ascii="Times New Roman" w:hAnsi="Times New Roman"/>
          <w:b/>
          <w:sz w:val="20"/>
          <w:u w:val="single"/>
        </w:rPr>
        <w:t>FBB Corporate Actions</w:t>
      </w:r>
      <w:r>
        <w:rPr>
          <w:rFonts w:ascii="Times New Roman" w:hAnsi="Times New Roman"/>
          <w:sz w:val="20"/>
        </w:rPr>
        <w:t>. Prior to the Effective Time, FBB shall (i) amend the FBB Charter to increase the total number of authorized shares sufficient to permit the consummation of the Pre-Closing Investment (the “</w:t>
      </w:r>
      <w:r>
        <w:rPr>
          <w:rFonts w:ascii="Times New Roman" w:hAnsi="Times New Roman"/>
          <w:sz w:val="20"/>
          <w:u w:val="single"/>
        </w:rPr>
        <w:t>FBB Charter Amendment</w:t>
      </w:r>
      <w:r>
        <w:rPr>
          <w:rFonts w:ascii="Times New Roman" w:hAnsi="Times New Roman"/>
          <w:sz w:val="20"/>
        </w:rPr>
        <w:t>”), (ii) amend the certificate of designation of the FBB Preferred Stock (the “</w:t>
      </w:r>
      <w:r>
        <w:rPr>
          <w:rFonts w:ascii="Times New Roman" w:hAnsi="Times New Roman"/>
          <w:sz w:val="20"/>
          <w:u w:val="single"/>
        </w:rPr>
        <w:t>Certificate of Designation</w:t>
      </w:r>
      <w:r>
        <w:rPr>
          <w:rFonts w:ascii="Times New Roman" w:hAnsi="Times New Roman"/>
          <w:sz w:val="20"/>
        </w:rPr>
        <w:t>”) pursuant to an amendment (the “</w:t>
      </w:r>
      <w:r>
        <w:rPr>
          <w:rFonts w:ascii="Times New Roman" w:hAnsi="Times New Roman"/>
          <w:sz w:val="20"/>
          <w:u w:val="single"/>
        </w:rPr>
        <w:t>COD Amendment</w:t>
      </w:r>
      <w:r>
        <w:rPr>
          <w:rFonts w:ascii="Times New Roman" w:hAnsi="Times New Roman"/>
          <w:sz w:val="20"/>
        </w:rPr>
        <w:t xml:space="preserve">”) to cause the conversion of all issued and outstanding shares of FBB Preferred Stock into shares of FBB Common Stock and (iii) take all actions necessary to cause the conversion of all issued and outstanding shares of FBB Preferred Stock into shares of FBB Common Stock. </w:t>
      </w:r>
    </w:p>
    <w:p>
      <w:pPr>
        <w:pStyle w:val="TextBody"/>
        <w:bidi w:val="0"/>
        <w:spacing w:before="480" w:after="0"/>
        <w:jc w:val="center"/>
        <w:rPr>
          <w:rFonts w:ascii="Times New Roman" w:hAnsi="Times New Roman"/>
          <w:b/>
          <w:sz w:val="20"/>
        </w:rPr>
      </w:pPr>
      <w:bookmarkStart w:id="201" w:name="anxa76201_93"/>
      <w:bookmarkEnd w:id="201"/>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CONDITIONS PRECEDENT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2" w:name="anxa76201_94"/>
      <w:bookmarkEnd w:id="202"/>
      <w:r>
        <w:rPr>
          <w:rFonts w:ascii="Times New Roman" w:hAnsi="Times New Roman"/>
          <w:b/>
          <w:sz w:val="20"/>
        </w:rPr>
        <w:t xml:space="preserve">SECTION 7.01 </w:t>
      </w:r>
      <w:r>
        <w:rPr>
          <w:rFonts w:ascii="Times New Roman" w:hAnsi="Times New Roman"/>
          <w:b/>
          <w:sz w:val="20"/>
          <w:u w:val="single"/>
        </w:rPr>
        <w:t>Conditions to Each Party’s Obligation to Effect the Merger</w:t>
      </w:r>
      <w:r>
        <w:rPr>
          <w:rFonts w:ascii="Times New Roman" w:hAnsi="Times New Roman"/>
          <w:sz w:val="20"/>
        </w:rPr>
        <w:t xml:space="preserve">. The respective obligations of the parties to effect the Merger shall be subject to the satisfaction, or waiver by each of the parties,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FBB Stockholder Approval</w:t>
      </w:r>
      <w:r>
        <w:rPr>
          <w:rFonts w:ascii="Times New Roman" w:hAnsi="Times New Roman"/>
          <w:sz w:val="20"/>
        </w:rPr>
        <w:t xml:space="preserve">. The FBB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Required DXL Stockholder Vote</w:t>
      </w:r>
      <w:r>
        <w:rPr>
          <w:rFonts w:ascii="Times New Roman" w:hAnsi="Times New Roman"/>
          <w:sz w:val="20"/>
        </w:rPr>
        <w:t xml:space="preserve">. The Required DXL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w:t>
      </w:r>
      <w:r>
        <w:rPr>
          <w:rFonts w:ascii="Times New Roman" w:hAnsi="Times New Roman"/>
          <w:sz w:val="20"/>
        </w:rPr>
        <w:t xml:space="preserve">. The DXL Common Stock to be issued as Merger Consideration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Pre-Closing Investment</w:t>
      </w:r>
      <w:r>
        <w:rPr>
          <w:rFonts w:ascii="Times New Roman" w:hAnsi="Times New Roman"/>
          <w:sz w:val="20"/>
        </w:rPr>
        <w:t xml:space="preserve">. The Pre-Closing Investment shall have been consummated pursuant to, and in the amounts set forth in,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Injunctions or Restraints; Illegality</w:t>
      </w:r>
      <w:r>
        <w:rPr>
          <w:rFonts w:ascii="Times New Roman" w:hAnsi="Times New Roman"/>
          <w:sz w:val="20"/>
        </w:rPr>
        <w:t xml:space="preserve">.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 </w:t>
      </w:r>
    </w:p>
    <w:p>
      <w:pPr>
        <w:pStyle w:val="TextBody"/>
        <w:bidi w:val="0"/>
        <w:spacing w:before="240" w:after="0"/>
        <w:jc w:val="left"/>
        <w:rPr>
          <w:rFonts w:ascii="Times New Roman" w:hAnsi="Times New Roman"/>
          <w:sz w:val="20"/>
        </w:rPr>
      </w:pPr>
      <w:bookmarkStart w:id="203" w:name="anxa76201_95"/>
      <w:bookmarkEnd w:id="203"/>
      <w:r>
        <w:rPr>
          <w:rFonts w:ascii="Times New Roman" w:hAnsi="Times New Roman"/>
          <w:b/>
          <w:sz w:val="20"/>
        </w:rPr>
        <w:t xml:space="preserve">SECTION 7.02 </w:t>
      </w:r>
      <w:r>
        <w:rPr>
          <w:rFonts w:ascii="Times New Roman" w:hAnsi="Times New Roman"/>
          <w:b/>
          <w:sz w:val="20"/>
          <w:u w:val="single"/>
        </w:rPr>
        <w:t>Conditions to Obligations of DXL</w:t>
      </w:r>
      <w:r>
        <w:rPr>
          <w:rFonts w:ascii="Times New Roman" w:hAnsi="Times New Roman"/>
          <w:sz w:val="20"/>
        </w:rPr>
        <w:t xml:space="preserve">. The obligation of DXL to effect the Merger is also subject to the satisfaction, or waiver by DXL,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FBB (other than as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4.01(b)</w:t>
      </w:r>
      <w:r>
        <w:rPr>
          <w:rFonts w:ascii="Times New Roman" w:hAnsi="Times New Roman"/>
          <w:sz w:val="20"/>
        </w:rPr>
        <w:t xml:space="preserve"> (Capitalization), </w:t>
      </w:r>
      <w:r>
        <w:rPr>
          <w:rFonts w:ascii="Times New Roman" w:hAnsi="Times New Roman"/>
          <w:sz w:val="20"/>
          <w:u w:val="single"/>
        </w:rPr>
        <w:t>4.03</w:t>
      </w:r>
      <w:r>
        <w:rPr>
          <w:rFonts w:ascii="Times New Roman" w:hAnsi="Times New Roman"/>
          <w:sz w:val="20"/>
        </w:rPr>
        <w:t xml:space="preserve"> (Authority; No Violation), </w:t>
      </w:r>
      <w:r>
        <w:rPr>
          <w:rFonts w:ascii="Times New Roman" w:hAnsi="Times New Roman"/>
          <w:sz w:val="20"/>
          <w:u w:val="single"/>
        </w:rPr>
        <w:t>4.06</w:t>
      </w:r>
      <w:r>
        <w:rPr>
          <w:rFonts w:ascii="Times New Roman" w:hAnsi="Times New Roman"/>
          <w:sz w:val="20"/>
        </w:rPr>
        <w:t xml:space="preserve"> (Advisors’ Fees), and </w:t>
      </w:r>
      <w:r>
        <w:rPr>
          <w:rFonts w:ascii="Times New Roman" w:hAnsi="Times New Roman"/>
          <w:sz w:val="20"/>
          <w:u w:val="single"/>
        </w:rPr>
        <w:t>4.07(a)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FBB, (ii) the representations and warranties of FBB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4.02</w:t>
      </w:r>
      <w:r>
        <w:rPr>
          <w:rFonts w:ascii="Times New Roman" w:hAnsi="Times New Roman"/>
          <w:sz w:val="20"/>
        </w:rPr>
        <w:t xml:space="preserve">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4.03</w:t>
      </w:r>
      <w:r>
        <w:rPr>
          <w:rFonts w:ascii="Times New Roman" w:hAnsi="Times New Roman"/>
          <w:sz w:val="20"/>
        </w:rPr>
        <w:t xml:space="preserve"> (Authority; No Violation) and </w:t>
      </w:r>
      <w:r>
        <w:rPr>
          <w:rFonts w:ascii="Times New Roman" w:hAnsi="Times New Roman"/>
          <w:sz w:val="20"/>
          <w:u w:val="single"/>
        </w:rPr>
        <w:t>4.06</w:t>
      </w:r>
      <w:r>
        <w:rPr>
          <w:rFonts w:ascii="Times New Roman" w:hAnsi="Times New Roman"/>
          <w:sz w:val="20"/>
        </w:rPr>
        <w:t xml:space="preserve"> (Advisors’ Fee)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and, with respect to </w:t>
      </w:r>
      <w:r>
        <w:rPr>
          <w:rFonts w:ascii="Times New Roman" w:hAnsi="Times New Roman"/>
          <w:sz w:val="20"/>
          <w:u w:val="single"/>
        </w:rPr>
        <w:t>Section 4.02</w:t>
      </w:r>
      <w:r>
        <w:rPr>
          <w:rFonts w:ascii="Times New Roman" w:hAnsi="Times New Roman"/>
          <w:sz w:val="20"/>
        </w:rPr>
        <w:t xml:space="preserve"> (Capitalization), subject to any transactions contemplated and permitted under this Agreement), and (iii) the representations and warranties of FBB set forth in </w:t>
      </w:r>
      <w:r>
        <w:rPr>
          <w:rFonts w:ascii="Times New Roman" w:hAnsi="Times New Roman"/>
          <w:sz w:val="20"/>
          <w:u w:val="single"/>
        </w:rPr>
        <w:t>Section 4.07(a)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FBB</w:t>
      </w:r>
      <w:r>
        <w:rPr>
          <w:rFonts w:ascii="Times New Roman" w:hAnsi="Times New Roman"/>
          <w:sz w:val="20"/>
        </w:rPr>
        <w:t xml:space="preserve">. FBB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FBB</w:t>
      </w:r>
      <w:r>
        <w:rPr>
          <w:rFonts w:ascii="Times New Roman" w:hAnsi="Times New Roman"/>
          <w:sz w:val="20"/>
        </w:rPr>
        <w:t xml:space="preserve">. Since the date of this Agreement, no event or events or developments shall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FBB shall have delivered to DXL a certificate certifying the satisfaction of the conditions contained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and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FBB Corporate Actions</w:t>
      </w:r>
      <w:r>
        <w:rPr>
          <w:rFonts w:ascii="Times New Roman" w:hAnsi="Times New Roman"/>
          <w:sz w:val="20"/>
        </w:rPr>
        <w:t xml:space="preserve">. The actions set forth in </w:t>
      </w:r>
      <w:r>
        <w:rPr>
          <w:rFonts w:ascii="Times New Roman" w:hAnsi="Times New Roman"/>
          <w:sz w:val="20"/>
          <w:u w:val="single"/>
        </w:rPr>
        <w:t>Section 6.19</w:t>
      </w:r>
      <w:r>
        <w:rPr>
          <w:rFonts w:ascii="Times New Roman" w:hAnsi="Times New Roman"/>
          <w:sz w:val="20"/>
        </w:rPr>
        <w:t xml:space="preserve"> shall have been duly effected. </w:t>
      </w:r>
    </w:p>
    <w:p>
      <w:pPr>
        <w:pStyle w:val="TextBody"/>
        <w:bidi w:val="0"/>
        <w:spacing w:before="240" w:after="0"/>
        <w:jc w:val="left"/>
        <w:rPr>
          <w:rFonts w:ascii="Times New Roman" w:hAnsi="Times New Roman"/>
          <w:sz w:val="20"/>
        </w:rPr>
      </w:pPr>
      <w:bookmarkStart w:id="204" w:name="anxa76201_96"/>
      <w:bookmarkEnd w:id="204"/>
      <w:r>
        <w:rPr>
          <w:rFonts w:ascii="Times New Roman" w:hAnsi="Times New Roman"/>
          <w:b/>
          <w:sz w:val="20"/>
        </w:rPr>
        <w:t xml:space="preserve">SECTION 7.03 </w:t>
      </w:r>
      <w:r>
        <w:rPr>
          <w:rFonts w:ascii="Times New Roman" w:hAnsi="Times New Roman"/>
          <w:b/>
          <w:sz w:val="20"/>
          <w:u w:val="single"/>
        </w:rPr>
        <w:t>Conditions to Obligations of FBB</w:t>
      </w:r>
      <w:r>
        <w:rPr>
          <w:rFonts w:ascii="Times New Roman" w:hAnsi="Times New Roman"/>
          <w:sz w:val="20"/>
        </w:rPr>
        <w:t xml:space="preserve">. The obligation of FBB to effect the Merger is also subject to the satisfaction, or waiver by FBB,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DXL (other than as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3.02</w:t>
      </w:r>
      <w:r>
        <w:rPr>
          <w:rFonts w:ascii="Times New Roman" w:hAnsi="Times New Roman"/>
          <w:sz w:val="20"/>
        </w:rPr>
        <w:t xml:space="preserve"> (Capitalization), </w:t>
      </w:r>
      <w:r>
        <w:rPr>
          <w:rFonts w:ascii="Times New Roman" w:hAnsi="Times New Roman"/>
          <w:sz w:val="20"/>
          <w:u w:val="single"/>
        </w:rPr>
        <w:t>3.03</w:t>
      </w:r>
      <w:r>
        <w:rPr>
          <w:rFonts w:ascii="Times New Roman" w:hAnsi="Times New Roman"/>
          <w:sz w:val="20"/>
        </w:rPr>
        <w:t xml:space="preserve"> (Authority; No Violation), </w:t>
      </w:r>
      <w:r>
        <w:rPr>
          <w:rFonts w:ascii="Times New Roman" w:hAnsi="Times New Roman"/>
          <w:sz w:val="20"/>
          <w:u w:val="single"/>
        </w:rPr>
        <w:t>Section 3.07</w:t>
      </w:r>
      <w:r>
        <w:rPr>
          <w:rFonts w:ascii="Times New Roman" w:hAnsi="Times New Roman"/>
          <w:sz w:val="20"/>
        </w:rPr>
        <w:t xml:space="preserve"> (Advisors’ Fees) and </w:t>
      </w:r>
      <w:r>
        <w:rPr>
          <w:rFonts w:ascii="Times New Roman" w:hAnsi="Times New Roman"/>
          <w:sz w:val="20"/>
          <w:u w:val="single"/>
        </w:rPr>
        <w:t>3.08(a)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DXL, (ii) the representations and warranties of DXL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3.03</w:t>
      </w:r>
      <w:r>
        <w:rPr>
          <w:rFonts w:ascii="Times New Roman" w:hAnsi="Times New Roman"/>
          <w:sz w:val="20"/>
        </w:rPr>
        <w:t xml:space="preserve"> (Authority; No Violation) and </w:t>
      </w:r>
      <w:r>
        <w:rPr>
          <w:rFonts w:ascii="Times New Roman" w:hAnsi="Times New Roman"/>
          <w:sz w:val="20"/>
          <w:u w:val="single"/>
        </w:rPr>
        <w:t>Section 3.07</w:t>
      </w:r>
      <w:r>
        <w:rPr>
          <w:rFonts w:ascii="Times New Roman" w:hAnsi="Times New Roman"/>
          <w:sz w:val="20"/>
        </w:rPr>
        <w:t xml:space="preserve">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w:t>
      </w:r>
      <w:r>
        <w:rPr>
          <w:rFonts w:ascii="Times New Roman" w:hAnsi="Times New Roman"/>
          <w:sz w:val="20"/>
          <w:u w:val="single"/>
        </w:rPr>
        <w:t>Section 3.02</w:t>
      </w:r>
      <w:r>
        <w:rPr>
          <w:rFonts w:ascii="Times New Roman" w:hAnsi="Times New Roman"/>
          <w:sz w:val="20"/>
        </w:rPr>
        <w:t xml:space="preserve"> (Capitalization) shall be true and correct in all respects on the date of this Agreement and as of the Closing Date, as if made at and as of such date, subject only to </w:t>
      </w:r>
      <w:r>
        <w:rPr>
          <w:rFonts w:ascii="Times New Roman" w:hAnsi="Times New Roman"/>
          <w:i/>
          <w:sz w:val="20"/>
        </w:rPr>
        <w:t>de minimis</w:t>
      </w:r>
      <w:r>
        <w:rPr>
          <w:rFonts w:ascii="Times New Roman" w:hAnsi="Times New Roman"/>
          <w:sz w:val="20"/>
        </w:rPr>
        <w:t xml:space="preserve"> inaccuracies on the date of this Agreement, and as of the Closing Date and (iv) the representations and warranties of DXL set forth in </w:t>
      </w:r>
      <w:r>
        <w:rPr>
          <w:rFonts w:ascii="Times New Roman" w:hAnsi="Times New Roman"/>
          <w:sz w:val="20"/>
          <w:u w:val="single"/>
        </w:rPr>
        <w:t>Section 3.08(a)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DXL</w:t>
      </w:r>
      <w:r>
        <w:rPr>
          <w:rFonts w:ascii="Times New Roman" w:hAnsi="Times New Roman"/>
          <w:sz w:val="20"/>
        </w:rPr>
        <w:t xml:space="preserve">. DXL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DXL</w:t>
      </w:r>
      <w:r>
        <w:rPr>
          <w:rFonts w:ascii="Times New Roman" w:hAnsi="Times New Roman"/>
          <w:sz w:val="20"/>
        </w:rPr>
        <w:t xml:space="preserve">. Since the date of this Agreement, no event or events or development or developments shall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DXL shall have delivered to FBB a certificate certifying the satisfaction of the conditions contained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5" w:name="anxa76201_97"/>
      <w:bookmarkEnd w:id="205"/>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TERMINATION AND AMENDMENT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6" w:name="anxa76201_98"/>
      <w:bookmarkEnd w:id="206"/>
      <w:r>
        <w:rPr>
          <w:rFonts w:ascii="Times New Roman" w:hAnsi="Times New Roman"/>
          <w:b/>
          <w:sz w:val="20"/>
        </w:rPr>
        <w:t xml:space="preserve">SECTION 8.01 </w:t>
      </w:r>
      <w:r>
        <w:rPr>
          <w:rFonts w:ascii="Times New Roman" w:hAnsi="Times New Roman"/>
          <w:b/>
          <w:sz w:val="20"/>
          <w:u w:val="single"/>
        </w:rPr>
        <w:t>Termination</w:t>
      </w:r>
      <w:r>
        <w:rPr>
          <w:rFonts w:ascii="Times New Roman" w:hAnsi="Times New Roman"/>
          <w:sz w:val="20"/>
        </w:rPr>
        <w:t xml:space="preserve">. This Agreement may be terminated at any time prior to the Effective Time, whether before or after receipt of the FBB Stockholder Approval or the Required DXL Stockholder Vote, by action taken or authorized by the board of directors of the terminating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DXL and FBB in a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DXL or FBB if any Governmental Entity of competent jurisdiction shall have issued a final and non-appealable order permanently enjoining or otherwise prohibiting the consummation of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by either DXL or FBB if the Required DXL Stockholder Vote shall not have been obtained at the DXL Stockholders Meeting or any adjournment or postponement thereof at which the vote was taken; provided that DXL may not terminate this Agreement pursuant to this </w:t>
      </w:r>
      <w:r>
        <w:rPr>
          <w:rFonts w:ascii="Times New Roman" w:hAnsi="Times New Roman"/>
          <w:sz w:val="20"/>
          <w:u w:val="single"/>
        </w:rPr>
        <w:t>Section 8.01(c)</w:t>
      </w:r>
      <w:r>
        <w:rPr>
          <w:rFonts w:ascii="Times New Roman" w:hAnsi="Times New Roman"/>
          <w:sz w:val="20"/>
        </w:rPr>
        <w:t xml:space="preserve"> if DXL’s breach of its obligations under this Agreement proximately contributed to the failure to have obtained the Required DXL Stockholder Vote at the DXL Stockholders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by either DXL or FBB if the FBB Stockholder Approval shall not have been obtained within five (5) calendar days of the date hereof; provided that FBB may not terminate this Agreement pursuant to this </w:t>
      </w:r>
      <w:r>
        <w:rPr>
          <w:rFonts w:ascii="Times New Roman" w:hAnsi="Times New Roman"/>
          <w:sz w:val="20"/>
          <w:u w:val="single"/>
        </w:rPr>
        <w:t>Section 8.01(d)</w:t>
      </w:r>
      <w:r>
        <w:rPr>
          <w:rFonts w:ascii="Times New Roman" w:hAnsi="Times New Roman"/>
          <w:sz w:val="20"/>
        </w:rPr>
        <w:t xml:space="preserve"> if FBB’s breach of its obligations under this Agreement proximately contributed to the failure to have obtained the FBB Stockholder Approval; </w:t>
      </w:r>
    </w:p>
    <w:p>
      <w:pPr>
        <w:pStyle w:val="TextBody"/>
        <w:bidi w:val="0"/>
        <w:spacing w:before="240" w:after="0"/>
        <w:jc w:val="left"/>
        <w:rPr>
          <w:rFonts w:ascii="Times New Roman" w:hAnsi="Times New Roman"/>
          <w:sz w:val="20"/>
        </w:rPr>
      </w:pPr>
      <w:r>
        <w:rPr>
          <w:rFonts w:ascii="Times New Roman" w:hAnsi="Times New Roman"/>
          <w:sz w:val="20"/>
        </w:rPr>
        <w:t>(e) by either DXL or FBB if the Merger shall not have been consummated on or before September 11, 2026 (the “</w:t>
      </w:r>
      <w:r>
        <w:rPr>
          <w:rFonts w:ascii="Times New Roman" w:hAnsi="Times New Roman"/>
          <w:sz w:val="20"/>
          <w:u w:val="single"/>
        </w:rPr>
        <w:t>End Date</w:t>
      </w:r>
      <w:r>
        <w:rPr>
          <w:rFonts w:ascii="Times New Roman" w:hAnsi="Times New Roman"/>
          <w:sz w:val="20"/>
        </w:rPr>
        <w:t xml:space="preserve">”), subject to extension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provided that no party may terminate this Agreement pursuant to this </w:t>
      </w:r>
      <w:r>
        <w:rPr>
          <w:rFonts w:ascii="Times New Roman" w:hAnsi="Times New Roman"/>
          <w:sz w:val="20"/>
          <w:u w:val="single"/>
        </w:rPr>
        <w:t>Section 8.01(e)</w:t>
      </w:r>
      <w:r>
        <w:rPr>
          <w:rFonts w:ascii="Times New Roman" w:hAnsi="Times New Roman"/>
          <w:sz w:val="20"/>
        </w:rPr>
        <w:t xml:space="preserve"> if such party’s breach of its obligations under this Agreement proximately contributed to the failure of the Closing to occur by the End Date (or any extension of the End Date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04); </w:t>
      </w:r>
    </w:p>
    <w:p>
      <w:pPr>
        <w:pStyle w:val="TextBody"/>
        <w:bidi w:val="0"/>
        <w:spacing w:before="240" w:after="0"/>
        <w:jc w:val="left"/>
        <w:rPr>
          <w:rFonts w:ascii="Times New Roman" w:hAnsi="Times New Roman"/>
          <w:sz w:val="20"/>
        </w:rPr>
      </w:pPr>
      <w:r>
        <w:rPr>
          <w:rFonts w:ascii="Times New Roman" w:hAnsi="Times New Roman"/>
          <w:sz w:val="20"/>
        </w:rPr>
        <w:t xml:space="preserve">(f) 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(g) 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DXL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DXL shall not have commenced good faith efforts to cure the breach or inaccuracy within ten (10) calendar days following receipt of written notice from FBB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(h) by DXL if there shall have been a breach or failure to perform on the part of FBB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(a), </w:t>
      </w:r>
      <w:r>
        <w:rPr>
          <w:rFonts w:ascii="Times New Roman" w:hAnsi="Times New Roman"/>
          <w:sz w:val="20"/>
          <w:u w:val="single"/>
        </w:rPr>
        <w:t>Section 6.16(b)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which breach or failure, either individually or in the aggregate, would result in, if occurring or continuing on the Closing Date, the failure of the condition set forth in </w:t>
      </w:r>
      <w:r>
        <w:rPr>
          <w:rFonts w:ascii="Times New Roman" w:hAnsi="Times New Roman"/>
          <w:sz w:val="20"/>
          <w:u w:val="single"/>
        </w:rPr>
        <w:t>Section 7.01(d)</w:t>
      </w:r>
      <w:r>
        <w:rPr>
          <w:rFonts w:ascii="Times New Roman" w:hAnsi="Times New Roman"/>
          <w:sz w:val="20"/>
        </w:rPr>
        <w:t xml:space="preserve"> , and such breach or failure to perform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(i) by FBB if Nasdaq shall have informed FBB or DXL, whether orally or in writing, that Nasdaq will not list the Merger Consideration upon consummation of the Merger and otherwise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by DXL, at any time prior to the receipt of the Required DXL Stockholder Vote in connection with entering into a DXL Acquisition Agreement in accordance with </w:t>
      </w:r>
      <w:r>
        <w:rPr>
          <w:rFonts w:ascii="Times New Roman" w:hAnsi="Times New Roman"/>
          <w:sz w:val="20"/>
          <w:u w:val="single"/>
        </w:rPr>
        <w:t>Section 5.06(f)</w:t>
      </w:r>
      <w:r>
        <w:rPr>
          <w:rFonts w:ascii="Times New Roman" w:hAnsi="Times New Roman"/>
          <w:sz w:val="20"/>
        </w:rPr>
        <w:t xml:space="preserve">; provided, that DXL concurrently pays FBB the DXL Termination Fee in accordance with </w:t>
      </w:r>
      <w:r>
        <w:rPr>
          <w:rFonts w:ascii="Times New Roman" w:hAnsi="Times New Roman"/>
          <w:sz w:val="20"/>
          <w:u w:val="single"/>
        </w:rPr>
        <w:t>Section 6.07(b)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FBB, at any time prior to the receipt of the Required DXL Stockholder Vote in the event of a DXL Adverse Recommendation Change. </w:t>
      </w:r>
    </w:p>
    <w:p>
      <w:pPr>
        <w:pStyle w:val="TextBody"/>
        <w:bidi w:val="0"/>
        <w:spacing w:before="240" w:after="0"/>
        <w:jc w:val="left"/>
        <w:rPr>
          <w:rFonts w:ascii="Times New Roman" w:hAnsi="Times New Roman"/>
          <w:sz w:val="20"/>
        </w:rPr>
      </w:pPr>
      <w:bookmarkStart w:id="207" w:name="anxa76201_99"/>
      <w:bookmarkEnd w:id="207"/>
      <w:r>
        <w:rPr>
          <w:rFonts w:ascii="Times New Roman" w:hAnsi="Times New Roman"/>
          <w:b/>
          <w:sz w:val="20"/>
        </w:rPr>
        <w:t xml:space="preserve">SECTION 8.02 </w:t>
      </w:r>
      <w:r>
        <w:rPr>
          <w:rFonts w:ascii="Times New Roman" w:hAnsi="Times New Roman"/>
          <w:b/>
          <w:sz w:val="20"/>
          <w:u w:val="single"/>
        </w:rPr>
        <w:t>Effect of Termination</w:t>
      </w:r>
      <w:r>
        <w:rPr>
          <w:rFonts w:ascii="Times New Roman" w:hAnsi="Times New Roman"/>
          <w:sz w:val="20"/>
        </w:rPr>
        <w:t xml:space="preserve">. In the event of termination of this Agreement by either DXL or FBB in accordance with </w:t>
      </w:r>
      <w:r>
        <w:rPr>
          <w:rFonts w:ascii="Times New Roman" w:hAnsi="Times New Roman"/>
          <w:sz w:val="20"/>
          <w:u w:val="single"/>
        </w:rPr>
        <w:t>Section 8.01</w:t>
      </w:r>
      <w:r>
        <w:rPr>
          <w:rFonts w:ascii="Times New Roman" w:hAnsi="Times New Roman"/>
          <w:sz w:val="20"/>
        </w:rPr>
        <w:t>,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w:t>
      </w:r>
      <w:r>
        <w:rPr>
          <w:rFonts w:ascii="Times New Roman" w:hAnsi="Times New Roman"/>
          <w:sz w:val="20"/>
          <w:u w:val="single"/>
        </w:rPr>
        <w:t>Section 6.07</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9.13</w:t>
      </w:r>
      <w:r>
        <w:rPr>
          <w:rFonts w:ascii="Times New Roman" w:hAnsi="Times New Roman"/>
          <w:sz w:val="20"/>
        </w:rPr>
        <w:t xml:space="preserve">) and the last sentence of </w:t>
      </w:r>
      <w:r>
        <w:rPr>
          <w:rFonts w:ascii="Times New Roman" w:hAnsi="Times New Roman"/>
          <w:sz w:val="20"/>
          <w:u w:val="single"/>
        </w:rPr>
        <w:t>Section 6.03</w:t>
      </w:r>
      <w:r>
        <w:rPr>
          <w:rFonts w:ascii="Times New Roman" w:hAnsi="Times New Roman"/>
          <w:sz w:val="20"/>
        </w:rPr>
        <w:t xml:space="preserve">, as well as the Confidentiality Agreement, shall survive any termination of this Agreement and (b) notwithstanding any termination or 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 </w:t>
      </w:r>
    </w:p>
    <w:p>
      <w:pPr>
        <w:pStyle w:val="TextBody"/>
        <w:bidi w:val="0"/>
        <w:spacing w:before="240" w:after="0"/>
        <w:jc w:val="left"/>
        <w:rPr>
          <w:rFonts w:ascii="Times New Roman" w:hAnsi="Times New Roman"/>
          <w:sz w:val="20"/>
        </w:rPr>
      </w:pPr>
      <w:bookmarkStart w:id="208" w:name="anxa76201_100"/>
      <w:bookmarkEnd w:id="208"/>
      <w:r>
        <w:rPr>
          <w:rFonts w:ascii="Times New Roman" w:hAnsi="Times New Roman"/>
          <w:b/>
          <w:sz w:val="20"/>
        </w:rPr>
        <w:t xml:space="preserve">SECTION 8.03 </w:t>
      </w:r>
      <w:r>
        <w:rPr>
          <w:rFonts w:ascii="Times New Roman" w:hAnsi="Times New Roman"/>
          <w:b/>
          <w:sz w:val="20"/>
          <w:u w:val="single"/>
        </w:rPr>
        <w:t>Amendment</w:t>
      </w:r>
      <w:r>
        <w:rPr>
          <w:rFonts w:ascii="Times New Roman" w:hAnsi="Times New Roman"/>
          <w:sz w:val="20"/>
        </w:rPr>
        <w:t xml:space="preserve">. Subject to compliance with applicable Law, this Agreement may be amended by DXL, Merger Sub and FBB, 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Section 9.14</w:t>
      </w:r>
      <w:r>
        <w:rPr>
          <w:rFonts w:ascii="Times New Roman" w:hAnsi="Times New Roman"/>
          <w:sz w:val="20"/>
        </w:rPr>
        <w:t xml:space="preserve"> (and, in each case, the related definitions in this Agreement used therein) that is adverse to any Financing Related Party shall not be made without the prior written consent of the affiliated Financing Source (to the extent there is any). </w:t>
      </w:r>
    </w:p>
    <w:p>
      <w:pPr>
        <w:pStyle w:val="TextBody"/>
        <w:bidi w:val="0"/>
        <w:spacing w:before="240" w:after="0"/>
        <w:jc w:val="left"/>
        <w:rPr>
          <w:rFonts w:ascii="Times New Roman" w:hAnsi="Times New Roman"/>
          <w:sz w:val="20"/>
        </w:rPr>
      </w:pPr>
      <w:bookmarkStart w:id="209" w:name="anxa76201_101"/>
      <w:bookmarkEnd w:id="209"/>
      <w:r>
        <w:rPr>
          <w:rFonts w:ascii="Times New Roman" w:hAnsi="Times New Roman"/>
          <w:b/>
          <w:sz w:val="20"/>
        </w:rPr>
        <w:t xml:space="preserve">SECTION 8.04 </w:t>
      </w:r>
      <w:r>
        <w:rPr>
          <w:rFonts w:ascii="Times New Roman" w:hAnsi="Times New Roman"/>
          <w:b/>
          <w:sz w:val="20"/>
          <w:u w:val="single"/>
        </w:rPr>
        <w:t>Extension; Waiver</w:t>
      </w:r>
      <w:r>
        <w:rPr>
          <w:rFonts w:ascii="Times New Roman" w:hAnsi="Times New Roman"/>
          <w:sz w:val="20"/>
        </w:rPr>
        <w:t xml:space="preserve">. At any time prior to the Effective Time, DXL (on behalf of itself and Merger Sub) and FBB may, to 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0" w:name="anxa76201_102"/>
      <w:bookmarkEnd w:id="210"/>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11" w:name="anxa76201_103"/>
      <w:bookmarkEnd w:id="211"/>
      <w:r>
        <w:rPr>
          <w:rFonts w:ascii="Times New Roman" w:hAnsi="Times New Roman"/>
          <w:b/>
          <w:sz w:val="20"/>
        </w:rPr>
        <w:t xml:space="preserve">SECTION 9.01 </w:t>
      </w:r>
      <w:r>
        <w:rPr>
          <w:rFonts w:ascii="Times New Roman" w:hAnsi="Times New Roman"/>
          <w:b/>
          <w:sz w:val="20"/>
          <w:u w:val="single"/>
        </w:rPr>
        <w:t>Non-survival of Representations and Warranties</w:t>
      </w:r>
      <w:r>
        <w:rPr>
          <w:rFonts w:ascii="Times New Roman" w:hAnsi="Times New Roman"/>
          <w:sz w:val="20"/>
        </w:rPr>
        <w:t xml:space="preserve">. None of the representations, warranties, covenants and agreements in this Agreement or in any instrument delivered pursuant to this Agreement shall survive the Effective Time; provided that this </w:t>
      </w:r>
      <w:r>
        <w:rPr>
          <w:rFonts w:ascii="Times New Roman" w:hAnsi="Times New Roman"/>
          <w:sz w:val="20"/>
          <w:u w:val="single"/>
        </w:rPr>
        <w:t>Section 9.01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212" w:name="anxa76201_104"/>
      <w:bookmarkEnd w:id="212"/>
      <w:r>
        <w:rPr>
          <w:rFonts w:ascii="Times New Roman" w:hAnsi="Times New Roman"/>
          <w:b/>
          <w:sz w:val="20"/>
        </w:rPr>
        <w:t xml:space="preserve">SECTION 9.02 </w:t>
      </w:r>
      <w:r>
        <w:rPr>
          <w:rFonts w:ascii="Times New Roman" w:hAnsi="Times New Roman"/>
          <w:b/>
          <w:sz w:val="20"/>
          <w:u w:val="single"/>
        </w:rPr>
        <w:t>Notices</w:t>
      </w:r>
      <w:r>
        <w:rPr>
          <w:rFonts w:ascii="Times New Roman" w:hAnsi="Times New Roman"/>
          <w:sz w:val="20"/>
        </w:rPr>
        <w:t xml:space="preserve">. To be effective under this Agreement, all notices, requests, claims, demands and other communications under this 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DXL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Attn: Harvey S. Kanter </w:t>
      </w:r>
    </w:p>
    <w:p>
      <w:pPr>
        <w:pStyle w:val="TextBody"/>
        <w:bidi w:val="0"/>
        <w:spacing w:before="0" w:after="0"/>
        <w:jc w:val="left"/>
        <w:rPr>
          <w:rFonts w:ascii="Times New Roman" w:hAnsi="Times New Roman"/>
          <w:sz w:val="20"/>
        </w:rPr>
      </w:pPr>
      <w:r>
        <w:rPr>
          <w:rFonts w:ascii="Times New Roman" w:hAnsi="Times New Roman"/>
          <w:sz w:val="20"/>
        </w:rPr>
        <w:t xml:space="preserve">Email: hkanter@dxlg.com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2375 E. Camelback Rd., Suite 800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Attention: Brian H. Blaney </w:t>
      </w:r>
    </w:p>
    <w:p>
      <w:pPr>
        <w:pStyle w:val="TextBody"/>
        <w:bidi w:val="0"/>
        <w:spacing w:before="0" w:after="0"/>
        <w:jc w:val="left"/>
        <w:rPr>
          <w:rFonts w:ascii="Times New Roman" w:hAnsi="Times New Roman"/>
          <w:sz w:val="20"/>
        </w:rPr>
      </w:pPr>
      <w:r>
        <w:rPr>
          <w:rFonts w:ascii="Times New Roman" w:hAnsi="Times New Roman"/>
          <w:sz w:val="20"/>
        </w:rPr>
        <w:t xml:space="preserve">E-mail: blaneyb@gtlaw.com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FBB,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Attn: Jim Fogarty (CEO);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jfogarty@fbbrands.com; generalcounsel@fbbrands.com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Paul J. Shim </w:t>
      </w:r>
    </w:p>
    <w:p>
      <w:pPr>
        <w:pStyle w:val="TextBody"/>
        <w:bidi w:val="0"/>
        <w:spacing w:before="0" w:after="0"/>
        <w:jc w:val="left"/>
        <w:rPr>
          <w:rFonts w:ascii="Times New Roman" w:hAnsi="Times New Roman"/>
          <w:sz w:val="20"/>
        </w:rPr>
      </w:pPr>
      <w:r>
        <w:rPr>
          <w:rFonts w:ascii="Times New Roman" w:hAnsi="Times New Roman"/>
          <w:sz w:val="20"/>
        </w:rPr>
        <w:t xml:space="preserve">E-mail: pshim@cgsh.com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650 California St,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94108 </w:t>
      </w:r>
    </w:p>
    <w:p>
      <w:pPr>
        <w:pStyle w:val="TextBody"/>
        <w:bidi w:val="0"/>
        <w:spacing w:before="0" w:after="0"/>
        <w:jc w:val="left"/>
        <w:rPr>
          <w:rFonts w:ascii="Times New Roman" w:hAnsi="Times New Roman"/>
          <w:sz w:val="20"/>
        </w:rPr>
      </w:pPr>
      <w:r>
        <w:rPr>
          <w:rFonts w:ascii="Times New Roman" w:hAnsi="Times New Roman"/>
          <w:sz w:val="20"/>
        </w:rPr>
        <w:t xml:space="preserve">Attn: Benet J. O’Reilly </w:t>
      </w:r>
    </w:p>
    <w:p>
      <w:pPr>
        <w:pStyle w:val="TextBody"/>
        <w:bidi w:val="0"/>
        <w:spacing w:before="0" w:after="0"/>
        <w:jc w:val="left"/>
        <w:rPr>
          <w:rFonts w:ascii="Times New Roman" w:hAnsi="Times New Roman"/>
          <w:sz w:val="20"/>
        </w:rPr>
      </w:pPr>
      <w:r>
        <w:rPr>
          <w:rFonts w:ascii="Times New Roman" w:hAnsi="Times New Roman"/>
          <w:sz w:val="20"/>
        </w:rPr>
        <w:t xml:space="preserve">E-mail: boreilly@cgsh.com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3" w:name="anxa76201_105"/>
      <w:bookmarkEnd w:id="213"/>
      <w:r>
        <w:rPr>
          <w:rFonts w:ascii="Times New Roman" w:hAnsi="Times New Roman"/>
          <w:b/>
          <w:sz w:val="20"/>
        </w:rPr>
        <w:t xml:space="preserve">SECTION 9.03 </w:t>
      </w:r>
      <w:r>
        <w:rPr>
          <w:rFonts w:ascii="Times New Roman" w:hAnsi="Times New Roman"/>
          <w:b/>
          <w:sz w:val="20"/>
          <w:u w:val="single"/>
        </w:rPr>
        <w:t>Definitions</w:t>
      </w:r>
      <w:r>
        <w:rPr>
          <w:rFonts w:ascii="Times New Roman" w:hAnsi="Times New Roman"/>
          <w:sz w:val="20"/>
        </w:rPr>
        <w:t xml:space="preserve">. As used in this Agreement, the following terms shall have the respective meanings set forth below: </w:t>
      </w:r>
    </w:p>
    <w:p>
      <w:pPr>
        <w:pStyle w:val="TextBody"/>
        <w:bidi w:val="0"/>
        <w:spacing w:before="240" w:after="0"/>
        <w:jc w:val="left"/>
        <w:rPr/>
      </w:pPr>
      <w:r>
        <w:rPr/>
        <w:t>“</w:t>
      </w:r>
      <w:r>
        <w:rPr>
          <w:rFonts w:ascii="Times New Roman" w:hAnsi="Times New Roman"/>
          <w:sz w:val="20"/>
          <w:u w:val="single"/>
        </w:rPr>
        <w:t>A&amp;R Term Loan Facility</w:t>
      </w:r>
      <w:r>
        <w:rPr>
          <w:rFonts w:ascii="Times New Roman" w:hAnsi="Times New Roman"/>
          <w:sz w:val="20"/>
        </w:rPr>
        <w:t xml:space="preserve">”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with respect to </w:t>
      </w:r>
      <w:r>
        <w:rPr>
          <w:rFonts w:ascii="Times New Roman" w:hAnsi="Times New Roman"/>
          <w:sz w:val="20"/>
          <w:u w:val="single"/>
        </w:rPr>
        <w:t>Section 5.06</w:t>
      </w:r>
      <w:r>
        <w:rPr>
          <w:rFonts w:ascii="Times New Roman" w:hAnsi="Times New Roman"/>
          <w:sz w:val="20"/>
        </w:rPr>
        <w:t xml:space="preserve">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 </w:t>
      </w:r>
    </w:p>
    <w:p>
      <w:pPr>
        <w:pStyle w:val="TextBody"/>
        <w:bidi w:val="0"/>
        <w:spacing w:before="240" w:after="0"/>
        <w:jc w:val="left"/>
        <w:rPr/>
      </w:pPr>
      <w:r>
        <w:rPr/>
        <w:t>“</w:t>
      </w:r>
      <w:r>
        <w:rPr>
          <w:rFonts w:ascii="Times New Roman" w:hAnsi="Times New Roman"/>
          <w:sz w:val="20"/>
          <w:u w:val="single"/>
        </w:rPr>
        <w:t>Accredited Investor</w:t>
      </w:r>
      <w:r>
        <w:rPr>
          <w:rFonts w:ascii="Times New Roman" w:hAnsi="Times New Roman"/>
          <w:sz w:val="20"/>
        </w:rPr>
        <w:t xml:space="preserve">” means a Person that FBB reasonably believes is an “accredited investor” as that term is defined in Rule 501 of Regulation D of the Securities Act.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banking and savings and loan institutions are authorized or required by Law to be closed in New York, New York. </w:t>
      </w:r>
    </w:p>
    <w:p>
      <w:pPr>
        <w:pStyle w:val="TextBody"/>
        <w:bidi w:val="0"/>
        <w:spacing w:before="240" w:after="0"/>
        <w:jc w:val="left"/>
        <w:rPr/>
      </w:pPr>
      <w:r>
        <w:rPr/>
        <w:t>“</w:t>
      </w:r>
      <w:r>
        <w:rPr>
          <w:rFonts w:ascii="Times New Roman" w:hAnsi="Times New Roman"/>
          <w:sz w:val="20"/>
          <w:u w:val="single"/>
        </w:rPr>
        <w:t>Charter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Commitment and Subscription Agreement</w:t>
      </w:r>
      <w:r>
        <w:rPr>
          <w:rFonts w:ascii="Times New Roman" w:hAnsi="Times New Roman"/>
          <w:sz w:val="20"/>
        </w:rPr>
        <w:t xml:space="preserve">” means a Contract executed by an FBB Investor in connection with the Pre-Closing Investment.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binding commitment, note, bond, mortgage, indenture, lease, license, sublicense, franchise or other legally binding instrument, obligation or arrangement, whether oral or in writing. </w:t>
      </w:r>
    </w:p>
    <w:p>
      <w:pPr>
        <w:pStyle w:val="TextBody"/>
        <w:bidi w:val="0"/>
        <w:spacing w:before="240" w:after="0"/>
        <w:jc w:val="left"/>
        <w:rPr/>
      </w:pPr>
      <w:r>
        <w:rPr/>
        <w:t>“</w:t>
      </w:r>
      <w:r>
        <w:rPr>
          <w:rFonts w:ascii="Times New Roman" w:hAnsi="Times New Roman"/>
          <w:sz w:val="20"/>
          <w:u w:val="single"/>
        </w:rPr>
        <w:t>Debt Documents</w:t>
      </w:r>
      <w:r>
        <w:rPr>
          <w:rFonts w:ascii="Times New Roman" w:hAnsi="Times New Roman"/>
          <w:sz w:val="20"/>
        </w:rPr>
        <w:t xml:space="preserve">” means any definitive agreement with respect to the Debt Financing.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DXL Bylaws</w:t>
      </w:r>
      <w:r>
        <w:rPr>
          <w:rFonts w:ascii="Times New Roman" w:hAnsi="Times New Roman"/>
          <w:sz w:val="20"/>
        </w:rPr>
        <w:t xml:space="preserve">” means the Fourth Amended and Restated Bylaws of DXL, as amended and in effect as of the date hereof. </w:t>
      </w:r>
    </w:p>
    <w:p>
      <w:pPr>
        <w:pStyle w:val="TextBody"/>
        <w:bidi w:val="0"/>
        <w:spacing w:before="240" w:after="0"/>
        <w:jc w:val="left"/>
        <w:rPr/>
      </w:pPr>
      <w:r>
        <w:rPr/>
        <w:t>“</w:t>
      </w:r>
      <w:r>
        <w:rPr>
          <w:rFonts w:ascii="Times New Roman" w:hAnsi="Times New Roman"/>
          <w:sz w:val="20"/>
          <w:u w:val="single"/>
        </w:rPr>
        <w:t>DXL CapEx Budget</w:t>
      </w:r>
      <w:r>
        <w:rPr>
          <w:rFonts w:ascii="Times New Roman" w:hAnsi="Times New Roman"/>
          <w:sz w:val="20"/>
        </w:rPr>
        <w:t xml:space="preserve">” means that certain capital expenditures budget of DXL and its Subsidiaries set forth in </w:t>
      </w:r>
      <w:r>
        <w:rPr>
          <w:rFonts w:ascii="Times New Roman" w:hAnsi="Times New Roman"/>
          <w:sz w:val="20"/>
          <w:u w:val="single"/>
        </w:rPr>
        <w:t>Section 5.02(i)</w:t>
      </w:r>
      <w:r>
        <w:rPr>
          <w:rFonts w:ascii="Times New Roman" w:hAnsi="Times New Roman"/>
          <w:sz w:val="20"/>
        </w:rPr>
        <w:t xml:space="preserve"> of the DXL Disclosure Schedule. </w:t>
      </w:r>
    </w:p>
    <w:p>
      <w:pPr>
        <w:pStyle w:val="TextBody"/>
        <w:bidi w:val="0"/>
        <w:spacing w:before="240" w:after="0"/>
        <w:jc w:val="left"/>
        <w:rPr/>
      </w:pPr>
      <w:r>
        <w:rPr/>
        <w:t>“</w:t>
      </w:r>
      <w:r>
        <w:rPr>
          <w:rFonts w:ascii="Times New Roman" w:hAnsi="Times New Roman"/>
          <w:sz w:val="20"/>
          <w:u w:val="single"/>
        </w:rPr>
        <w:t>DXL Charter</w:t>
      </w:r>
      <w:r>
        <w:rPr>
          <w:rFonts w:ascii="Times New Roman" w:hAnsi="Times New Roman"/>
          <w:sz w:val="20"/>
        </w:rPr>
        <w:t xml:space="preserve">” means the Restated Certificate of Incorporation of DXL, as amended and in effect as of the date hereof. </w:t>
      </w:r>
    </w:p>
    <w:p>
      <w:pPr>
        <w:pStyle w:val="TextBody"/>
        <w:bidi w:val="0"/>
        <w:spacing w:before="240" w:after="0"/>
        <w:jc w:val="left"/>
        <w:rPr/>
      </w:pPr>
      <w:r>
        <w:rPr/>
        <w:t>“</w:t>
      </w:r>
      <w:r>
        <w:rPr>
          <w:rFonts w:ascii="Times New Roman" w:hAnsi="Times New Roman"/>
          <w:sz w:val="20"/>
          <w:u w:val="single"/>
        </w:rPr>
        <w:t>DXL Common Stock</w:t>
      </w:r>
      <w:r>
        <w:rPr>
          <w:rFonts w:ascii="Times New Roman" w:hAnsi="Times New Roman"/>
          <w:sz w:val="20"/>
        </w:rPr>
        <w:t xml:space="preserve">” means the common stock of DXL, par value $0.01 per share. </w:t>
      </w:r>
    </w:p>
    <w:p>
      <w:pPr>
        <w:pStyle w:val="TextBody"/>
        <w:bidi w:val="0"/>
        <w:spacing w:before="240" w:after="0"/>
        <w:jc w:val="left"/>
        <w:rPr/>
      </w:pPr>
      <w:r>
        <w:rPr/>
        <w:t>“</w:t>
      </w:r>
      <w:r>
        <w:rPr>
          <w:rFonts w:ascii="Times New Roman" w:hAnsi="Times New Roman"/>
          <w:sz w:val="20"/>
          <w:u w:val="single"/>
        </w:rPr>
        <w:t>DXL Deferred Stock Award</w:t>
      </w:r>
      <w:r>
        <w:rPr>
          <w:rFonts w:ascii="Times New Roman" w:hAnsi="Times New Roman"/>
          <w:sz w:val="20"/>
        </w:rPr>
        <w:t xml:space="preserve">” means each award of deferred DXL Common Stock granted to non-employee directors under the DXL Equity Plans. </w:t>
      </w:r>
    </w:p>
    <w:p>
      <w:pPr>
        <w:pStyle w:val="TextBody"/>
        <w:bidi w:val="0"/>
        <w:spacing w:before="240" w:after="0"/>
        <w:jc w:val="left"/>
        <w:rPr/>
      </w:pPr>
      <w:r>
        <w:rPr/>
        <w:t>“</w:t>
      </w:r>
      <w:r>
        <w:rPr>
          <w:rFonts w:ascii="Times New Roman" w:hAnsi="Times New Roman"/>
          <w:sz w:val="20"/>
          <w:u w:val="single"/>
        </w:rPr>
        <w:t>DXL Disclosure Schedule</w:t>
      </w:r>
      <w:r>
        <w:rPr>
          <w:rFonts w:ascii="Times New Roman" w:hAnsi="Times New Roman"/>
          <w:sz w:val="20"/>
        </w:rPr>
        <w:t xml:space="preserve">” means the disclosure schedule delivered by DXL and Merger Sub to FBB in connection with the execution of this Agreement. </w:t>
      </w:r>
    </w:p>
    <w:p>
      <w:pPr>
        <w:pStyle w:val="TextBody"/>
        <w:bidi w:val="0"/>
        <w:spacing w:before="240" w:after="0"/>
        <w:jc w:val="left"/>
        <w:rPr/>
      </w:pPr>
      <w:r>
        <w:rPr/>
        <w:t>“</w:t>
      </w:r>
      <w:r>
        <w:rPr>
          <w:rFonts w:ascii="Times New Roman" w:hAnsi="Times New Roman"/>
          <w:sz w:val="20"/>
          <w:u w:val="single"/>
        </w:rPr>
        <w:t>DXL Equity Plans</w:t>
      </w:r>
      <w:r>
        <w:rPr>
          <w:rFonts w:ascii="Times New Roman" w:hAnsi="Times New Roman"/>
          <w:sz w:val="20"/>
        </w:rPr>
        <w:t xml:space="preserve">” means (i) the 2006 Incentive Compensation Plan, as amended and/or restated from time to time, and any successor plan thereto, (ii) 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 </w:t>
      </w:r>
    </w:p>
    <w:p>
      <w:pPr>
        <w:pStyle w:val="TextBody"/>
        <w:bidi w:val="0"/>
        <w:spacing w:before="240" w:after="0"/>
        <w:jc w:val="left"/>
        <w:rPr/>
      </w:pPr>
      <w:r>
        <w:rPr/>
        <w:t>“</w:t>
      </w:r>
      <w:r>
        <w:rPr>
          <w:rFonts w:ascii="Times New Roman" w:hAnsi="Times New Roman"/>
          <w:sz w:val="20"/>
          <w:u w:val="single"/>
        </w:rPr>
        <w:t>DXL ERISA Affiliate</w:t>
      </w:r>
      <w:r>
        <w:rPr>
          <w:rFonts w:ascii="Times New Roman" w:hAnsi="Times New Roman"/>
          <w:sz w:val="20"/>
        </w:rPr>
        <w:t xml:space="preserve">” means all employers (whether or not incorporated) that would be treated together with DXL or any of its Subsidiaries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DXL IP Rights</w:t>
      </w:r>
      <w:r>
        <w:rPr>
          <w:rFonts w:ascii="Times New Roman" w:hAnsi="Times New Roman"/>
          <w:sz w:val="20"/>
        </w:rPr>
        <w:t xml:space="preserve">” means all Intellectual Property Rights owned or purported to be owned by DXL or any of the DXL Subsidiaries. </w:t>
      </w:r>
    </w:p>
    <w:p>
      <w:pPr>
        <w:pStyle w:val="TextBody"/>
        <w:bidi w:val="0"/>
        <w:spacing w:before="240" w:after="0"/>
        <w:jc w:val="left"/>
        <w:rPr/>
      </w:pPr>
      <w:r>
        <w:rPr/>
        <w:t>“</w:t>
      </w:r>
      <w:r>
        <w:rPr>
          <w:rFonts w:ascii="Times New Roman" w:hAnsi="Times New Roman"/>
          <w:sz w:val="20"/>
          <w:u w:val="single"/>
        </w:rPr>
        <w:t>DXL Option</w:t>
      </w:r>
      <w:r>
        <w:rPr>
          <w:rFonts w:ascii="Times New Roman" w:hAnsi="Times New Roman"/>
          <w:sz w:val="20"/>
        </w:rPr>
        <w:t xml:space="preserve">” means each option to purchase shares of DXL Common Stock granted under the DXL Equity Plans. </w:t>
      </w:r>
    </w:p>
    <w:p>
      <w:pPr>
        <w:pStyle w:val="TextBody"/>
        <w:bidi w:val="0"/>
        <w:spacing w:before="240" w:after="0"/>
        <w:jc w:val="left"/>
        <w:rPr/>
      </w:pPr>
      <w:r>
        <w:rPr/>
        <w:t>“</w:t>
      </w:r>
      <w:r>
        <w:rPr>
          <w:rFonts w:ascii="Times New Roman" w:hAnsi="Times New Roman"/>
          <w:sz w:val="20"/>
          <w:u w:val="single"/>
        </w:rPr>
        <w:t>DXL Performance Share Award</w:t>
      </w:r>
      <w:r>
        <w:rPr>
          <w:rFonts w:ascii="Times New Roman" w:hAnsi="Times New Roman"/>
          <w:sz w:val="20"/>
        </w:rPr>
        <w:t xml:space="preserve">” means each performance share award with respect to shares of DXL Common Stock granted under the DXL Equity Plans. </w:t>
      </w:r>
    </w:p>
    <w:p>
      <w:pPr>
        <w:pStyle w:val="TextBody"/>
        <w:bidi w:val="0"/>
        <w:spacing w:before="240" w:after="0"/>
        <w:jc w:val="left"/>
        <w:rPr/>
      </w:pPr>
      <w:r>
        <w:rPr/>
        <w:t>“</w:t>
      </w:r>
      <w:r>
        <w:rPr>
          <w:rFonts w:ascii="Times New Roman" w:hAnsi="Times New Roman"/>
          <w:sz w:val="20"/>
          <w:u w:val="single"/>
        </w:rPr>
        <w:t>DXL Preferred Stock</w:t>
      </w:r>
      <w:r>
        <w:rPr>
          <w:rFonts w:ascii="Times New Roman" w:hAnsi="Times New Roman"/>
          <w:sz w:val="20"/>
        </w:rPr>
        <w:t xml:space="preserve">” means the preferred stock of DXL, par value $0.01 per share. </w:t>
      </w:r>
    </w:p>
    <w:p>
      <w:pPr>
        <w:pStyle w:val="TextBody"/>
        <w:bidi w:val="0"/>
        <w:spacing w:before="240" w:after="0"/>
        <w:jc w:val="left"/>
        <w:rPr/>
      </w:pPr>
      <w:r>
        <w:rPr/>
        <w:t>“</w:t>
      </w:r>
      <w:r>
        <w:rPr>
          <w:rFonts w:ascii="Times New Roman" w:hAnsi="Times New Roman"/>
          <w:sz w:val="20"/>
          <w:u w:val="single"/>
        </w:rPr>
        <w:t>DXL Restricted Employee</w:t>
      </w:r>
      <w:r>
        <w:rPr>
          <w:rFonts w:ascii="Times New Roman" w:hAnsi="Times New Roman"/>
          <w:sz w:val="20"/>
        </w:rPr>
        <w:t xml:space="preserve">” means any employee of DXL whose annual base compensation is excess of $300,000, that is an “officer” as defined under Section 16(a) of the Exchange Act, or any other employee of DXL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DXL Restricted Stock Unit Award</w:t>
      </w:r>
      <w:r>
        <w:rPr>
          <w:rFonts w:ascii="Times New Roman" w:hAnsi="Times New Roman"/>
          <w:sz w:val="20"/>
        </w:rPr>
        <w:t xml:space="preserve"> “ means each time-vesting restricted stock unit award in respect of DXL Common Stock granted under the DXL Equity Plans. </w:t>
      </w:r>
    </w:p>
    <w:p>
      <w:pPr>
        <w:pStyle w:val="TextBody"/>
        <w:bidi w:val="0"/>
        <w:spacing w:before="240" w:after="0"/>
        <w:jc w:val="left"/>
        <w:rPr/>
      </w:pPr>
      <w:r>
        <w:rPr/>
        <w:t>“</w:t>
      </w:r>
      <w:r>
        <w:rPr>
          <w:rFonts w:ascii="Times New Roman" w:hAnsi="Times New Roman"/>
          <w:sz w:val="20"/>
          <w:u w:val="single"/>
        </w:rPr>
        <w:t>DXL Stock Price</w:t>
      </w:r>
      <w:r>
        <w:rPr>
          <w:rFonts w:ascii="Times New Roman" w:hAnsi="Times New Roman"/>
          <w:sz w:val="20"/>
        </w:rPr>
        <w:t xml:space="preserve">”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 </w:t>
      </w:r>
    </w:p>
    <w:p>
      <w:pPr>
        <w:pStyle w:val="TextBody"/>
        <w:bidi w:val="0"/>
        <w:spacing w:before="240" w:after="0"/>
        <w:jc w:val="left"/>
        <w:rPr/>
      </w:pPr>
      <w:r>
        <w:rPr/>
        <w:t>“</w:t>
      </w:r>
      <w:r>
        <w:rPr>
          <w:rFonts w:ascii="Times New Roman" w:hAnsi="Times New Roman"/>
          <w:sz w:val="20"/>
          <w:u w:val="single"/>
        </w:rPr>
        <w:t>DXL Top Supplier</w:t>
      </w:r>
      <w:r>
        <w:rPr>
          <w:rFonts w:ascii="Times New Roman" w:hAnsi="Times New Roman"/>
          <w:sz w:val="20"/>
        </w:rPr>
        <w:t xml:space="preserve">” shall mean a top twenty vendor or supplier of DXL and its Subsidiaries, taken as a whole, based on expenditures during the twelve months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Equity Documents</w:t>
      </w:r>
      <w:r>
        <w:rPr>
          <w:rFonts w:ascii="Times New Roman" w:hAnsi="Times New Roman"/>
          <w:sz w:val="20"/>
        </w:rPr>
        <w:t xml:space="preserve">” means any definitive agreement with respect to the Pre-Closing Investment, including the Commitment and Subscription Agreements.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of any Person means any (i) capital stock, membership or partnership interest, unit or other ownership interest of or in such Person, (ii) 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New Issuance divided by the number of shares of FBB Common Stock issued and outstanding immediately prior to the Effective Time. </w:t>
      </w:r>
    </w:p>
    <w:p>
      <w:pPr>
        <w:pStyle w:val="TextBody"/>
        <w:bidi w:val="0"/>
        <w:spacing w:before="240" w:after="0"/>
        <w:jc w:val="left"/>
        <w:rPr/>
      </w:pPr>
      <w:r>
        <w:rPr/>
        <w:t>“</w:t>
      </w:r>
      <w:r>
        <w:rPr>
          <w:rFonts w:ascii="Times New Roman" w:hAnsi="Times New Roman"/>
          <w:sz w:val="20"/>
          <w:u w:val="single"/>
        </w:rPr>
        <w:t>Existing DXL ABL Agreement</w:t>
      </w:r>
      <w:r>
        <w:rPr>
          <w:rFonts w:ascii="Times New Roman" w:hAnsi="Times New Roman"/>
          <w:sz w:val="20"/>
        </w:rPr>
        <w:t xml:space="preserve">”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 </w:t>
      </w:r>
    </w:p>
    <w:p>
      <w:pPr>
        <w:pStyle w:val="TextBody"/>
        <w:bidi w:val="0"/>
        <w:spacing w:before="240" w:after="0"/>
        <w:jc w:val="left"/>
        <w:rPr/>
      </w:pPr>
      <w:r>
        <w:rPr/>
        <w:t>“</w:t>
      </w:r>
      <w:r>
        <w:rPr>
          <w:rFonts w:ascii="Times New Roman" w:hAnsi="Times New Roman"/>
          <w:sz w:val="20"/>
          <w:u w:val="single"/>
        </w:rPr>
        <w:t>Existing FBB ABL Agreement</w:t>
      </w:r>
      <w:r>
        <w:rPr>
          <w:rFonts w:ascii="Times New Roman" w:hAnsi="Times New Roman"/>
          <w:sz w:val="20"/>
        </w:rPr>
        <w:t xml:space="preserve">”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 </w:t>
      </w:r>
    </w:p>
    <w:p>
      <w:pPr>
        <w:pStyle w:val="TextBody"/>
        <w:bidi w:val="0"/>
        <w:spacing w:before="240" w:after="0"/>
        <w:jc w:val="left"/>
        <w:rPr/>
      </w:pPr>
      <w:r>
        <w:rPr/>
        <w:t>“</w:t>
      </w:r>
      <w:r>
        <w:rPr>
          <w:rFonts w:ascii="Times New Roman" w:hAnsi="Times New Roman"/>
          <w:sz w:val="20"/>
          <w:u w:val="single"/>
        </w:rPr>
        <w:t>Existing Term Loan Facility</w:t>
      </w:r>
      <w:r>
        <w:rPr>
          <w:rFonts w:ascii="Times New Roman" w:hAnsi="Times New Roman"/>
          <w:sz w:val="20"/>
        </w:rPr>
        <w:t>” has the meaning set forth in the definition of “</w:t>
      </w:r>
      <w:r>
        <w:rPr>
          <w:rFonts w:ascii="Times New Roman" w:hAnsi="Times New Roman"/>
          <w:sz w:val="20"/>
          <w:u w:val="single"/>
        </w:rPr>
        <w:t>A&amp;R Term Loan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FBB Bylaws</w:t>
      </w:r>
      <w:r>
        <w:rPr>
          <w:rFonts w:ascii="Times New Roman" w:hAnsi="Times New Roman"/>
          <w:sz w:val="20"/>
        </w:rPr>
        <w:t xml:space="preserve">” means the Amended and Restated Bylaws of FBB, as amended and in effect as of the date hereof. </w:t>
      </w:r>
    </w:p>
    <w:p>
      <w:pPr>
        <w:pStyle w:val="TextBody"/>
        <w:bidi w:val="0"/>
        <w:spacing w:before="240" w:after="0"/>
        <w:jc w:val="left"/>
        <w:rPr/>
      </w:pPr>
      <w:r>
        <w:rPr/>
        <w:t>“</w:t>
      </w:r>
      <w:r>
        <w:rPr>
          <w:rFonts w:ascii="Times New Roman" w:hAnsi="Times New Roman"/>
          <w:sz w:val="20"/>
          <w:u w:val="single"/>
        </w:rPr>
        <w:t>FBB CapEx Budget</w:t>
      </w:r>
      <w:r>
        <w:rPr>
          <w:rFonts w:ascii="Times New Roman" w:hAnsi="Times New Roman"/>
          <w:sz w:val="20"/>
        </w:rPr>
        <w:t xml:space="preserve">” means that certain capital expenditures budget of FBB and its Subsidiaries set forth in </w:t>
      </w:r>
      <w:r>
        <w:rPr>
          <w:rFonts w:ascii="Times New Roman" w:hAnsi="Times New Roman"/>
          <w:sz w:val="20"/>
          <w:u w:val="single"/>
        </w:rPr>
        <w:t>Section 5.03(i)</w:t>
      </w:r>
      <w:r>
        <w:rPr>
          <w:rFonts w:ascii="Times New Roman" w:hAnsi="Times New Roman"/>
          <w:sz w:val="20"/>
        </w:rPr>
        <w:t xml:space="preserve"> of the FBB Disclosure Schedule. </w:t>
      </w:r>
    </w:p>
    <w:p>
      <w:pPr>
        <w:pStyle w:val="TextBody"/>
        <w:bidi w:val="0"/>
        <w:spacing w:before="240" w:after="0"/>
        <w:jc w:val="left"/>
        <w:rPr/>
      </w:pPr>
      <w:r>
        <w:rPr/>
        <w:t>“</w:t>
      </w:r>
      <w:r>
        <w:rPr>
          <w:rFonts w:ascii="Times New Roman" w:hAnsi="Times New Roman"/>
          <w:sz w:val="20"/>
          <w:u w:val="single"/>
        </w:rPr>
        <w:t>FBB Charter</w:t>
      </w:r>
      <w:r>
        <w:rPr>
          <w:rFonts w:ascii="Times New Roman" w:hAnsi="Times New Roman"/>
          <w:sz w:val="20"/>
        </w:rPr>
        <w:t xml:space="preserve">” means the Amended and Restated Certificate of Incorporation of FBB, as amended and in effect as of the date hereof. </w:t>
      </w:r>
    </w:p>
    <w:p>
      <w:pPr>
        <w:pStyle w:val="TextBody"/>
        <w:bidi w:val="0"/>
        <w:spacing w:before="240" w:after="0"/>
        <w:jc w:val="left"/>
        <w:rPr/>
      </w:pPr>
      <w:r>
        <w:rPr/>
        <w:t>“</w:t>
      </w:r>
      <w:r>
        <w:rPr>
          <w:rFonts w:ascii="Times New Roman" w:hAnsi="Times New Roman"/>
          <w:sz w:val="20"/>
          <w:u w:val="single"/>
        </w:rPr>
        <w:t>FBB Common Stock</w:t>
      </w:r>
      <w:r>
        <w:rPr>
          <w:rFonts w:ascii="Times New Roman" w:hAnsi="Times New Roman"/>
          <w:sz w:val="20"/>
        </w:rPr>
        <w:t xml:space="preserve">” means the common stock of FBB, par value $0.01 per share. </w:t>
      </w:r>
    </w:p>
    <w:p>
      <w:pPr>
        <w:pStyle w:val="TextBody"/>
        <w:bidi w:val="0"/>
        <w:spacing w:before="240" w:after="0"/>
        <w:jc w:val="left"/>
        <w:rPr/>
      </w:pPr>
      <w:r>
        <w:rPr/>
        <w:t>“</w:t>
      </w:r>
      <w:r>
        <w:rPr>
          <w:rFonts w:ascii="Times New Roman" w:hAnsi="Times New Roman"/>
          <w:sz w:val="20"/>
          <w:u w:val="single"/>
        </w:rPr>
        <w:t>FBB Disclosure Schedule</w:t>
      </w:r>
      <w:r>
        <w:rPr>
          <w:rFonts w:ascii="Times New Roman" w:hAnsi="Times New Roman"/>
          <w:sz w:val="20"/>
        </w:rPr>
        <w:t xml:space="preserve">” means the disclosure schedule delivered by FBB to DXL and Merger Sub in connection with the execution of this Agreement. </w:t>
      </w:r>
    </w:p>
    <w:p>
      <w:pPr>
        <w:pStyle w:val="TextBody"/>
        <w:bidi w:val="0"/>
        <w:spacing w:before="240" w:after="0"/>
        <w:jc w:val="left"/>
        <w:rPr/>
      </w:pPr>
      <w:r>
        <w:rPr/>
        <w:t>“</w:t>
      </w:r>
      <w:r>
        <w:rPr>
          <w:rFonts w:ascii="Times New Roman" w:hAnsi="Times New Roman"/>
          <w:sz w:val="20"/>
          <w:u w:val="single"/>
        </w:rPr>
        <w:t>FBB Equity Plan</w:t>
      </w:r>
      <w:r>
        <w:rPr>
          <w:rFonts w:ascii="Times New Roman" w:hAnsi="Times New Roman"/>
          <w:sz w:val="20"/>
        </w:rPr>
        <w:t xml:space="preserve">” means the 2019 Management Incentive Plan of FBB Holdings I, Inc., as amended and in effect as of the date hereof. </w:t>
      </w:r>
    </w:p>
    <w:p>
      <w:pPr>
        <w:pStyle w:val="TextBody"/>
        <w:bidi w:val="0"/>
        <w:spacing w:before="240" w:after="0"/>
        <w:jc w:val="left"/>
        <w:rPr/>
      </w:pPr>
      <w:r>
        <w:rPr/>
        <w:t>“</w:t>
      </w:r>
      <w:r>
        <w:rPr>
          <w:rFonts w:ascii="Times New Roman" w:hAnsi="Times New Roman"/>
          <w:sz w:val="20"/>
          <w:u w:val="single"/>
        </w:rPr>
        <w:t>FBB ERISA Affiliate</w:t>
      </w:r>
      <w:r>
        <w:rPr>
          <w:rFonts w:ascii="Times New Roman" w:hAnsi="Times New Roman"/>
          <w:sz w:val="20"/>
        </w:rPr>
        <w:t xml:space="preserve">” means all employers (whether or not incorporated) that would be treated together with FBB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FBB Investors</w:t>
      </w:r>
      <w:r>
        <w:rPr>
          <w:rFonts w:ascii="Times New Roman" w:hAnsi="Times New Roman"/>
          <w:sz w:val="20"/>
        </w:rPr>
        <w:t xml:space="preserve">” means Persons that have entered into Commitment and Subscription Agreements to acquire shares of FBB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FBB IP Rights</w:t>
      </w:r>
      <w:r>
        <w:rPr>
          <w:rFonts w:ascii="Times New Roman" w:hAnsi="Times New Roman"/>
          <w:sz w:val="20"/>
        </w:rPr>
        <w:t xml:space="preserve">” means all Intellectual Property Rights owned or purported to be owned by FBB or any of the FBB Subsidiaries. </w:t>
      </w:r>
    </w:p>
    <w:p>
      <w:pPr>
        <w:pStyle w:val="TextBody"/>
        <w:bidi w:val="0"/>
        <w:spacing w:before="240" w:after="0"/>
        <w:jc w:val="left"/>
        <w:rPr/>
      </w:pPr>
      <w:r>
        <w:rPr/>
        <w:t>“</w:t>
      </w:r>
      <w:r>
        <w:rPr>
          <w:rFonts w:ascii="Times New Roman" w:hAnsi="Times New Roman"/>
          <w:sz w:val="20"/>
          <w:u w:val="single"/>
        </w:rPr>
        <w:t>FBB Preferred Stock</w:t>
      </w:r>
      <w:r>
        <w:rPr>
          <w:rFonts w:ascii="Times New Roman" w:hAnsi="Times New Roman"/>
          <w:sz w:val="20"/>
        </w:rPr>
        <w:t xml:space="preserve">” means the preferred stock of FBB, par value $0.01 per share. </w:t>
      </w:r>
    </w:p>
    <w:p>
      <w:pPr>
        <w:pStyle w:val="TextBody"/>
        <w:bidi w:val="0"/>
        <w:spacing w:before="240" w:after="0"/>
        <w:jc w:val="left"/>
        <w:rPr/>
      </w:pPr>
      <w:r>
        <w:rPr/>
        <w:t>“</w:t>
      </w:r>
      <w:r>
        <w:rPr>
          <w:rFonts w:ascii="Times New Roman" w:hAnsi="Times New Roman"/>
          <w:sz w:val="20"/>
          <w:u w:val="single"/>
        </w:rPr>
        <w:t>FBB Restricted Employee</w:t>
      </w:r>
      <w:r>
        <w:rPr>
          <w:rFonts w:ascii="Times New Roman" w:hAnsi="Times New Roman"/>
          <w:sz w:val="20"/>
        </w:rPr>
        <w:t xml:space="preserve">” means any employee of FBB whose annual base compensation is excess of $300,000 or any other employee of FBB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FBB Restricted Stock Award</w:t>
      </w:r>
      <w:r>
        <w:rPr>
          <w:rFonts w:ascii="Times New Roman" w:hAnsi="Times New Roman"/>
          <w:sz w:val="20"/>
        </w:rPr>
        <w:t xml:space="preserve">” means each award in respect of a share of FBB Common Stock subject to vesting, repurchase or other lapse restriction. </w:t>
      </w:r>
    </w:p>
    <w:p>
      <w:pPr>
        <w:pStyle w:val="TextBody"/>
        <w:bidi w:val="0"/>
        <w:spacing w:before="240" w:after="0"/>
        <w:jc w:val="left"/>
        <w:rPr/>
      </w:pPr>
      <w:r>
        <w:rPr/>
        <w:t>“</w:t>
      </w:r>
      <w:r>
        <w:rPr>
          <w:rFonts w:ascii="Times New Roman" w:hAnsi="Times New Roman"/>
          <w:sz w:val="20"/>
          <w:u w:val="single"/>
        </w:rPr>
        <w:t>FBB Significant Stockholders</w:t>
      </w:r>
      <w:r>
        <w:rPr>
          <w:rFonts w:ascii="Times New Roman" w:hAnsi="Times New Roman"/>
          <w:sz w:val="20"/>
        </w:rPr>
        <w:t xml:space="preserve">” means, collectively, the FBB Investors. </w:t>
      </w:r>
    </w:p>
    <w:p>
      <w:pPr>
        <w:pStyle w:val="TextBody"/>
        <w:bidi w:val="0"/>
        <w:spacing w:before="240" w:after="0"/>
        <w:jc w:val="left"/>
        <w:rPr/>
      </w:pPr>
      <w:r>
        <w:rPr/>
        <w:t>“</w:t>
      </w:r>
      <w:r>
        <w:rPr>
          <w:rFonts w:ascii="Times New Roman" w:hAnsi="Times New Roman"/>
          <w:sz w:val="20"/>
          <w:u w:val="single"/>
        </w:rPr>
        <w:t>FBB Stockholder</w:t>
      </w:r>
      <w:r>
        <w:rPr>
          <w:rFonts w:ascii="Times New Roman" w:hAnsi="Times New Roman"/>
          <w:sz w:val="20"/>
        </w:rPr>
        <w:t xml:space="preserve">” means any Person who is a holder of FBB Common Stock. </w:t>
      </w:r>
    </w:p>
    <w:p>
      <w:pPr>
        <w:pStyle w:val="TextBody"/>
        <w:bidi w:val="0"/>
        <w:spacing w:before="240" w:after="0"/>
        <w:jc w:val="left"/>
        <w:rPr/>
      </w:pPr>
      <w:r>
        <w:rPr/>
        <w:t>“</w:t>
      </w:r>
      <w:r>
        <w:rPr>
          <w:rFonts w:ascii="Times New Roman" w:hAnsi="Times New Roman"/>
          <w:sz w:val="20"/>
          <w:u w:val="single"/>
        </w:rPr>
        <w:t>FBB Stockholders Agreement</w:t>
      </w:r>
      <w:r>
        <w:rPr>
          <w:rFonts w:ascii="Times New Roman" w:hAnsi="Times New Roman"/>
          <w:sz w:val="20"/>
        </w:rPr>
        <w:t xml:space="preserve">” means that certain Stockholders Agreement of FBB, dated as of February 7, 2019, as amended from time to time. </w:t>
      </w:r>
    </w:p>
    <w:p>
      <w:pPr>
        <w:pStyle w:val="TextBody"/>
        <w:bidi w:val="0"/>
        <w:spacing w:before="240" w:after="0"/>
        <w:jc w:val="left"/>
        <w:rPr/>
      </w:pPr>
      <w:r>
        <w:rPr/>
        <w:t>“</w:t>
      </w:r>
      <w:r>
        <w:rPr>
          <w:rFonts w:ascii="Times New Roman" w:hAnsi="Times New Roman"/>
          <w:sz w:val="20"/>
          <w:u w:val="single"/>
        </w:rPr>
        <w:t>FBB Top Customer</w:t>
      </w:r>
      <w:r>
        <w:rPr>
          <w:rFonts w:ascii="Times New Roman" w:hAnsi="Times New Roman"/>
          <w:sz w:val="20"/>
        </w:rPr>
        <w:t xml:space="preserve">” shall mean a top twenty customer of FBB and its Subsidiaries, taken as a whole, based on revenues during the twelve months ended December 31, 2025. </w:t>
      </w:r>
    </w:p>
    <w:p>
      <w:pPr>
        <w:pStyle w:val="TextBody"/>
        <w:bidi w:val="0"/>
        <w:spacing w:before="240" w:after="0"/>
        <w:jc w:val="left"/>
        <w:rPr/>
      </w:pPr>
      <w:r>
        <w:rPr/>
        <w:t>“</w:t>
      </w:r>
      <w:r>
        <w:rPr>
          <w:rFonts w:ascii="Times New Roman" w:hAnsi="Times New Roman"/>
          <w:sz w:val="20"/>
          <w:u w:val="single"/>
        </w:rPr>
        <w:t>FBB Top Supplier</w:t>
      </w:r>
      <w:r>
        <w:rPr>
          <w:rFonts w:ascii="Times New Roman" w:hAnsi="Times New Roman"/>
          <w:sz w:val="20"/>
        </w:rPr>
        <w:t xml:space="preserve">” shall mean a top twenty vendor or supplier of FBB and its Subsidiaries, taken as a whole, based on expenditures during the twelve months ended December 31, 2025. </w:t>
      </w:r>
    </w:p>
    <w:p>
      <w:pPr>
        <w:pStyle w:val="TextBody"/>
        <w:bidi w:val="0"/>
        <w:spacing w:before="240" w:after="0"/>
        <w:jc w:val="left"/>
        <w:rPr/>
      </w:pPr>
      <w:r>
        <w:rPr/>
        <w:t>“</w:t>
      </w:r>
      <w:r>
        <w:rPr>
          <w:rFonts w:ascii="Times New Roman" w:hAnsi="Times New Roman"/>
          <w:sz w:val="20"/>
          <w:u w:val="single"/>
        </w:rPr>
        <w:t>FBB Warrants</w:t>
      </w:r>
      <w:r>
        <w:rPr>
          <w:rFonts w:ascii="Times New Roman" w:hAnsi="Times New Roman"/>
          <w:sz w:val="20"/>
        </w:rPr>
        <w:t xml:space="preserve">” means each warrant to purchase shares of FBB Common Stock.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(i) the Debt Financing and (ii) the Pre-Closing Investment. </w:t>
      </w:r>
    </w:p>
    <w:p>
      <w:pPr>
        <w:pStyle w:val="TextBody"/>
        <w:bidi w:val="0"/>
        <w:spacing w:before="240" w:after="0"/>
        <w:jc w:val="left"/>
        <w:rPr/>
      </w:pPr>
      <w:r>
        <w:rPr/>
        <w:t>“</w:t>
      </w:r>
      <w:r>
        <w:rPr>
          <w:rFonts w:ascii="Times New Roman" w:hAnsi="Times New Roman"/>
          <w:sz w:val="20"/>
          <w:u w:val="single"/>
        </w:rPr>
        <w:t>Financing Related Parties</w:t>
      </w:r>
      <w:r>
        <w:rPr>
          <w:rFonts w:ascii="Times New Roman" w:hAnsi="Times New Roman"/>
          <w:sz w:val="20"/>
        </w:rPr>
        <w:t xml:space="preserve">” means the Financing Sources and any of such Person’s Affiliates or its or their respective officers, directors, employees or representatives, partners, trustees, shareholders, controlling Persons, agents, successors or assigns.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collectively, (i) the Debt Financing Sources and (ii) the FBB Investors. </w:t>
      </w:r>
    </w:p>
    <w:p>
      <w:pPr>
        <w:pStyle w:val="TextBody"/>
        <w:bidi w:val="0"/>
        <w:spacing w:before="240" w:after="0"/>
        <w:jc w:val="left"/>
        <w:rPr/>
      </w:pPr>
      <w:r>
        <w:rPr/>
        <w:t>“</w:t>
      </w:r>
      <w:r>
        <w:rPr>
          <w:rFonts w:ascii="Times New Roman" w:hAnsi="Times New Roman"/>
          <w:sz w:val="20"/>
          <w:u w:val="single"/>
        </w:rPr>
        <w:t>Fully Diluted DXL Shares</w:t>
      </w:r>
      <w:r>
        <w:rPr>
          <w:rFonts w:ascii="Times New Roman" w:hAnsi="Times New Roman"/>
          <w:sz w:val="20"/>
        </w:rPr>
        <w:t xml:space="preserve">” means the number of outstanding shares of DXL Common Stock as of immediately before the Effective Time on a fully- 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intellectual property and associated rights in any jurisdiction, including all (a) trademarks, service marks, trade names, corporate names, company names, </w:t>
      </w:r>
    </w:p>
    <w:p>
      <w:pPr>
        <w:pStyle w:val="TextBody"/>
        <w:bidi w:val="0"/>
        <w:spacing w:before="0" w:after="0"/>
        <w:jc w:val="left"/>
        <w:rPr>
          <w:rFonts w:ascii="Times New Roman" w:hAnsi="Times New Roman"/>
          <w:sz w:val="20"/>
        </w:rPr>
      </w:pPr>
      <w:r>
        <w:rPr>
          <w:rFonts w:ascii="Times New Roman" w:hAnsi="Times New Roman"/>
          <w:sz w:val="20"/>
        </w:rPr>
        <w:t xml:space="preserve">business names, fictitious business names, trade styles, logos, slogans, trade dress and all other source or business identifiers and all applications and registrations and renewals for, and goodwill associated with and symbolized by, any of the foregoing, (b) Internet domain names (including top level domain names and </w:t>
      </w:r>
    </w:p>
    <w:p>
      <w:pPr>
        <w:pStyle w:val="TextBody"/>
        <w:bidi w:val="0"/>
        <w:spacing w:before="0" w:after="0"/>
        <w:jc w:val="left"/>
        <w:rPr>
          <w:rFonts w:ascii="Times New Roman" w:hAnsi="Times New Roman"/>
          <w:sz w:val="20"/>
        </w:rPr>
      </w:pPr>
      <w:r>
        <w:rPr>
          <w:rFonts w:ascii="Times New Roman" w:hAnsi="Times New Roman"/>
          <w:sz w:val="20"/>
        </w:rPr>
        <w:t xml:space="preserve">global top level domain names) and social media identifiers, handles and tags, (c) patent disclosures, patent applications, patents and inventions (whether or not patentable) and all registrations, continuations, </w:t>
      </w:r>
    </w:p>
    <w:p>
      <w:pPr>
        <w:pStyle w:val="TextBody"/>
        <w:bidi w:val="0"/>
        <w:spacing w:before="0" w:after="0"/>
        <w:jc w:val="left"/>
        <w:rPr>
          <w:rFonts w:ascii="Times New Roman" w:hAnsi="Times New Roman"/>
          <w:sz w:val="20"/>
        </w:rPr>
      </w:pPr>
      <w:r>
        <w:rPr>
          <w:rFonts w:ascii="Times New Roman" w:hAnsi="Times New Roman"/>
          <w:sz w:val="20"/>
        </w:rPr>
        <w:t xml:space="preserve">continuations-in- part, divisionals, re-examinations, renewals, extensions and reissues and counterparts thereof, (d) trade secrets and know-how, including all proprietary or confidential inventions, improvements, processes, methods, techniques, protocols, formulae, recipes, compositions, models, layouts, designs, </w:t>
      </w:r>
    </w:p>
    <w:p>
      <w:pPr>
        <w:pStyle w:val="TextBody"/>
        <w:bidi w:val="0"/>
        <w:spacing w:before="0" w:after="0"/>
        <w:jc w:val="left"/>
        <w:rPr>
          <w:rFonts w:ascii="Times New Roman" w:hAnsi="Times New Roman"/>
          <w:sz w:val="20"/>
        </w:rPr>
      </w:pPr>
      <w:r>
        <w:rPr>
          <w:rFonts w:ascii="Times New Roman" w:hAnsi="Times New Roman"/>
          <w:sz w:val="20"/>
        </w:rPr>
        <w:t>drawings, plans, specifications, methodologies and other proprietary or other confidential information (collectively, “</w:t>
      </w:r>
      <w:r>
        <w:rPr>
          <w:rFonts w:ascii="Times New Roman" w:hAnsi="Times New Roman"/>
          <w:sz w:val="20"/>
          <w:u w:val="single"/>
        </w:rPr>
        <w:t>Trade Secrets</w:t>
      </w:r>
      <w:r>
        <w:rPr>
          <w:rFonts w:ascii="Times New Roman" w:hAnsi="Times New Roman"/>
          <w:sz w:val="20"/>
        </w:rPr>
        <w:t xml:space="preserve">”), (e) works of authorship (whether or not copyrightable), copyrights and </w:t>
      </w:r>
    </w:p>
    <w:p>
      <w:pPr>
        <w:pStyle w:val="TextBody"/>
        <w:bidi w:val="0"/>
        <w:spacing w:before="0" w:after="0"/>
        <w:jc w:val="left"/>
        <w:rPr>
          <w:rFonts w:ascii="Times New Roman" w:hAnsi="Times New Roman"/>
          <w:sz w:val="20"/>
        </w:rPr>
      </w:pPr>
      <w:r>
        <w:rPr>
          <w:rFonts w:ascii="Times New Roman" w:hAnsi="Times New Roman"/>
          <w:sz w:val="20"/>
        </w:rPr>
        <w:t xml:space="preserve">registrations and applications therefor, and all renewals, extensions, restorations and reversions thereof, including website content, product artwork, promotion and marketing materials, copyrights in software, databases and database rights, and (f) rights of publicity.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or “</w:t>
      </w:r>
      <w:r>
        <w:rPr>
          <w:rFonts w:ascii="Times New Roman" w:hAnsi="Times New Roman"/>
          <w:sz w:val="20"/>
          <w:u w:val="single"/>
        </w:rPr>
        <w:t>knowledge</w:t>
      </w:r>
      <w:r>
        <w:rPr>
          <w:rFonts w:ascii="Times New Roman" w:hAnsi="Times New Roman"/>
          <w:sz w:val="20"/>
        </w:rPr>
        <w:t xml:space="preserve">” means (i) with respect to FBB, the actual knowledge of those persons set forth on </w:t>
      </w:r>
      <w:r>
        <w:rPr>
          <w:rFonts w:ascii="Times New Roman" w:hAnsi="Times New Roman"/>
          <w:sz w:val="20"/>
          <w:u w:val="single"/>
        </w:rPr>
        <w:t>Section 9.03</w:t>
      </w:r>
      <w:r>
        <w:rPr>
          <w:rFonts w:ascii="Times New Roman" w:hAnsi="Times New Roman"/>
          <w:sz w:val="20"/>
        </w:rPr>
        <w:t xml:space="preserve"> of the FBB Disclosure Schedule and (ii) with respect to DXL, the actual knowledge of those persons set forth on </w:t>
      </w:r>
      <w:r>
        <w:rPr>
          <w:rFonts w:ascii="Times New Roman" w:hAnsi="Times New Roman"/>
          <w:sz w:val="20"/>
          <w:u w:val="single"/>
        </w:rPr>
        <w:t>Section 9.03</w:t>
      </w:r>
      <w:r>
        <w:rPr>
          <w:rFonts w:ascii="Times New Roman" w:hAnsi="Times New Roman"/>
          <w:sz w:val="20"/>
        </w:rPr>
        <w:t xml:space="preserve"> of the DXL Disclosure Schedule, in each case after reasonable inquiry of those employees who would reasonably be expected to have actual knowledge of the matter in question.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mortgage, option, right of first refusal, deed of trust, security interest or any similar encumbrance.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with respect to any Person means any change, event, violation, effect inaccuracy, circumstance or developments (a “</w:t>
      </w:r>
      <w:r>
        <w:rPr>
          <w:rFonts w:ascii="Times New Roman" w:hAnsi="Times New Roman"/>
          <w:sz w:val="20"/>
          <w:u w:val="single"/>
        </w:rPr>
        <w:t>Change</w:t>
      </w:r>
      <w:r>
        <w:rPr>
          <w:rFonts w:ascii="Times New Roman" w:hAnsi="Times New Roman"/>
          <w:sz w:val="20"/>
        </w:rPr>
        <w:t xml:space="preserve">”)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 (xi)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w:t>
      </w:r>
    </w:p>
    <w:p>
      <w:pPr>
        <w:pStyle w:val="TextBody"/>
        <w:bidi w:val="0"/>
        <w:spacing w:before="240" w:after="0"/>
        <w:jc w:val="left"/>
        <w:rPr/>
      </w:pPr>
      <w:r>
        <w:rPr/>
        <w:t>“</w:t>
      </w:r>
      <w:r>
        <w:rPr>
          <w:rFonts w:ascii="Times New Roman" w:hAnsi="Times New Roman"/>
          <w:sz w:val="20"/>
          <w:u w:val="single"/>
        </w:rPr>
        <w:t>Maximum Number of Takedowns</w:t>
      </w:r>
      <w:r>
        <w:rPr>
          <w:rFonts w:ascii="Times New Roman" w:hAnsi="Times New Roman"/>
          <w:sz w:val="20"/>
        </w:rPr>
        <w:t xml:space="preserve">” means, as to each FBB Significant Stockholder, a number equal to the quotient of (a) the percent of the total DXL Common Stock held by such FBB Significant Stockholder immediately after the Effective Time divided by (b) five percent (5%). </w:t>
      </w:r>
    </w:p>
    <w:p>
      <w:pPr>
        <w:pStyle w:val="TextBody"/>
        <w:bidi w:val="0"/>
        <w:spacing w:before="240" w:after="0"/>
        <w:jc w:val="left"/>
        <w:rPr/>
      </w:pPr>
      <w:r>
        <w:rPr/>
        <w:t>“</w:t>
      </w:r>
      <w:r>
        <w:rPr>
          <w:rFonts w:ascii="Times New Roman" w:hAnsi="Times New Roman"/>
          <w:sz w:val="20"/>
          <w:u w:val="single"/>
        </w:rPr>
        <w:t>New Issuance</w:t>
      </w:r>
      <w:r>
        <w:rPr>
          <w:rFonts w:ascii="Times New Roman" w:hAnsi="Times New Roman"/>
          <w:sz w:val="20"/>
        </w:rPr>
        <w:t xml:space="preserve">” means a number of shares equal to (a) the Fully Diluted DXL Shares multiplied by (b) the quotient of fifty five percent (55%) divided by forty five percent (45%).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partnership, company, limited liability company, trust, joint venture, association, Governmental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Personal Information</w:t>
      </w:r>
      <w:r>
        <w:rPr>
          <w:rFonts w:ascii="Times New Roman" w:hAnsi="Times New Roman"/>
          <w:sz w:val="20"/>
        </w:rPr>
        <w:t xml:space="preserve">”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 </w:t>
      </w:r>
    </w:p>
    <w:p>
      <w:pPr>
        <w:pStyle w:val="TextBody"/>
        <w:bidi w:val="0"/>
        <w:spacing w:before="240" w:after="0"/>
        <w:jc w:val="left"/>
        <w:rPr/>
      </w:pPr>
      <w:r>
        <w:rPr/>
        <w:t>“</w:t>
      </w:r>
      <w:r>
        <w:rPr>
          <w:rFonts w:ascii="Times New Roman" w:hAnsi="Times New Roman"/>
          <w:sz w:val="20"/>
          <w:u w:val="single"/>
        </w:rPr>
        <w:t>Pre-Closing Investment</w:t>
      </w:r>
      <w:r>
        <w:rPr>
          <w:rFonts w:ascii="Times New Roman" w:hAnsi="Times New Roman"/>
          <w:sz w:val="20"/>
        </w:rPr>
        <w:t xml:space="preserve">”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data protection, privacy and other applicable Laws that concern the Processing of any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means all expenses incurred in connection with the performance of or compliance with </w:t>
      </w:r>
      <w:r>
        <w:rPr>
          <w:rFonts w:ascii="Times New Roman" w:hAnsi="Times New Roman"/>
          <w:sz w:val="20"/>
          <w:u w:val="single"/>
        </w:rPr>
        <w:t>Section 6.02</w:t>
      </w:r>
      <w:r>
        <w:rPr>
          <w:rFonts w:ascii="Times New Roman" w:hAnsi="Times New Roman"/>
          <w:sz w:val="20"/>
        </w:rPr>
        <w:t xml:space="preserve">,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means all Intellectual Property Rights that are registered, applied-for, issued or granted under the authority of, with or by any Governmental Entity or registrar (in the case of internet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and each of its respective Subsidiaries’ and controlled Affiliates’ directors, officers, employees, investment bankers, financial advisors, attorneys, accountants or other advisors, agents or representatives.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Selling Expenses</w:t>
      </w:r>
      <w:r>
        <w:rPr>
          <w:rFonts w:ascii="Times New Roman" w:hAnsi="Times New Roman"/>
          <w:sz w:val="20"/>
        </w:rPr>
        <w:t xml:space="preserve">”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means, as applicable a transaction with respect to or pursuant to a DXL Takeover Proposal (with all references to 20% in the definition of “DXL Takeover Proposal” being treated as references to 50%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hAnsi="Times New Roman"/>
          <w:sz w:val="20"/>
          <w:u w:val="single"/>
        </w:rPr>
        <w:t>DXL Subsidiary</w:t>
      </w:r>
      <w:r>
        <w:rPr>
          <w:rFonts w:ascii="Times New Roman" w:hAnsi="Times New Roman"/>
          <w:sz w:val="20"/>
        </w:rPr>
        <w:t>” means any direct or indirect Subsidiary of DXL and the term “</w:t>
      </w:r>
      <w:r>
        <w:rPr>
          <w:rFonts w:ascii="Times New Roman" w:hAnsi="Times New Roman"/>
          <w:sz w:val="20"/>
          <w:u w:val="single"/>
        </w:rPr>
        <w:t>FBB Subsidiary</w:t>
      </w:r>
      <w:r>
        <w:rPr>
          <w:rFonts w:ascii="Times New Roman" w:hAnsi="Times New Roman"/>
          <w:sz w:val="20"/>
        </w:rPr>
        <w:t xml:space="preserve">” means any direct or indirect Subsidiary of FBB.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hAnsi="Times New Roman"/>
          <w:sz w:val="20"/>
          <w:u w:val="single"/>
        </w:rPr>
        <w:t>clause (a)</w:t>
      </w:r>
      <w:r>
        <w:rPr>
          <w:rFonts w:ascii="Times New Roman" w:hAnsi="Times New Roman"/>
          <w:sz w:val="20"/>
        </w:rPr>
        <w:t xml:space="preserve"> under Treasury Regulation Section 1.1502-6 (or any similar provision of state, local or foreign Law) and (c) any liability for Taxes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 transferee or successor.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means the IRS and any other Governmental Entity responsible for the administration of Tax. </w:t>
      </w:r>
    </w:p>
    <w:p>
      <w:pPr>
        <w:pStyle w:val="TextBody"/>
        <w:bidi w:val="0"/>
        <w:spacing w:before="120" w:after="0"/>
        <w:jc w:val="left"/>
        <w:rPr/>
      </w:pPr>
      <w:r>
        <w:rPr/>
        <w:t>“</w:t>
      </w:r>
      <w:r>
        <w:rPr>
          <w:rFonts w:ascii="Times New Roman" w:hAnsi="Times New Roman"/>
          <w:sz w:val="20"/>
          <w:u w:val="single"/>
        </w:rPr>
        <w:t>Tax Return</w:t>
      </w:r>
      <w:r>
        <w:rPr>
          <w:rFonts w:ascii="Times New Roman" w:hAnsi="Times New Roman"/>
          <w:sz w:val="20"/>
        </w:rPr>
        <w:t xml:space="preserve">” means any return, filing, report, questionnaire, information statement or other document (including elections, declarations, disclosures, schedules, estimates, claims for refund and information returns) relating to Taxes, including any amendments thereof.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Merger and the other transactions contemplated by this Agreement. </w:t>
      </w:r>
    </w:p>
    <w:p>
      <w:pPr>
        <w:pStyle w:val="TextBody"/>
        <w:bidi w:val="0"/>
        <w:spacing w:before="240" w:after="0"/>
        <w:jc w:val="left"/>
        <w:rPr/>
      </w:pPr>
      <w:r>
        <w:rPr/>
        <w:t>“</w:t>
      </w:r>
      <w:r>
        <w:rPr>
          <w:rFonts w:ascii="Times New Roman" w:hAnsi="Times New Roman"/>
          <w:sz w:val="20"/>
          <w:u w:val="single"/>
        </w:rPr>
        <w:t>Unaccredited Investor</w:t>
      </w:r>
      <w:r>
        <w:rPr>
          <w:rFonts w:ascii="Times New Roman" w:hAnsi="Times New Roman"/>
          <w:sz w:val="20"/>
        </w:rPr>
        <w:t xml:space="preserve">” means any FBB Stockholder that is not an Accredited Investor. </w:t>
      </w:r>
    </w:p>
    <w:p>
      <w:pPr>
        <w:pStyle w:val="TextBody"/>
        <w:bidi w:val="0"/>
        <w:spacing w:before="240" w:after="0"/>
        <w:jc w:val="left"/>
        <w:rPr/>
      </w:pPr>
      <w:r>
        <w:rPr/>
        <w:t>“</w:t>
      </w:r>
      <w:r>
        <w:rPr>
          <w:rFonts w:ascii="Times New Roman" w:hAnsi="Times New Roman"/>
          <w:sz w:val="20"/>
          <w:u w:val="single"/>
        </w:rPr>
        <w:t>Unaccredited Investor Cash Consideration</w:t>
      </w:r>
      <w:r>
        <w:rPr>
          <w:rFonts w:ascii="Times New Roman" w:hAnsi="Times New Roman"/>
          <w:sz w:val="20"/>
        </w:rPr>
        <w:t xml:space="preserve">” means, with respect to each share of FBB Common Stock owned by a FBB Stockholder that is an Unaccredited Investor, an amount in cash equal to the product of (a) the Exchange Ratio and (b) the DXL Stock Price.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Registrable Securities to an underwriter or underwriters for reoffering to the public, including in a block trade or overnight “bought deal” offered and sold through an underwriter or underwriters. </w:t>
      </w:r>
    </w:p>
    <w:p>
      <w:pPr>
        <w:pStyle w:val="TextBody"/>
        <w:bidi w:val="0"/>
        <w:spacing w:before="240" w:after="0"/>
        <w:jc w:val="left"/>
        <w:rPr>
          <w:rFonts w:ascii="Times New Roman" w:hAnsi="Times New Roman"/>
          <w:sz w:val="20"/>
        </w:rPr>
      </w:pPr>
      <w:bookmarkStart w:id="214" w:name="anxa76201_106"/>
      <w:bookmarkEnd w:id="214"/>
      <w:r>
        <w:rPr>
          <w:rFonts w:ascii="Times New Roman" w:hAnsi="Times New Roman"/>
          <w:b/>
          <w:sz w:val="20"/>
        </w:rPr>
        <w:t xml:space="preserve">SECTION 9.04 </w:t>
      </w:r>
      <w:r>
        <w:rPr>
          <w:rFonts w:ascii="Times New Roman" w:hAnsi="Times New Roman"/>
          <w:sz w:val="20"/>
          <w:u w:val="single"/>
        </w:rPr>
        <w:t>Other Defined Terms</w:t>
      </w:r>
      <w:r>
        <w:rPr>
          <w:rFonts w:ascii="Times New Roman" w:hAnsi="Times New Roman"/>
          <w:sz w:val="20"/>
        </w:rPr>
        <w:t xml:space="preserve">. The following capitalized terms have the meanings in the locations within this Agreement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1"/>
        <w:gridCol w:w="203"/>
        <w:gridCol w:w="3981"/>
      </w:tblGrid>
      <w:tr>
        <w:trPr/>
        <w:tc>
          <w:tcPr>
            <w:tcW w:w="6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Advisor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Anti-Corruption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Section3.23</w:t>
            </w:r>
          </w:p>
        </w:tc>
      </w:tr>
      <w:tr>
        <w:trPr/>
        <w:tc>
          <w:tcPr>
            <w:tcW w:w="6021" w:type="dxa"/>
            <w:tcBorders/>
          </w:tcPr>
          <w:p>
            <w:pPr>
              <w:pStyle w:val="TableContents"/>
              <w:bidi w:val="0"/>
              <w:spacing w:before="0" w:after="283"/>
              <w:jc w:val="left"/>
              <w:rPr/>
            </w:pPr>
            <w:r>
              <w:rPr/>
              <w:t>Antitrust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Appraisal Shares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2.01(b)</w:t>
            </w:r>
          </w:p>
        </w:tc>
      </w:tr>
      <w:tr>
        <w:trPr/>
        <w:tc>
          <w:tcPr>
            <w:tcW w:w="6021" w:type="dxa"/>
            <w:tcBorders/>
          </w:tcPr>
          <w:p>
            <w:pPr>
              <w:pStyle w:val="TableContents"/>
              <w:bidi w:val="0"/>
              <w:spacing w:before="0" w:after="283"/>
              <w:jc w:val="left"/>
              <w:rPr/>
            </w:pPr>
            <w:r>
              <w:rPr/>
              <w:t>Automatic Shelf Registration Statement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Book-Entry Share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Section2.01(a)(i)</w:t>
            </w:r>
          </w:p>
        </w:tc>
      </w:tr>
      <w:tr>
        <w:trPr/>
        <w:tc>
          <w:tcPr>
            <w:tcW w:w="6021"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Certificate of Designation</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Clearance Date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COD Amendment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Confidentiality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w:t>
            </w:r>
          </w:p>
        </w:tc>
      </w:tr>
      <w:tr>
        <w:trPr/>
        <w:tc>
          <w:tcPr>
            <w:tcW w:w="6021" w:type="dxa"/>
            <w:tcBorders/>
          </w:tcPr>
          <w:p>
            <w:pPr>
              <w:pStyle w:val="TableContents"/>
              <w:bidi w:val="0"/>
              <w:spacing w:before="0" w:after="283"/>
              <w:jc w:val="left"/>
              <w:rPr/>
            </w:pPr>
            <w:r>
              <w:rPr/>
              <w:t>Consents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6.04(a)</w:t>
            </w:r>
          </w:p>
        </w:tc>
      </w:tr>
      <w:tr>
        <w:trPr/>
        <w:tc>
          <w:tcPr>
            <w:tcW w:w="6021" w:type="dxa"/>
            <w:tcBorders/>
          </w:tcPr>
          <w:p>
            <w:pPr>
              <w:pStyle w:val="TableContents"/>
              <w:bidi w:val="0"/>
              <w:spacing w:before="0" w:after="283"/>
              <w:jc w:val="left"/>
              <w:rPr/>
            </w:pPr>
            <w:r>
              <w:rPr/>
              <w:t>Demand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6.02(d)</w:t>
            </w:r>
          </w:p>
        </w:tc>
      </w:tr>
      <w:tr>
        <w:trPr/>
        <w:tc>
          <w:tcPr>
            <w:tcW w:w="6021" w:type="dxa"/>
            <w:tcBorders/>
          </w:tcPr>
          <w:p>
            <w:pPr>
              <w:pStyle w:val="TableContents"/>
              <w:bidi w:val="0"/>
              <w:spacing w:before="0" w:after="283"/>
              <w:jc w:val="left"/>
              <w:rPr/>
            </w:pPr>
            <w:r>
              <w:rPr/>
              <w:t>DGCL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Dispute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9.09</w:t>
            </w:r>
          </w:p>
        </w:tc>
      </w:tr>
      <w:tr>
        <w:trPr/>
        <w:tc>
          <w:tcPr>
            <w:tcW w:w="6021" w:type="dxa"/>
            <w:tcBorders/>
          </w:tcPr>
          <w:p>
            <w:pPr>
              <w:pStyle w:val="TableContents"/>
              <w:bidi w:val="0"/>
              <w:spacing w:before="0" w:after="283"/>
              <w:jc w:val="left"/>
              <w:rPr/>
            </w:pPr>
            <w:r>
              <w:rPr/>
              <w:t>DXL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DXL Acquisition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5.06(a)</w:t>
            </w:r>
          </w:p>
        </w:tc>
      </w:tr>
      <w:tr>
        <w:trPr/>
        <w:tc>
          <w:tcPr>
            <w:tcW w:w="6021" w:type="dxa"/>
            <w:tcBorders/>
          </w:tcPr>
          <w:p>
            <w:pPr>
              <w:pStyle w:val="TableContents"/>
              <w:bidi w:val="0"/>
              <w:spacing w:before="0" w:after="283"/>
              <w:jc w:val="left"/>
              <w:rPr/>
            </w:pPr>
            <w:r>
              <w:rPr/>
              <w:t>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DXL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DXL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DXL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3.02(a)(i)</w:t>
            </w:r>
          </w:p>
        </w:tc>
      </w:tr>
      <w:tr>
        <w:trPr/>
        <w:tc>
          <w:tcPr>
            <w:tcW w:w="6021" w:type="dxa"/>
            <w:tcBorders/>
          </w:tcPr>
          <w:p>
            <w:pPr>
              <w:pStyle w:val="TableContents"/>
              <w:bidi w:val="0"/>
              <w:spacing w:before="0" w:after="283"/>
              <w:jc w:val="left"/>
              <w:rPr/>
            </w:pPr>
            <w:r>
              <w:rPr/>
              <w:t>DXL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DXL Fairness Opinion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3.24</w:t>
            </w:r>
          </w:p>
        </w:tc>
      </w:tr>
      <w:tr>
        <w:trPr/>
        <w:tc>
          <w:tcPr>
            <w:tcW w:w="6021" w:type="dxa"/>
            <w:tcBorders/>
          </w:tcPr>
          <w:p>
            <w:pPr>
              <w:pStyle w:val="TableContents"/>
              <w:bidi w:val="0"/>
              <w:spacing w:before="0" w:after="283"/>
              <w:jc w:val="left"/>
              <w:rPr/>
            </w:pPr>
            <w:r>
              <w:rPr/>
              <w:t>DXL Initiated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DXL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DXL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3.15(a)</w:t>
            </w:r>
          </w:p>
        </w:tc>
      </w:tr>
      <w:tr>
        <w:trPr/>
        <w:tc>
          <w:tcPr>
            <w:tcW w:w="6021" w:type="dxa"/>
            <w:tcBorders/>
          </w:tcPr>
          <w:p>
            <w:pPr>
              <w:pStyle w:val="TableContents"/>
              <w:bidi w:val="0"/>
              <w:spacing w:before="0" w:after="283"/>
              <w:jc w:val="left"/>
              <w:rPr/>
            </w:pPr>
            <w:r>
              <w:rPr/>
              <w:t>DXL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DXL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3.22(a)</w:t>
            </w:r>
          </w:p>
        </w:tc>
      </w:tr>
      <w:tr>
        <w:trPr/>
        <w:tc>
          <w:tcPr>
            <w:tcW w:w="6021" w:type="dxa"/>
            <w:tcBorders/>
          </w:tcPr>
          <w:p>
            <w:pPr>
              <w:pStyle w:val="TableContents"/>
              <w:bidi w:val="0"/>
              <w:spacing w:before="0" w:after="283"/>
              <w:jc w:val="left"/>
              <w:rPr/>
            </w:pPr>
            <w:r>
              <w:rPr/>
              <w:t>DXL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SEC Reports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DXL Stockholder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Stockholders Meeting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Superior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5.06(e)</w:t>
            </w:r>
          </w:p>
        </w:tc>
      </w:tr>
      <w:tr>
        <w:trPr/>
        <w:tc>
          <w:tcPr>
            <w:tcW w:w="6021" w:type="dxa"/>
            <w:tcBorders/>
          </w:tcPr>
          <w:p>
            <w:pPr>
              <w:pStyle w:val="TableContents"/>
              <w:bidi w:val="0"/>
              <w:spacing w:before="0" w:after="283"/>
              <w:jc w:val="left"/>
              <w:rPr/>
            </w:pPr>
            <w:r>
              <w:rPr/>
              <w:t>DXL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5.06(b)</w:t>
            </w:r>
          </w:p>
        </w:tc>
      </w:tr>
      <w:tr>
        <w:trPr/>
        <w:tc>
          <w:tcPr>
            <w:tcW w:w="6021" w:type="dxa"/>
            <w:tcBorders/>
          </w:tcPr>
          <w:p>
            <w:pPr>
              <w:pStyle w:val="TableContents"/>
              <w:bidi w:val="0"/>
              <w:spacing w:before="0" w:after="283"/>
              <w:jc w:val="left"/>
              <w:rPr/>
            </w:pPr>
            <w:r>
              <w:rPr/>
              <w:t>DXL Termination Fee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6.07(b)</w:t>
            </w:r>
          </w:p>
        </w:tc>
      </w:tr>
      <w:tr>
        <w:trPr/>
        <w:tc>
          <w:tcPr>
            <w:tcW w:w="6021" w:type="dxa"/>
            <w:tcBorders/>
          </w:tcPr>
          <w:p>
            <w:pPr>
              <w:pStyle w:val="TableContents"/>
              <w:bidi w:val="0"/>
              <w:spacing w:before="0" w:after="283"/>
              <w:jc w:val="left"/>
              <w:rPr/>
            </w:pPr>
            <w:r>
              <w:rPr/>
              <w:t>DXL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3.02(b)</w:t>
            </w:r>
          </w:p>
        </w:tc>
      </w:tr>
      <w:tr>
        <w:trPr/>
        <w:tc>
          <w:tcPr>
            <w:tcW w:w="6021" w:type="dxa"/>
            <w:tcBorders/>
          </w:tcPr>
          <w:p>
            <w:pPr>
              <w:pStyle w:val="TableContents"/>
              <w:bidi w:val="0"/>
              <w:spacing w:before="0" w:after="283"/>
              <w:jc w:val="left"/>
              <w:rPr/>
            </w:pPr>
            <w:r>
              <w:rPr/>
              <w:t>DXL’s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D&amp;O Indemnified Parties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6.11(a)</w:t>
            </w:r>
          </w:p>
        </w:tc>
      </w:tr>
      <w:tr>
        <w:trPr/>
        <w:tc>
          <w:tcPr>
            <w:tcW w:w="6021"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Employment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3.12(d)</w:t>
            </w:r>
          </w:p>
        </w:tc>
      </w:tr>
      <w:tr>
        <w:trPr/>
        <w:tc>
          <w:tcPr>
            <w:tcW w:w="6021" w:type="dxa"/>
            <w:tcBorders/>
          </w:tcPr>
          <w:p>
            <w:pPr>
              <w:pStyle w:val="TableContents"/>
              <w:bidi w:val="0"/>
              <w:spacing w:before="0" w:after="283"/>
              <w:jc w:val="left"/>
              <w:rPr/>
            </w:pPr>
            <w:r>
              <w:rPr/>
              <w:t>End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8.01(e)</w:t>
            </w:r>
          </w:p>
        </w:tc>
      </w:tr>
      <w:tr>
        <w:trPr/>
        <w:tc>
          <w:tcPr>
            <w:tcW w:w="6021"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3.03(a)</w:t>
            </w:r>
          </w:p>
        </w:tc>
      </w:tr>
      <w:tr>
        <w:trPr/>
        <w:tc>
          <w:tcPr>
            <w:tcW w:w="6021" w:type="dxa"/>
            <w:tcBorders/>
          </w:tcPr>
          <w:p>
            <w:pPr>
              <w:pStyle w:val="TableContents"/>
              <w:bidi w:val="0"/>
              <w:spacing w:before="0" w:after="283"/>
              <w:jc w:val="left"/>
              <w:rPr/>
            </w:pPr>
            <w:r>
              <w:rPr/>
              <w:t>Environmental Claims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w:t>
            </w:r>
          </w:p>
        </w:tc>
      </w:tr>
      <w:tr>
        <w:trPr/>
        <w:tc>
          <w:tcPr>
            <w:tcW w:w="6021" w:type="dxa"/>
            <w:tcBorders/>
          </w:tcPr>
          <w:p>
            <w:pPr>
              <w:pStyle w:val="TableContents"/>
              <w:bidi w:val="0"/>
              <w:spacing w:before="0" w:after="283"/>
              <w:jc w:val="left"/>
              <w:rPr/>
            </w:pPr>
            <w:r>
              <w:rPr/>
              <w:t>Environmental Laws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w:t>
            </w:r>
          </w:p>
        </w:tc>
      </w:tr>
      <w:tr>
        <w:trPr/>
        <w:tc>
          <w:tcPr>
            <w:tcW w:w="6021" w:type="dxa"/>
            <w:tcBorders/>
          </w:tcPr>
          <w:p>
            <w:pPr>
              <w:pStyle w:val="TableContents"/>
              <w:bidi w:val="0"/>
              <w:spacing w:before="0" w:after="283"/>
              <w:jc w:val="left"/>
              <w:rPr/>
            </w:pPr>
            <w:r>
              <w:rPr/>
              <w:t>Environmental Permits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3.16(e)(iii)</w:t>
            </w:r>
          </w:p>
        </w:tc>
      </w:tr>
      <w:tr>
        <w:trPr/>
        <w:tc>
          <w:tcPr>
            <w:tcW w:w="6021" w:type="dxa"/>
            <w:tcBorders/>
          </w:tcPr>
          <w:p>
            <w:pPr>
              <w:pStyle w:val="TableContents"/>
              <w:bidi w:val="0"/>
              <w:spacing w:before="0" w:after="283"/>
              <w:jc w:val="left"/>
              <w:rPr/>
            </w:pPr>
            <w:r>
              <w:rPr/>
              <w:t>ERISA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Exchange Agent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Excluded Shares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2.01(a)(ii)</w:t>
            </w:r>
          </w:p>
        </w:tc>
      </w:tr>
      <w:tr>
        <w:trPr/>
        <w:tc>
          <w:tcPr>
            <w:tcW w:w="6021" w:type="dxa"/>
            <w:tcBorders/>
          </w:tcPr>
          <w:p>
            <w:pPr>
              <w:pStyle w:val="TableContents"/>
              <w:bidi w:val="0"/>
              <w:spacing w:before="0" w:after="283"/>
              <w:jc w:val="left"/>
              <w:rPr/>
            </w:pPr>
            <w:r>
              <w:rPr/>
              <w:t>Excluded Transaction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5.05(c)</w:t>
            </w:r>
          </w:p>
        </w:tc>
      </w:tr>
      <w:tr>
        <w:trPr/>
        <w:tc>
          <w:tcPr>
            <w:tcW w:w="6021" w:type="dxa"/>
            <w:tcBorders/>
          </w:tcPr>
          <w:p>
            <w:pPr>
              <w:pStyle w:val="TableContents"/>
              <w:bidi w:val="0"/>
              <w:spacing w:before="0" w:after="283"/>
              <w:jc w:val="left"/>
              <w:rPr/>
            </w:pPr>
            <w:r>
              <w:rPr/>
              <w:t>FBB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FBB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4.10(a)</w:t>
            </w:r>
          </w:p>
        </w:tc>
      </w:tr>
      <w:tr>
        <w:trPr/>
        <w:tc>
          <w:tcPr>
            <w:tcW w:w="6021" w:type="dxa"/>
            <w:tcBorders/>
          </w:tcPr>
          <w:p>
            <w:pPr>
              <w:pStyle w:val="TableContents"/>
              <w:bidi w:val="0"/>
              <w:spacing w:before="0" w:after="283"/>
              <w:jc w:val="left"/>
              <w:rPr/>
            </w:pPr>
            <w:r>
              <w:rPr/>
              <w:t>FBB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FBB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4.11(a)</w:t>
            </w:r>
          </w:p>
        </w:tc>
      </w:tr>
      <w:tr>
        <w:trPr/>
        <w:tc>
          <w:tcPr>
            <w:tcW w:w="6021" w:type="dxa"/>
            <w:tcBorders/>
          </w:tcPr>
          <w:p>
            <w:pPr>
              <w:pStyle w:val="TableContents"/>
              <w:bidi w:val="0"/>
              <w:spacing w:before="0" w:after="283"/>
              <w:jc w:val="left"/>
              <w:rPr/>
            </w:pPr>
            <w:r>
              <w:rPr/>
              <w:t>FBB Equity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Financial Statements......................................................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FBB IP Rights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4.19(a)</w:t>
            </w:r>
          </w:p>
        </w:tc>
      </w:tr>
      <w:tr>
        <w:trPr/>
        <w:tc>
          <w:tcPr>
            <w:tcW w:w="6021" w:type="dxa"/>
            <w:tcBorders/>
          </w:tcPr>
          <w:p>
            <w:pPr>
              <w:pStyle w:val="TableContents"/>
              <w:bidi w:val="0"/>
              <w:spacing w:before="0" w:after="283"/>
              <w:jc w:val="left"/>
              <w:rPr/>
            </w:pPr>
            <w:r>
              <w:rPr/>
              <w:t>FBB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FBB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4.14(a)</w:t>
            </w:r>
          </w:p>
        </w:tc>
      </w:tr>
      <w:tr>
        <w:trPr/>
        <w:tc>
          <w:tcPr>
            <w:tcW w:w="6021" w:type="dxa"/>
            <w:tcBorders/>
          </w:tcPr>
          <w:p>
            <w:pPr>
              <w:pStyle w:val="TableContents"/>
              <w:bidi w:val="0"/>
              <w:spacing w:before="0" w:after="283"/>
              <w:jc w:val="left"/>
              <w:rPr/>
            </w:pPr>
            <w:r>
              <w:rPr/>
              <w:t>FBB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FBB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4.21(a)</w:t>
            </w:r>
          </w:p>
        </w:tc>
      </w:tr>
      <w:tr>
        <w:trPr/>
        <w:tc>
          <w:tcPr>
            <w:tcW w:w="6021" w:type="dxa"/>
            <w:tcBorders/>
          </w:tcPr>
          <w:p>
            <w:pPr>
              <w:pStyle w:val="TableContents"/>
              <w:bidi w:val="0"/>
              <w:spacing w:before="0" w:after="283"/>
              <w:jc w:val="left"/>
              <w:rPr/>
            </w:pPr>
            <w:r>
              <w:rPr/>
              <w:t>FBB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Restricted Stock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Selling Stockholders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FBB Stockholder Approval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4.03(a)</w:t>
            </w:r>
          </w:p>
        </w:tc>
      </w:tr>
      <w:tr>
        <w:trPr/>
        <w:tc>
          <w:tcPr>
            <w:tcW w:w="6021" w:type="dxa"/>
            <w:tcBorders/>
          </w:tcPr>
          <w:p>
            <w:pPr>
              <w:pStyle w:val="TableContents"/>
              <w:bidi w:val="0"/>
              <w:spacing w:before="0" w:after="283"/>
              <w:jc w:val="left"/>
              <w:rPr/>
            </w:pPr>
            <w:r>
              <w:rPr/>
              <w:t>FBB Stockholder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6.01(d)</w:t>
            </w:r>
          </w:p>
        </w:tc>
      </w:tr>
      <w:tr>
        <w:trPr/>
        <w:tc>
          <w:tcPr>
            <w:tcW w:w="6021" w:type="dxa"/>
            <w:tcBorders/>
          </w:tcPr>
          <w:p>
            <w:pPr>
              <w:pStyle w:val="TableContents"/>
              <w:bidi w:val="0"/>
              <w:spacing w:before="0" w:after="283"/>
              <w:jc w:val="left"/>
              <w:rPr/>
            </w:pPr>
            <w:r>
              <w:rPr/>
              <w:t>FBB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5.05(b)</w:t>
            </w:r>
          </w:p>
        </w:tc>
      </w:tr>
      <w:tr>
        <w:trPr/>
        <w:tc>
          <w:tcPr>
            <w:tcW w:w="6021" w:type="dxa"/>
            <w:tcBorders/>
          </w:tcPr>
          <w:p>
            <w:pPr>
              <w:pStyle w:val="TableContents"/>
              <w:bidi w:val="0"/>
              <w:spacing w:before="0" w:after="283"/>
              <w:jc w:val="left"/>
              <w:rPr/>
            </w:pPr>
            <w:r>
              <w:rPr/>
              <w:t>FBB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4.02(b)</w:t>
            </w:r>
          </w:p>
        </w:tc>
      </w:tr>
      <w:tr>
        <w:trPr/>
        <w:tc>
          <w:tcPr>
            <w:tcW w:w="6021" w:type="dxa"/>
            <w:tcBorders/>
          </w:tcPr>
          <w:p>
            <w:pPr>
              <w:pStyle w:val="TableContents"/>
              <w:bidi w:val="0"/>
              <w:spacing w:before="0" w:after="283"/>
              <w:jc w:val="left"/>
              <w:rPr/>
            </w:pPr>
            <w:r>
              <w:rPr/>
              <w:t>FBB Written Consent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6.01(c)</w:t>
            </w:r>
          </w:p>
        </w:tc>
      </w:tr>
      <w:tr>
        <w:trPr/>
        <w:tc>
          <w:tcPr>
            <w:tcW w:w="6021" w:type="dxa"/>
            <w:tcBorders/>
          </w:tcPr>
          <w:p>
            <w:pPr>
              <w:pStyle w:val="TableContents"/>
              <w:bidi w:val="0"/>
              <w:spacing w:before="0" w:after="283"/>
              <w:jc w:val="left"/>
              <w:rPr/>
            </w:pPr>
            <w:r>
              <w:rPr/>
              <w:t>FBB’s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4.06</w:t>
            </w:r>
          </w:p>
        </w:tc>
      </w:tr>
      <w:tr>
        <w:trPr/>
        <w:tc>
          <w:tcPr>
            <w:tcW w:w="6021" w:type="dxa"/>
            <w:tcBorders/>
          </w:tcPr>
          <w:p>
            <w:pPr>
              <w:pStyle w:val="TableContents"/>
              <w:bidi w:val="0"/>
              <w:spacing w:before="0" w:after="283"/>
              <w:jc w:val="left"/>
              <w:rPr/>
            </w:pPr>
            <w:r>
              <w:rPr/>
              <w:t>Final Stockholders Registry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FLSA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GAAP</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3.06(a)</w:t>
            </w:r>
          </w:p>
        </w:tc>
      </w:tr>
      <w:tr>
        <w:trPr/>
        <w:tc>
          <w:tcPr>
            <w:tcW w:w="6021" w:type="dxa"/>
            <w:tcBorders/>
          </w:tcPr>
          <w:p>
            <w:pPr>
              <w:pStyle w:val="TableContents"/>
              <w:bidi w:val="0"/>
              <w:spacing w:before="0" w:after="283"/>
              <w:jc w:val="left"/>
              <w:rPr/>
            </w:pPr>
            <w:r>
              <w:rPr/>
              <w:t>Governmental Entity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Hazardous Materials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Indemnified Party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6.02(g)</w:t>
            </w:r>
          </w:p>
        </w:tc>
      </w:tr>
      <w:tr>
        <w:trPr/>
        <w:tc>
          <w:tcPr>
            <w:tcW w:w="6021" w:type="dxa"/>
            <w:tcBorders/>
          </w:tcPr>
          <w:p>
            <w:pPr>
              <w:pStyle w:val="TableContents"/>
              <w:bidi w:val="0"/>
              <w:spacing w:before="0" w:after="283"/>
              <w:jc w:val="left"/>
              <w:rPr/>
            </w:pPr>
            <w:r>
              <w:rPr/>
              <w:t>Independent Director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Information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6.01(e)</w:t>
            </w:r>
          </w:p>
        </w:tc>
      </w:tr>
      <w:tr>
        <w:trPr/>
        <w:tc>
          <w:tcPr>
            <w:tcW w:w="6021" w:type="dxa"/>
            <w:tcBorders/>
          </w:tcPr>
          <w:p>
            <w:pPr>
              <w:pStyle w:val="TableContents"/>
              <w:bidi w:val="0"/>
              <w:spacing w:before="0" w:after="283"/>
              <w:jc w:val="left"/>
              <w:rPr/>
            </w:pPr>
            <w:r>
              <w:rPr/>
              <w:t>Injunction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Intended Tax Treatment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Law</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Lien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Nasdaq</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New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6.10(b)</w:t>
            </w:r>
          </w:p>
        </w:tc>
      </w:tr>
      <w:tr>
        <w:trPr/>
        <w:tc>
          <w:tcPr>
            <w:tcW w:w="6021"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6.10(c)</w:t>
            </w:r>
          </w:p>
        </w:tc>
      </w:tr>
      <w:tr>
        <w:trPr/>
        <w:tc>
          <w:tcPr>
            <w:tcW w:w="6021" w:type="dxa"/>
            <w:tcBorders/>
          </w:tcPr>
          <w:p>
            <w:pPr>
              <w:pStyle w:val="TableContents"/>
              <w:bidi w:val="0"/>
              <w:spacing w:before="0" w:after="283"/>
              <w:jc w:val="left"/>
              <w:rPr/>
            </w:pPr>
            <w:r>
              <w:rPr/>
              <w:t>Notice of 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Payor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2.02(h)</w:t>
            </w:r>
          </w:p>
        </w:tc>
      </w:tr>
      <w:tr>
        <w:trPr/>
        <w:tc>
          <w:tcPr>
            <w:tcW w:w="6021" w:type="dxa"/>
            <w:tcBorders/>
          </w:tcPr>
          <w:p>
            <w:pPr>
              <w:pStyle w:val="TableContents"/>
              <w:bidi w:val="0"/>
              <w:spacing w:before="0" w:after="283"/>
              <w:jc w:val="left"/>
              <w:rPr/>
            </w:pPr>
            <w:r>
              <w:rPr/>
              <w:t>PCBs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Piggyback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Piggyback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Post-Closing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Section6.09(a)</w:t>
            </w:r>
          </w:p>
        </w:tc>
      </w:tr>
      <w:tr>
        <w:trPr/>
        <w:tc>
          <w:tcPr>
            <w:tcW w:w="6021"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6.01(b)</w:t>
            </w:r>
          </w:p>
        </w:tc>
      </w:tr>
      <w:tr>
        <w:trPr/>
        <w:tc>
          <w:tcPr>
            <w:tcW w:w="6021" w:type="dxa"/>
            <w:tcBorders/>
          </w:tcPr>
          <w:p>
            <w:pPr>
              <w:pStyle w:val="TableContents"/>
              <w:bidi w:val="0"/>
              <w:spacing w:before="0" w:after="283"/>
              <w:jc w:val="left"/>
              <w:rPr/>
            </w:pPr>
            <w:r>
              <w:rPr/>
              <w:t>Registrable Securities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Regulatory Agencies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Release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3.16(e)(v)</w:t>
            </w:r>
          </w:p>
        </w:tc>
      </w:tr>
      <w:tr>
        <w:trPr/>
        <w:tc>
          <w:tcPr>
            <w:tcW w:w="6021" w:type="dxa"/>
            <w:tcBorders/>
          </w:tcPr>
          <w:p>
            <w:pPr>
              <w:pStyle w:val="TableContents"/>
              <w:bidi w:val="0"/>
              <w:spacing w:before="0" w:after="283"/>
              <w:jc w:val="left"/>
              <w:rPr/>
            </w:pPr>
            <w:r>
              <w:rPr/>
              <w:t>Required DXL Stockholder Vote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Resale Registration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Sarbanes-Oxley 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Section3.05</w:t>
            </w:r>
          </w:p>
        </w:tc>
      </w:tr>
      <w:tr>
        <w:trPr/>
        <w:tc>
          <w:tcPr>
            <w:tcW w:w="6021" w:type="dxa"/>
            <w:tcBorders/>
          </w:tcPr>
          <w:p>
            <w:pPr>
              <w:pStyle w:val="TableContents"/>
              <w:bidi w:val="0"/>
              <w:spacing w:before="0" w:after="283"/>
              <w:jc w:val="left"/>
              <w:rPr/>
            </w:pPr>
            <w:r>
              <w:rPr/>
              <w:t>Surviving Company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Surviving Company Charter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2"/>
        <w:gridCol w:w="203"/>
        <w:gridCol w:w="3980"/>
      </w:tblGrid>
      <w:tr>
        <w:trPr/>
        <w:tc>
          <w:tcPr>
            <w:tcW w:w="60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2" w:type="dxa"/>
            <w:tcBorders/>
          </w:tcPr>
          <w:p>
            <w:pPr>
              <w:pStyle w:val="TableContents"/>
              <w:bidi w:val="0"/>
              <w:spacing w:before="0" w:after="283"/>
              <w:jc w:val="left"/>
              <w:rPr/>
            </w:pPr>
            <w:r>
              <w:rPr/>
              <w:t>Tail Policy</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6.11(b)</w:t>
            </w:r>
          </w:p>
        </w:tc>
      </w:tr>
      <w:tr>
        <w:trPr/>
        <w:tc>
          <w:tcPr>
            <w:tcW w:w="6022" w:type="dxa"/>
            <w:tcBorders/>
          </w:tcPr>
          <w:p>
            <w:pPr>
              <w:pStyle w:val="TableContents"/>
              <w:bidi w:val="0"/>
              <w:spacing w:before="0" w:after="283"/>
              <w:jc w:val="left"/>
              <w:rPr/>
            </w:pPr>
            <w:r>
              <w:rPr/>
              <w:t>Takeover Statute</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3.17</w:t>
            </w:r>
          </w:p>
        </w:tc>
      </w:tr>
      <w:tr>
        <w:trPr/>
        <w:tc>
          <w:tcPr>
            <w:tcW w:w="6022" w:type="dxa"/>
            <w:tcBorders/>
          </w:tcPr>
          <w:p>
            <w:pPr>
              <w:pStyle w:val="TableContents"/>
              <w:bidi w:val="0"/>
              <w:spacing w:before="0" w:after="283"/>
              <w:jc w:val="left"/>
              <w:rPr/>
            </w:pPr>
            <w:r>
              <w:rPr/>
              <w:t>WARN</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3.12(c)</w:t>
            </w:r>
          </w:p>
        </w:tc>
      </w:tr>
    </w:tbl>
    <w:p>
      <w:pPr>
        <w:pStyle w:val="TextBody"/>
        <w:bidi w:val="0"/>
        <w:spacing w:before="240" w:after="0"/>
        <w:jc w:val="left"/>
        <w:rPr>
          <w:rFonts w:ascii="Times New Roman" w:hAnsi="Times New Roman"/>
          <w:sz w:val="20"/>
        </w:rPr>
      </w:pPr>
      <w:bookmarkStart w:id="215" w:name="anxa76201_107"/>
      <w:bookmarkEnd w:id="215"/>
      <w:r>
        <w:rPr>
          <w:rFonts w:ascii="Times New Roman" w:hAnsi="Times New Roman"/>
          <w:b/>
          <w:sz w:val="20"/>
        </w:rPr>
        <w:t xml:space="preserve">SECTION 9.05 </w:t>
      </w:r>
      <w:r>
        <w:rPr>
          <w:rFonts w:ascii="Times New Roman" w:hAnsi="Times New Roman"/>
          <w:b/>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The table of contents, index of defined terms contained in </w:t>
      </w:r>
      <w:r>
        <w:rPr>
          <w:rFonts w:ascii="Times New Roman" w:hAnsi="Times New Roman"/>
          <w:sz w:val="20"/>
          <w:u w:val="single"/>
        </w:rPr>
        <w:t>Section 9.04</w:t>
      </w:r>
      <w:r>
        <w:rPr>
          <w:rFonts w:ascii="Times New Roman" w:hAnsi="Times New Roman"/>
          <w:sz w:val="20"/>
        </w:rPr>
        <w:t xml:space="preserve">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 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w:t>
      </w:r>
      <w:r>
        <w:rPr>
          <w:rFonts w:ascii="Times New Roman" w:hAnsi="Times New Roman"/>
          <w:sz w:val="20"/>
          <w:u w:val="single"/>
        </w:rPr>
        <w:t>Section 9.02</w:t>
      </w:r>
      <w:r>
        <w:rPr>
          <w:rFonts w:ascii="Times New Roman" w:hAnsi="Times New Roman"/>
          <w:sz w:val="20"/>
        </w:rPr>
        <w:t xml:space="preserve"> shall be deemed to be “written”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6" w:name="anxa76201_108"/>
      <w:bookmarkEnd w:id="216"/>
      <w:r>
        <w:rPr>
          <w:rFonts w:ascii="Times New Roman" w:hAnsi="Times New Roman"/>
          <w:b/>
          <w:sz w:val="20"/>
        </w:rPr>
        <w:t xml:space="preserve">SECTION 9.06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w:t>
      </w:r>
      <w:r>
        <w:rPr>
          <w:rFonts w:ascii="Times New Roman" w:hAnsi="Times New Roman"/>
          <w:sz w:val="20"/>
          <w:u w:val="single"/>
        </w:rPr>
        <w:t>Section 9.</w:t>
      </w:r>
      <w:r>
        <w:rPr>
          <w:rFonts w:ascii="Times New Roman" w:hAnsi="Times New Roman"/>
          <w:sz w:val="20"/>
        </w:rPr>
        <w:t xml:space="preserve">06 with respect thereto. </w:t>
      </w:r>
    </w:p>
    <w:p>
      <w:pPr>
        <w:pStyle w:val="TextBody"/>
        <w:bidi w:val="0"/>
        <w:spacing w:before="240" w:after="0"/>
        <w:jc w:val="left"/>
        <w:rPr>
          <w:rFonts w:ascii="Times New Roman" w:hAnsi="Times New Roman"/>
          <w:sz w:val="20"/>
        </w:rPr>
      </w:pPr>
      <w:bookmarkStart w:id="217" w:name="anxa76201_109"/>
      <w:bookmarkEnd w:id="217"/>
      <w:r>
        <w:rPr>
          <w:rFonts w:ascii="Times New Roman" w:hAnsi="Times New Roman"/>
          <w:b/>
          <w:sz w:val="20"/>
        </w:rPr>
        <w:t xml:space="preserve">SECTION 9.07 </w:t>
      </w:r>
      <w:r>
        <w:rPr>
          <w:rFonts w:ascii="Times New Roman" w:hAnsi="Times New Roman"/>
          <w:b/>
          <w:sz w:val="20"/>
          <w:u w:val="single"/>
        </w:rPr>
        <w:t>Counterparts; Facsimile Signatures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 </w:t>
      </w:r>
    </w:p>
    <w:p>
      <w:pPr>
        <w:pStyle w:val="TextBody"/>
        <w:bidi w:val="0"/>
        <w:spacing w:before="240" w:after="0"/>
        <w:jc w:val="left"/>
        <w:rPr>
          <w:rFonts w:ascii="Times New Roman" w:hAnsi="Times New Roman"/>
          <w:sz w:val="20"/>
        </w:rPr>
      </w:pPr>
      <w:bookmarkStart w:id="218" w:name="anxa76201_110"/>
      <w:bookmarkEnd w:id="218"/>
      <w:r>
        <w:rPr>
          <w:rFonts w:ascii="Times New Roman" w:hAnsi="Times New Roman"/>
          <w:b/>
          <w:sz w:val="20"/>
        </w:rPr>
        <w:t xml:space="preserve">SECTION 9.08 </w:t>
      </w:r>
      <w:r>
        <w:rPr>
          <w:rFonts w:ascii="Times New Roman" w:hAnsi="Times New Roman"/>
          <w:b/>
          <w:sz w:val="20"/>
          <w:u w:val="single"/>
        </w:rPr>
        <w:t>Entire Agreement; No Third Party Beneficiaries</w:t>
      </w:r>
      <w:r>
        <w:rPr>
          <w:rFonts w:ascii="Times New Roman" w:hAnsi="Times New Roman"/>
          <w:sz w:val="20"/>
        </w:rPr>
        <w:t xml:space="preserve">. This Agreement, taken together with the Confidentiality Agreement 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w:t>
      </w:r>
      <w:r>
        <w:rPr>
          <w:rFonts w:ascii="Times New Roman" w:hAnsi="Times New Roman"/>
          <w:sz w:val="20"/>
          <w:u w:val="single"/>
        </w:rPr>
        <w:t>Article II</w:t>
      </w:r>
      <w:r>
        <w:rPr>
          <w:rFonts w:ascii="Times New Roman" w:hAnsi="Times New Roman"/>
          <w:sz w:val="20"/>
        </w:rPr>
        <w:t xml:space="preserve"> relating to the payment of the Merger Consideration and any dividends or other distributions payable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d</w:t>
      </w:r>
      <w:r>
        <w:rPr>
          <w:rFonts w:ascii="Times New Roman" w:hAnsi="Times New Roman"/>
          <w:sz w:val="20"/>
          <w:u w:val="single"/>
        </w:rPr>
        <w:t>)</w:t>
      </w:r>
      <w:r>
        <w:rPr>
          <w:rFonts w:ascii="Times New Roman" w:hAnsi="Times New Roman"/>
          <w:sz w:val="20"/>
        </w:rPr>
        <w:t xml:space="preserve"> shall be enforceable by holders of FBB Capital Stock at the Effective Time as provided therein, (ii) the FBB Selling Stockholders are intended third party beneficiaries of </w:t>
      </w:r>
      <w:r>
        <w:rPr>
          <w:rFonts w:ascii="Times New Roman" w:hAnsi="Times New Roman"/>
          <w:sz w:val="20"/>
          <w:u w:val="single"/>
        </w:rPr>
        <w:t>Section 6.02</w:t>
      </w:r>
      <w:r>
        <w:rPr>
          <w:rFonts w:ascii="Times New Roman" w:hAnsi="Times New Roman"/>
          <w:sz w:val="20"/>
        </w:rPr>
        <w:t xml:space="preserve"> and (iii) the D&amp;O Indemnified Parties are intended third party beneficiaries of </w:t>
      </w:r>
      <w:r>
        <w:rPr>
          <w:rFonts w:ascii="Times New Roman" w:hAnsi="Times New Roman"/>
          <w:sz w:val="20"/>
          <w:u w:val="single"/>
        </w:rPr>
        <w:t>Section 6.</w:t>
      </w:r>
      <w:r>
        <w:rPr>
          <w:rFonts w:ascii="Times New Roman" w:hAnsi="Times New Roman"/>
          <w:sz w:val="20"/>
        </w:rPr>
        <w:t xml:space="preserve">11(a). </w:t>
      </w:r>
    </w:p>
    <w:p>
      <w:pPr>
        <w:pStyle w:val="TextBody"/>
        <w:bidi w:val="0"/>
        <w:spacing w:before="240" w:after="0"/>
        <w:jc w:val="left"/>
        <w:rPr>
          <w:rFonts w:ascii="Times New Roman" w:hAnsi="Times New Roman"/>
          <w:sz w:val="20"/>
        </w:rPr>
      </w:pPr>
      <w:bookmarkStart w:id="219" w:name="anxa76201_111"/>
      <w:bookmarkEnd w:id="219"/>
      <w:r>
        <w:rPr>
          <w:rFonts w:ascii="Times New Roman" w:hAnsi="Times New Roman"/>
          <w:b/>
          <w:sz w:val="20"/>
        </w:rPr>
        <w:t xml:space="preserve">SECTION 9.09 </w:t>
      </w:r>
      <w:r>
        <w:rPr>
          <w:rFonts w:ascii="Times New Roman" w:hAnsi="Times New Roman"/>
          <w:b/>
          <w:sz w:val="20"/>
          <w:u w:val="single"/>
        </w:rPr>
        <w:t>Governing Law</w:t>
      </w:r>
      <w:r>
        <w:rPr>
          <w:rFonts w:ascii="Times New Roman" w:hAnsi="Times New Roman"/>
          <w:sz w:val="20"/>
        </w:rPr>
        <w:t>. 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hAnsi="Times New Roman"/>
          <w:sz w:val="20"/>
          <w:u w:val="single"/>
        </w:rPr>
        <w:t>Dispute</w:t>
      </w:r>
      <w:r>
        <w:rPr>
          <w:rFonts w:ascii="Times New Roman" w:hAnsi="Times New Roman"/>
          <w:sz w:val="20"/>
        </w:rPr>
        <w:t xml:space="preserv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bookmarkStart w:id="220" w:name="anxa76201_112"/>
      <w:bookmarkEnd w:id="220"/>
      <w:r>
        <w:rPr>
          <w:rFonts w:ascii="Times New Roman" w:hAnsi="Times New Roman"/>
          <w:b/>
          <w:sz w:val="20"/>
        </w:rPr>
        <w:t xml:space="preserve">SECTION 9.10 </w:t>
      </w:r>
      <w:r>
        <w:rPr>
          <w:rFonts w:ascii="Times New Roman" w:hAnsi="Times New Roman"/>
          <w:b/>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221" w:name="anxa76201_113"/>
      <w:bookmarkEnd w:id="221"/>
      <w:r>
        <w:rPr>
          <w:rFonts w:ascii="Times New Roman" w:hAnsi="Times New Roman"/>
          <w:b/>
          <w:sz w:val="20"/>
        </w:rPr>
        <w:t xml:space="preserve">SECTION 9.11 </w:t>
      </w:r>
      <w:r>
        <w:rPr>
          <w:rFonts w:ascii="Times New Roman" w:hAnsi="Times New Roman"/>
          <w:b/>
          <w:sz w:val="20"/>
          <w:u w:val="single"/>
        </w:rPr>
        <w:t>Specific Performance</w:t>
      </w:r>
      <w:r>
        <w:rPr>
          <w:rFonts w:ascii="Times New Roman" w:hAnsi="Times New Roman"/>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w:t>
      </w:r>
      <w:r>
        <w:rPr>
          <w:rFonts w:ascii="Times New Roman" w:hAnsi="Times New Roman"/>
          <w:sz w:val="20"/>
          <w:u w:val="single"/>
        </w:rPr>
        <w:t>Section 8.01</w:t>
      </w:r>
      <w:r>
        <w:rPr>
          <w:rFonts w:ascii="Times New Roman" w:hAnsi="Times New Roman"/>
          <w:sz w:val="20"/>
        </w:rPr>
        <w:t xml:space="preserve">, the parties shall be entitled to an Injunction or Injunctions to prevent breaches of this Agreement and to enforce specifically the performance of terms and provisions of this Agreement in any court referred to in </w:t>
      </w:r>
      <w:r>
        <w:rPr>
          <w:rFonts w:ascii="Times New Roman" w:hAnsi="Times New Roman"/>
          <w:sz w:val="20"/>
          <w:u w:val="single"/>
        </w:rPr>
        <w:t>Section 9.12</w:t>
      </w:r>
      <w:r>
        <w:rPr>
          <w:rFonts w:ascii="Times New Roman" w:hAnsi="Times New Roman"/>
          <w:sz w:val="20"/>
        </w:rPr>
        <w:t xml:space="preserve">, without proof of actual damages, this being in addition to any other remedy to which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Times New Roman" w:hAnsi="Times New Roman"/>
          <w:sz w:val="20"/>
          <w:u w:val="single"/>
        </w:rPr>
        <w:t>Section 9.11</w:t>
      </w:r>
      <w:r>
        <w:rPr>
          <w:rFonts w:ascii="Times New Roman" w:hAnsi="Times New Roman"/>
          <w:sz w:val="20"/>
        </w:rPr>
        <w:t xml:space="preserve">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9.11</w:t>
      </w:r>
      <w:r>
        <w:rPr>
          <w:rFonts w:ascii="Times New Roman" w:hAnsi="Times New Roman"/>
          <w:sz w:val="20"/>
        </w:rPr>
        <w:t xml:space="preserve">, and each party hereto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bookmarkStart w:id="222" w:name="anxa76201_114"/>
      <w:bookmarkEnd w:id="222"/>
      <w:r>
        <w:rPr>
          <w:rFonts w:ascii="Times New Roman" w:hAnsi="Times New Roman"/>
          <w:b/>
          <w:sz w:val="20"/>
        </w:rPr>
        <w:t xml:space="preserve">SECTION 9.12 </w:t>
      </w:r>
      <w:r>
        <w:rPr>
          <w:rFonts w:ascii="Times New Roman" w:hAnsi="Times New Roman"/>
          <w:b/>
          <w:sz w:val="20"/>
          <w:u w:val="single"/>
        </w:rPr>
        <w:t>Jurisdiction</w:t>
      </w:r>
      <w:r>
        <w:rPr>
          <w:rFonts w:ascii="Times New Roman" w:hAnsi="Times New Roman"/>
          <w:sz w:val="20"/>
        </w:rPr>
        <w:t xml:space="preserve">. Each of the parties hereto hereby irrevocably and unconditionally submits, for itself and its property, to the 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 courts. Each of the parties agrees that a final, non-appealable judgment or determination of the courts described in this </w:t>
      </w:r>
      <w:r>
        <w:rPr>
          <w:rFonts w:ascii="Times New Roman" w:hAnsi="Times New Roman"/>
          <w:sz w:val="20"/>
          <w:u w:val="single"/>
        </w:rPr>
        <w:t>Section 9.12</w:t>
      </w:r>
      <w:r>
        <w:rPr>
          <w:rFonts w:ascii="Times New Roman" w:hAnsi="Times New Roman"/>
          <w:sz w:val="20"/>
        </w:rPr>
        <w:t xml:space="preserve"> shall be conclusive and may be enforced in other jurisdictions and any court of competent jurisdiction by suit on the judgment or in any other manner provided by applicable Law. Each party irrevocably consents to service of process in the manner provided for notices in </w:t>
      </w:r>
      <w:r>
        <w:rPr>
          <w:rFonts w:ascii="Times New Roman" w:hAnsi="Times New Roman"/>
          <w:sz w:val="20"/>
          <w:u w:val="single"/>
        </w:rPr>
        <w:t>Section 9.02</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ANY AND ALL RIGHT TO A TRIAL BY JURY IN ANY “DISPUTE” (AS DEFINED IN THIS AGREEMENT). EACH PARTY MAKES THIS WAIVER VOLUNTARILY AND SUCH PARTY HAS BEEN INDUCED TO ENTER INTO THIS AGREEMENT BY, AMONG OTHER THINGS, THE MUTUAL WAIVERS CONTAINED IN THIS </w:t>
      </w:r>
      <w:r>
        <w:rPr>
          <w:rFonts w:ascii="Times New Roman" w:hAnsi="Times New Roman"/>
          <w:sz w:val="20"/>
          <w:u w:val="single"/>
        </w:rPr>
        <w:t>Section 9.12</w:t>
      </w:r>
      <w:r>
        <w:rPr>
          <w:rFonts w:ascii="Times New Roman" w:hAnsi="Times New Roman"/>
          <w:sz w:val="20"/>
        </w:rPr>
        <w:t xml:space="preserve">.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23" w:name="anxa76201_115"/>
      <w:bookmarkEnd w:id="223"/>
      <w:r>
        <w:rPr>
          <w:rFonts w:ascii="Times New Roman" w:hAnsi="Times New Roman"/>
          <w:b/>
          <w:sz w:val="20"/>
        </w:rPr>
        <w:t xml:space="preserve">SECTION 9.13 </w:t>
      </w:r>
      <w:r>
        <w:rPr>
          <w:rFonts w:ascii="Times New Roman" w:hAnsi="Times New Roman"/>
          <w:b/>
          <w:sz w:val="20"/>
          <w:u w:val="single"/>
        </w:rPr>
        <w:t>Publicity</w:t>
      </w:r>
      <w:r>
        <w:rPr>
          <w:rFonts w:ascii="Times New Roman" w:hAnsi="Times New Roman"/>
          <w:sz w:val="20"/>
        </w:rPr>
        <w:t xml:space="preserve">. The parties agree that the initial press release to be issued with respect to the Merger and the other Transactions shall be a joint press release to be reasonably agreed upon by DXL and FBB. Except with respect to disclosures that are consistent with prior disclosures made in compliance with this </w:t>
      </w:r>
      <w:r>
        <w:rPr>
          <w:rFonts w:ascii="Times New Roman" w:hAnsi="Times New Roman"/>
          <w:sz w:val="20"/>
          <w:u w:val="single"/>
        </w:rPr>
        <w:t>Section 9.13</w:t>
      </w:r>
      <w:r>
        <w:rPr>
          <w:rFonts w:ascii="Times New Roman" w:hAnsi="Times New Roman"/>
          <w:sz w:val="20"/>
        </w:rPr>
        <w:t xml:space="preserve">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24" w:name="anxa76201_116"/>
      <w:bookmarkEnd w:id="224"/>
      <w:r>
        <w:rPr>
          <w:rFonts w:ascii="Times New Roman" w:hAnsi="Times New Roman"/>
          <w:b/>
          <w:sz w:val="20"/>
        </w:rPr>
        <w:t xml:space="preserve">SECTION 9.14 </w:t>
      </w:r>
      <w:r>
        <w:rPr>
          <w:rFonts w:ascii="Times New Roman" w:hAnsi="Times New Roman"/>
          <w:b/>
          <w:sz w:val="20"/>
          <w:u w:val="single"/>
        </w:rPr>
        <w:t>Financing Related Parties</w:t>
      </w:r>
      <w:r>
        <w:rPr>
          <w:rFonts w:ascii="Times New Roman" w:hAnsi="Times New Roman"/>
          <w:sz w:val="20"/>
        </w:rPr>
        <w:t xml:space="preserve">. Notwithstanding anything in this Agreement to the contrary, DXL, on behalf of itself and DXL’s Subsidiaries, and FBB, on behalf of itself and FBB’s Subsidiaries, each hereby: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 </w:t>
      </w:r>
    </w:p>
    <w:p>
      <w:pPr>
        <w:pStyle w:val="TextBody"/>
        <w:bidi w:val="0"/>
        <w:spacing w:before="240" w:after="0"/>
        <w:jc w:val="left"/>
        <w:rPr>
          <w:rFonts w:ascii="Times New Roman" w:hAnsi="Times New Roman"/>
          <w:sz w:val="20"/>
        </w:rPr>
      </w:pPr>
      <w:r>
        <w:rPr>
          <w:rFonts w:ascii="Times New Roman" w:hAnsi="Times New Roman"/>
          <w:sz w:val="20"/>
        </w:rPr>
        <w:t xml:space="preserve">(c) agree that service of process upon DXL, DXL’s Subsidiaries, FBB or FBB’s Subsidiaries in any such action described in the foregoing clause (a) shall be effective if notice is given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any action described in the foregoing clause (a)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 Document, the Commitment and Subscription Agreements, any other Equity Document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 </w:t>
      </w:r>
    </w:p>
    <w:p>
      <w:pPr>
        <w:pStyle w:val="TextBody"/>
        <w:bidi w:val="0"/>
        <w:spacing w:before="240" w:after="0"/>
        <w:jc w:val="left"/>
        <w:rPr>
          <w:rFonts w:ascii="Times New Roman" w:hAnsi="Times New Roman"/>
          <w:sz w:val="20"/>
        </w:rPr>
      </w:pPr>
      <w:r>
        <w:rPr>
          <w:rFonts w:ascii="Times New Roman" w:hAnsi="Times New Roman"/>
          <w:sz w:val="20"/>
        </w:rPr>
        <w:t xml:space="preserve">(g) agree that the Financing Related Parties are express third-party beneficiaries of, and may enforce, any of the provisions in this Agreement reflecting the foregoing agreements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9.14</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03; and </w:t>
      </w:r>
    </w:p>
    <w:p>
      <w:pPr>
        <w:pStyle w:val="TextBody"/>
        <w:bidi w:val="0"/>
        <w:spacing w:before="240" w:after="0"/>
        <w:jc w:val="left"/>
        <w:rPr>
          <w:rFonts w:ascii="Times New Roman" w:hAnsi="Times New Roman"/>
          <w:sz w:val="20"/>
        </w:rPr>
      </w:pPr>
      <w:r>
        <w:rPr>
          <w:rFonts w:ascii="Times New Roman" w:hAnsi="Times New Roman"/>
          <w:sz w:val="20"/>
        </w:rPr>
        <w:t xml:space="preserve">(h) none of this </w:t>
      </w:r>
      <w:r>
        <w:rPr>
          <w:rFonts w:ascii="Times New Roman" w:hAnsi="Times New Roman"/>
          <w:sz w:val="20"/>
          <w:u w:val="single"/>
        </w:rPr>
        <w:t>Section 9.14</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in counterparts by their duly authorized officers,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DESTINATION XL GROUP, INC.</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Harvey S. Kanter</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DIVINE MERGER SUB 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Harvey S. Kanter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Jim Fogarty</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Jim Fogarty</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of the Surviving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(the “</w:t>
      </w:r>
      <w:r>
        <w:rPr>
          <w:rFonts w:ascii="Times New Roman" w:hAnsi="Times New Roman"/>
          <w:sz w:val="20"/>
          <w:u w:val="single"/>
        </w:rPr>
        <w:t>Corporation</w:t>
      </w:r>
      <w:r>
        <w:rPr>
          <w:rFonts w:ascii="Times New Roman" w:hAnsi="Times New Roman"/>
          <w:sz w:val="20"/>
        </w:rPr>
        <w:t xml:space="preserve">”) is: </w:t>
      </w:r>
    </w:p>
    <w:p>
      <w:pPr>
        <w:pStyle w:val="TextBody"/>
        <w:bidi w:val="0"/>
        <w:spacing w:before="240" w:after="0"/>
        <w:jc w:val="center"/>
        <w:rPr>
          <w:rFonts w:ascii="Times New Roman" w:hAnsi="Times New Roman"/>
          <w:sz w:val="20"/>
        </w:rPr>
      </w:pPr>
      <w:r>
        <w:rPr>
          <w:rFonts w:ascii="Times New Roman" w:hAnsi="Times New Roman"/>
          <w:sz w:val="20"/>
        </w:rPr>
        <w:t xml:space="preserve">DIVINE MERGER SUB I,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c/o Corporation Service Company, 251 Little Falls Drive, Wilmington, Delaware 19808 in the County of New Castle. The name of the registered agent of the Corporation at such address is Corporation Service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total number of shares of stock which the Corporation shall have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Each holder of Common Stock shall be entitled to one vote for each share held.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by-laws of the Corporation may be made, altered, amended or repealed by the stockholders of the Corporation or by a majority of the entire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hereby eliminates, to the fullest extent permitted by law (as contemplated by Section 102(b)(7) of the DGCL) the personal liability of any person who serves as a director of the Corporation to the Corporation and/or its stockholders for monetary damages for breach of fiduciary duty as a director; provided that this Article VII shall not eliminate or limit the liability of a director: (a) for any breach of the director’s duty of loyalty to the Corporation or its stockholders; (b)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(c) under Section 174 of the DGCL; or (d) for any transaction from which the director derived an improper personal benefit; provided further, however, that if in the future the DGCL is amended or modified (including, but not limited to, Section 102(b)(7)) to permit the elimination of the personal liability of a director of the Corporation to a greater extent than contemplated above, then the provisions of this Article VII shall be deemed to be automatically amended to provide for the elimination of the personal liability of the directors of the Corporation to such greater extent. Any repeal or modification of this Article VII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a. Each person who was or is made a party or is threatened to be made a party to or is otherwise involved in any threatened, pending or completed action, suit or proceeding, whether civil, criminal, administrative or investigative (hereinafter</w:t>
      </w:r>
      <w:r>
        <w:rPr>
          <w:rFonts w:ascii="Times New Roman" w:hAnsi="Times New Roman"/>
          <w:i/>
          <w:sz w:val="20"/>
        </w:rPr>
        <w:t>,</w:t>
      </w:r>
      <w:r>
        <w:rPr>
          <w:rFonts w:ascii="Times New Roman" w:hAnsi="Times New Roman"/>
          <w:sz w:val="20"/>
        </w:rPr>
        <w:t xml:space="preserve"> a “</w:t>
      </w:r>
      <w:r>
        <w:rPr>
          <w:rFonts w:ascii="Times New Roman" w:hAnsi="Times New Roman"/>
          <w:sz w:val="20"/>
          <w:u w:val="single"/>
        </w:rPr>
        <w:t>proceeding</w:t>
      </w:r>
      <w:r>
        <w:rPr>
          <w:rFonts w:ascii="Times New Roman" w:hAnsi="Times New Roman"/>
          <w:sz w:val="20"/>
        </w:rPr>
        <w:t>”), by reason of the fact that he or she is or was a director, manager or officer of the Corporation or any of its Subsidiaries (each,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Group Entity</w:t>
      </w:r>
      <w:r>
        <w:rPr>
          <w:rFonts w:ascii="Times New Roman" w:hAnsi="Times New Roman"/>
          <w:sz w:val="20"/>
        </w:rPr>
        <w:t>”) or while a director, manager or officer of a Corporation Group Entity, is or was serving at the request of such Corporation Group Entity as a director, officer, manager, employee or agent of another corporation, partnership, limited liability company, joint venture, trust or other enterprise, including service with respect to an employee benefit plan (hereinafter, a “</w:t>
      </w:r>
      <w:r>
        <w:rPr>
          <w:rFonts w:ascii="Times New Roman" w:hAnsi="Times New Roman"/>
          <w:sz w:val="20"/>
          <w:u w:val="single"/>
        </w:rPr>
        <w:t>Covered Person</w:t>
      </w:r>
      <w:r>
        <w:rPr>
          <w:rFonts w:ascii="Times New Roman" w:hAnsi="Times New Roman"/>
          <w:sz w:val="20"/>
        </w:rPr>
        <w:t xml:space="preserve">”), whether the basis of such proceeding is alleged action in an official capacity as a director, officer, manager, employee or agent, or in any other capacity while serving as a director, officer, manager, employee or agent, shall be indemnified and held harmless by the Corporation to the fullest extent authorized or permitted by law (and, specifically in the case of the DGCL, as such law is amended, only to the extent that such amendment permits the Corporation to provide broader indemnification rights than previous to such amendment) against all expense, liability and loss (including, without limitation, attorneys’ fees, judgments, fines, excise taxes under the Employee Retirement Income Security Act of 1974, as amended from time to time, penalties and amounts paid or to be paid in settlement) actually and reasonably incurred or suffered by such Covered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right to indemnification conferred by clause (a) of this Article VIII, costs, charges and expenses (including, without limitation, attorneys’ fees) incurred by a Covered Person in defending, testifying, or otherwise participating in any such proceeding shall be paid by the Corporation in advance of the final disposition of such proceeding upon receipt of an undertaking by or on behalf of such Covered Person to repay all amounts so advanced in the event that it shall ultimately be determined that such Covered Person is not entitled to be indemnified by the Corporation as authorized in this Article VIII. The majority of the disinterested directors may, and upon approval of such Covered Person, authorize the Corporation’s counsel to represent such person, in any action, suit or proceeding, whether or not the Corporation is a party to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c. If a claim under clause (a) or clause (b) of this Article VIII 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also be entitled to be paid the expense of prosecuting or defending such suit to the fullest extent permitted by law. In any suit brought by (i) the Covered Person to enforce a right to indemnification hereunder (but not in a suit brought by a Covered Person to enforce a right to an advancement of expenses) it shall be a defense that, and (ii)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as the same exists or as hereafter may be amended (but, in the case of any such amendment, only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permits the Corporation to provide broader indemnification rights than the DGCL permitted the Corporation to provide prior to such amendment).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as the same exists or as hereafter may be amended (but, in the case of any such amendment, only to the extent that such amendment permits the Corporation to provide broader indemnification rights than the DGCL permitted the Corporation to provide prior to such amendment),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Article VIII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The rights conferred on any person by this Article VIII shall not be exclusive of any other rights which any Covered Person may have or hereafter acquire under applicable law, this Restated Certificate of Incorporation, the Bylaws, agreement, vote of stockholders or disinterested directors, or otherwise, both as to action in his or her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Corporation may maintain insurance, at its expense, to protect itself and/or any person who is or was or has agreed to become a Covered Person against any expense, liability or loss, whether or not the Corporation would have the power to indemnify such person against such expense, liability or loss under the DGCL and this Article VIII. </w:t>
      </w:r>
    </w:p>
    <w:p>
      <w:pPr>
        <w:pStyle w:val="TextBody"/>
        <w:bidi w:val="0"/>
        <w:spacing w:before="240" w:after="0"/>
        <w:jc w:val="left"/>
        <w:rPr>
          <w:rFonts w:ascii="Times New Roman" w:hAnsi="Times New Roman"/>
          <w:sz w:val="20"/>
        </w:rPr>
      </w:pPr>
      <w:r>
        <w:rPr>
          <w:rFonts w:ascii="Times New Roman" w:hAnsi="Times New Roman"/>
          <w:sz w:val="20"/>
        </w:rPr>
        <w:t>f. This Article VIII shall not limit the right of the Corporation to the extent and in the manner authorized or permitted by law to indemnify and to advance expenses to persons other than Covered Persons. Without limiting the foregoing, the Corporation may, to the extent authorized from time to time by the board of directors of the Corporation (the “</w:t>
      </w:r>
      <w:r>
        <w:rPr>
          <w:rFonts w:ascii="Times New Roman" w:hAnsi="Times New Roman"/>
          <w:sz w:val="20"/>
          <w:u w:val="single"/>
        </w:rPr>
        <w:t>Board</w:t>
      </w:r>
      <w:r>
        <w:rPr>
          <w:rFonts w:ascii="Times New Roman" w:hAnsi="Times New Roman"/>
          <w:sz w:val="20"/>
        </w:rPr>
        <w:t xml:space="preserve">”), grant rights to indemnification and to the advancement of expenses to any director, officer, manager, employee or agent of the Corporation and to any other person who is or was serving at the request of the Corporation as a director, officer, manager, employee or agent of another corporation or of a partnership, limited liability company, joint venture, trust or other enterprise or nonprofit entity, including service with respect to an employee benefit plan, to the fullest extent of the provisions of this Article VIII with respect to the indemnification and advancement of expenses of Covered Persons under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g. Any amendment, repeal or modification of this Article VIII, or any amendment, repeal or modification of relevant provisions of the DGCL or any other applicable laws, shall, to the extent permitted by applicable law, be prospective only (except to the extent such amendment or change in applicable law permits the Corporation to provide broader indemnification rights to Covered Persons on a retroactive basis than permitted prior thereto), and shall not in any way diminish or adversely affect any right or protection existing under this Article VIII in respect of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Article VIII, (i) references to “other enterprise” shall include any employee benefit plan; (ii) references to “fines” shall include any excise taxes assessed on a person with respect to an employee benefit plan; (iii) references to “serving at the request of the Corporation” shall include any service that imposes duties on, or involves services by, a person with respect to another corporation, or of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liability company, joint venture, trust, other enterprise or nonprofit entity, including service with respect to an employee benefit plan, its participants, or beneficiaries; (iv) references to “the Corporation” include all constituent corporations absorbed in a consolidation or merger as well as the resulting or surviving corporation, so that any Covered Person of such a constituent corporation or is or was serving at the request of such constituent corporation as a Covered Person of another corporation, partnership, limited liability company, joint venture, trust or other enterprise or nonprofit entity, including service with respect to an employee benefit plan, shall stand in the same position under the provisions of this Article VIII, with respect to the resulting or surviving corporation, as a Covered Person would if the Covered Person had served the resulting or surviving corporation in the same capacity; and (v) person who acted in good faith and in a manner such person reasonably believed to be in the interest of the participants and beneficiaries of an employee benefit plan shall be deemed to have acted in a manner “not opposed to the best interest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provided to Covered Persons pursuant to this Article VIII (i) shall be contract rights based upon good and valuable consideration, pursuant to which a Covered Person may bring suit as if the provisions of this Article VIII were set forth in a separate written contract between the Covered Person and the Corporation, (ii) shall fully vest at the time the Covered Person first assumes his or her position as an incorporator, resident agent, director, officer, manager, employee or agent of the Corporation and (iii) are intended to be retroactive and shall be available with respect to any act or omission occurring prior to the adoption of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in this Article VIII to the contrary, other than a proceeding to enforce his or her rights under this Article VIII, the Corporation shall not be required to indemnify or advance expenses to any Covered Person in connection with a proceeding or part thereof initiated by such Covered Person unless the initiation of such proceeding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k. If any term or provision of this Article VIII or the application to any Person or circumstance is held invalid or unenforceable to any extent, the remainder of this Article VIII and the application of such provision to other Persons and circumstances shall not be affected thereby and such provision shall be enforced to the greatest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The Corporation hereby acknowledges that certain Covered Persons may have rights to indemnification, insurance and/or advancement of expenses provided by a stockholder of the Corporation or its Affiliates (other than any Corporation Group Entity) (directly or through insurance obtained by any such entity) (collectively, the “</w:t>
      </w:r>
      <w:r>
        <w:rPr>
          <w:rFonts w:ascii="Times New Roman" w:hAnsi="Times New Roman"/>
          <w:sz w:val="20"/>
          <w:u w:val="single"/>
        </w:rPr>
        <w:t>Stockholder Indemnitors</w:t>
      </w:r>
      <w:r>
        <w:rPr>
          <w:rFonts w:ascii="Times New Roman" w:hAnsi="Times New Roman"/>
          <w:sz w:val="20"/>
        </w:rPr>
        <w:t xml:space="preserve">”). The Corporation hereby agrees and acknowledges that (i) it is the indemnitor of first resort with respect to the Covered Persons, (ii) it shall be required to advance the full amount of expenses incurred by the Covered Persons and shall be liable for the full amount of any losses, claims, damages, liabilities and expenses (including, without limitation, attorneys’ fees and expenses, judgments, fines, penalties and amounts paid or to be paid in settlement) to the extent legally permitted and, as required by law, the terms of this Certificate of Incorporation, the Bylaws, an agreement, vote of stockholders or disinterested directors, any other agreement between the Corporation and any Covered Persons or otherwise, without regard to any rights the Covered Persons may have against the Stockholder Indemnitors and (iii)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Covered Persons have sought indemnification from the Corporation shall affect the foregoing and the Stockholder Indemnitors shall have a right of contribution and/or be subrogated to the extent of such advancement or payment to all of the rights of recovery of the Covered Persons against the Corporation. The rights provided in this Article IX shall be contract rights. The Corporation and each Covered Person agree that Stockholder Indemnitors are express third-party beneficiaries of Articles VIII and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the Corporation is authorized to provide indemnification of (and advancement of expenses to) agents of the Corporation (and any other persons to which the DGCL permits the Corporation to provide indemnification) through Bylaw provisions, agreements with such agents or other persons, by vote of stockholders or disinterested directors or otherwise, in excess of the indemnification and advancement otherwise permitted by Section 145 of the DGCL, subject only to limits created by the DGCL and applicable law, with respect to actions for breach of duty to the Corporation, its stockholders, and others.”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that directly, or indirectly through one or more intermediaries, controls, is controlled by, or is under common control with, such first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Subsidiary</w:t>
      </w:r>
      <w:r>
        <w:rPr>
          <w:rFonts w:ascii="Times New Roman" w:hAnsi="Times New Roman"/>
          <w:sz w:val="20"/>
        </w:rPr>
        <w:t xml:space="preserve">” of any Person means (i) a corporation more than fifty percent (50%) of the combined voting power of the outstanding voting stock of which is owned, directly or indirectly, by such Person or by one or more other Subsidiaries of such Person or by such Person and one or more other Subsidiaries thereof,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interest and the power to direct the policies, management and affairs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Stockholder</w:t>
      </w:r>
      <w:r>
        <w:rPr>
          <w:rFonts w:ascii="Times New Roman" w:hAnsi="Times New Roman"/>
          <w:sz w:val="20"/>
        </w:rPr>
        <w:t>”) understands that: (i) Destination XL Group, Inc., a Delaware corporation (“</w:t>
      </w:r>
      <w:r>
        <w:rPr>
          <w:rFonts w:ascii="Times New Roman" w:hAnsi="Times New Roman"/>
          <w:sz w:val="20"/>
          <w:u w:val="single"/>
        </w:rPr>
        <w:t>DXL</w:t>
      </w:r>
      <w:r>
        <w:rPr>
          <w:rFonts w:ascii="Times New Roman" w:hAnsi="Times New Roman"/>
          <w:sz w:val="20"/>
        </w:rPr>
        <w:t>”), has entered into an Agreement and Plan of Merger, dated as of December 10, 2025 (as amended, supplemented, restated or otherwise modified from time to time, the “</w:t>
      </w:r>
      <w:r>
        <w:rPr>
          <w:rFonts w:ascii="Times New Roman" w:hAnsi="Times New Roman"/>
          <w:sz w:val="20"/>
          <w:u w:val="single"/>
        </w:rPr>
        <w:t>Merger Agreement</w:t>
      </w:r>
      <w:r>
        <w:rPr>
          <w:rFonts w:ascii="Times New Roman" w:hAnsi="Times New Roman"/>
          <w:sz w:val="20"/>
        </w:rPr>
        <w:t>”), with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pursuant to which Merger Sub will be merged with and into FBB (the “</w:t>
      </w:r>
      <w:r>
        <w:rPr>
          <w:rFonts w:ascii="Times New Roman" w:hAnsi="Times New Roman"/>
          <w:sz w:val="20"/>
          <w:u w:val="single"/>
        </w:rPr>
        <w:t>Merger</w:t>
      </w:r>
      <w:r>
        <w:rPr>
          <w:rFonts w:ascii="Times New Roman" w:hAnsi="Times New Roman"/>
          <w:sz w:val="20"/>
        </w:rPr>
        <w:t>”) and the separate corporate existence of Merger Sub will cease and FBB will continue as the surviving corporation in the Merger and as a wholly owned subsidiary of DXL; and (ii) in connection with the Merger, stockholders of FBB will receive DXL Common Stock. Capitalized terms used but not otherwise defined in this letter agreement (the “</w:t>
      </w:r>
      <w:r>
        <w:rPr>
          <w:rFonts w:ascii="Times New Roman" w:hAnsi="Times New Roman"/>
          <w:sz w:val="20"/>
          <w:u w:val="single"/>
        </w:rPr>
        <w:t>Agreement</w:t>
      </w:r>
      <w:r>
        <w:rPr>
          <w:rFonts w:ascii="Times New Roman" w:hAnsi="Times New Roman"/>
          <w:sz w:val="20"/>
        </w:rPr>
        <w:t>”) will have the meanings ascribed to such terms in the Merger Agreement. This letter agreement shall not be effective until the effective time of the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material inducement to the willingness of each of DXL and FBB to enter into the Merger Agreement, and for other good and valuable consideration, the receipt and sufficiency of which are hereby acknowledged, the Stockholder hereby agrees that the Stockholder will not, subject to the exceptions set forth in this Agreement, during the period commencing on the Effective Time and ending 90 days after the Closing Date (the “</w:t>
      </w:r>
      <w:r>
        <w:rPr>
          <w:rFonts w:ascii="Times New Roman" w:hAnsi="Times New Roman"/>
          <w:sz w:val="20"/>
          <w:u w:val="single"/>
        </w:rPr>
        <w:t>Restricted Period</w:t>
      </w:r>
      <w:r>
        <w:rPr>
          <w:rFonts w:ascii="Times New Roman" w:hAnsi="Times New Roman"/>
          <w:sz w:val="20"/>
        </w:rPr>
        <w:t>”), (a) offer, pledge, sell, contract to sell, sell any option or contract to purchase, purchase any option or contract to sell, grant any option, right or warrant to purchase, or otherwise transfer or dispose of, directly or indirectly, any DXL Common Stock, or any securities convertible into or exercisable or exchangeable for DXL Common Stock, including, without limitation, DXL Common Stock or such other securities which may be deemed to be beneficially owned by the Stockholder in accordance with the rules and regulations of the Securities and Exchange Commission and securities of DXL which may be issued upon exercise of a stock option or warrant (collectively, the “</w:t>
      </w:r>
      <w:r>
        <w:rPr>
          <w:rFonts w:ascii="Times New Roman" w:hAnsi="Times New Roman"/>
          <w:sz w:val="20"/>
          <w:u w:val="single"/>
        </w:rPr>
        <w:t>Stockholder’s Shares</w:t>
      </w:r>
      <w:r>
        <w:rPr>
          <w:rFonts w:ascii="Times New Roman" w:hAnsi="Times New Roman"/>
          <w:sz w:val="20"/>
        </w:rPr>
        <w:t xml:space="preserve">”), or (b) enter into any swap or other agreement that transfers, in whole or in part, any of the economic consequences of ownership of the DXL Common Stock or such other securities, whether any such transaction described in clause (a) or (b) above is to be settled by delivery of DXL Common Stock or such other securities, in cash or otherwise, in each case other than (i) transfers of the Stockholder’s Shares as charitable gifts or donations, (ii) transfers or dispositions of the Stockholder’s Shares directly as a gift to a member of the Stockholder’s immediate family, or to any trust for the direct or indirect benefit of the Stockholder or the immediate family of the Stockholder, (iii) transfers or dispositions of the Stockholder’s Shares by will, other testamentary document or intestate succession to the legal representative, heir, beneficiary or a member of the immediate family of the Stockholder, (iv) transfers of the Stockholder’s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(v) transfers that occur by operation of law pursuant to a qualified domestic order or in connection with a divorce settlement, (vi) transfers or dispositions not involving a change in beneficial ownership, and (vii) if the Stockholder is a trust, transfers or dispositions to any beneficiary of the Stockholder or the estate of any such beneficiary; </w:t>
      </w:r>
      <w:r>
        <w:rPr>
          <w:rFonts w:ascii="Times New Roman" w:hAnsi="Times New Roman"/>
          <w:sz w:val="20"/>
          <w:u w:val="single"/>
        </w:rPr>
        <w:t>provided</w:t>
      </w:r>
      <w:r>
        <w:rPr>
          <w:rFonts w:ascii="Times New Roman" w:hAnsi="Times New Roman"/>
          <w:sz w:val="20"/>
        </w:rPr>
        <w:t xml:space="preserve"> that, in each case, the transferee agrees in writing to be bound by the terms and conditions of this Agreement and either the Stockholder or the transferee provides DXL with a copy of such agreement promptly upon consummation of any such transfer;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shall not involve a disposition for value. For purposes of this Agreement, “immediate family” shall mean any relationship by blood, marriage or adoption, not more remote than first cousin. </w:t>
      </w:r>
    </w:p>
    <w:p>
      <w:pPr>
        <w:pStyle w:val="TextBody"/>
        <w:bidi w:val="0"/>
        <w:spacing w:before="360" w:after="0"/>
        <w:jc w:val="left"/>
        <w:rPr>
          <w:rFonts w:ascii="Times New Roman" w:hAnsi="Times New Roman"/>
          <w:sz w:val="20"/>
        </w:rPr>
      </w:pPr>
      <w:r>
        <w:rPr>
          <w:rFonts w:ascii="Times New Roman" w:hAnsi="Times New Roman"/>
          <w:sz w:val="20"/>
        </w:rPr>
        <w:t xml:space="preserve">Notwithstanding the restrictions imposed by this Agreement, the Stockholder may (a) establish a trading plan pursuant to Rule 10b5-1 under the Exchange Act for the transfer of DXL Common Stock, provided that such plan does not provide for any transfers of DXL Common Stock during the Restricted Period, and (b) transfer or dispose of DXL Common Stock acquired on the open market following the Effective Time; </w:t>
      </w:r>
      <w:r>
        <w:rPr>
          <w:rFonts w:ascii="Times New Roman" w:hAnsi="Times New Roman"/>
          <w:sz w:val="20"/>
          <w:u w:val="single"/>
        </w:rPr>
        <w:t>provided that</w:t>
      </w:r>
      <w:r>
        <w:rPr>
          <w:rFonts w:ascii="Times New Roman" w:hAnsi="Times New Roman"/>
          <w:sz w:val="20"/>
        </w:rPr>
        <w:t xml:space="preserve">, with respect to (a) above, no filing under the Exchange Act or other public announcement shall be required or shall be made voluntarily in connection with the establishment of such a plan, </w:t>
      </w:r>
      <w:r>
        <w:rPr>
          <w:rFonts w:ascii="Times New Roman" w:hAnsi="Times New Roman"/>
          <w:sz w:val="20"/>
          <w:u w:val="single"/>
        </w:rPr>
        <w:t>provided</w:t>
      </w:r>
      <w:r>
        <w:rPr>
          <w:rFonts w:ascii="Times New Roman" w:hAnsi="Times New Roman"/>
          <w:sz w:val="20"/>
        </w:rPr>
        <w:t xml:space="preserve"> that reasonable notice shall be provided to DXL prior to any such filing, and </w:t>
      </w:r>
      <w:r>
        <w:rPr>
          <w:rFonts w:ascii="Times New Roman" w:hAnsi="Times New Roman"/>
          <w:sz w:val="20"/>
          <w:u w:val="single"/>
        </w:rPr>
        <w:t>provided further</w:t>
      </w:r>
      <w:r>
        <w:rPr>
          <w:rFonts w:ascii="Times New Roman" w:hAnsi="Times New Roman"/>
          <w:sz w:val="20"/>
        </w:rPr>
        <w:t xml:space="preserve"> that, for the avoidance of doubt, the underlying DXL Common Stock shall continue to be subject to the restrictions on transfer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 attempted transfer in violation of this Agreement will be of no effect and null and void, regardless of whether the purported transferee has any actual or constructive knowledge of the transfer restrictions set forth in this Agreement, and will not be recorded on the stock transfer books of DXL. In order to ensure compliance with the restrictions referred to herein, the Stockholder agrees that DXL may issue appropriate “stop transfer” certificates or instructions. DXL may cause the legend set forth below, or a legend substantially equivalent thereto, to be placed upon any certificate(s) or other documents or instruments evidencing ownership of the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represents and warrants that the Stockholder has full power and authority to enter into this Agreement. All authority conferred or agreed to be conferred and any obligations of the Stockholder under this Agreement will be binding upon the successors, assigns, heirs or personal representatives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Stockholder’s Shares from this Agreement, DXL will cooperate with the Stockholder to facilitate the timely preparation and delivery of certificates representing the Stockholder’s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The Stockholder understands that each of DXL and FBB is relying upon this Agreement in proceeding toward consummation of the Merger. The Stockholder also understands that other individuals or entities are executing similar Lock-Up Agreements in connection with the Merger Agreement (each, a “</w:t>
      </w:r>
      <w:r>
        <w:rPr>
          <w:rFonts w:ascii="Times New Roman" w:hAnsi="Times New Roman"/>
          <w:sz w:val="20"/>
          <w:u w:val="single"/>
        </w:rPr>
        <w:t>Similar Agreement</w:t>
      </w:r>
      <w:r>
        <w:rPr>
          <w:rFonts w:ascii="Times New Roman" w:hAnsi="Times New Roman"/>
          <w:sz w:val="20"/>
        </w:rPr>
        <w:t xml:space="preserve">”). It is further understood and agreed that (a) no amendment or modification will be made to any Similar Agreement unless the Stockholder is afforded the opportunity to receive the same amendment or modification to this Agreement, and (b) no signatory to any Similar Agreement will be released from its obligations thereunder without notice being provided to the Stockholder. The Stockholder further understands that this Agreement is irrevocable and is binding upon the Stockholder’s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be deemed to vest in DXL or FBB any direct or indirect ownership or incidence of ownership of or with respect to the Stockholder’s Shares. All rights, ownership and economic benefits of and relating to the Stockholder’s Shares shall remain vested in and belong to the Stockholder, and DXL and FBB shall have no authority solely by virtue of this Agreement to direct the Stockholder in the voting or disposition of any of the Stockholder’s Shares,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in accordance with its terms, the Stockholder will be released from all obligations and liabilities under this Agreement automatically and without notice or other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facsimile or electronic (i.e., PDF) transmission, which is deemed an original.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0"/>
        <w:gridCol w:w="181"/>
        <w:gridCol w:w="372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0"/>
        <w:gridCol w:w="112"/>
        <w:gridCol w:w="2939"/>
        <w:gridCol w:w="126"/>
        <w:gridCol w:w="4458"/>
      </w:tblGrid>
      <w:tr>
        <w:trPr/>
        <w:tc>
          <w:tcPr>
            <w:tcW w:w="25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70" w:type="dxa"/>
            <w:tcBorders/>
            <w:vAlign w:val="center"/>
          </w:tcPr>
          <w:p>
            <w:pPr>
              <w:pStyle w:val="TableContents"/>
              <w:bidi w:val="0"/>
              <w:spacing w:before="0" w:after="283"/>
              <w:jc w:val="left"/>
              <w:rPr>
                <w:sz w:val="4"/>
                <w:szCs w:val="4"/>
              </w:rPr>
            </w:pPr>
            <w:r>
              <w:rPr>
                <w:sz w:val="4"/>
                <w:szCs w:val="4"/>
              </w:rPr>
            </w:r>
          </w:p>
        </w:tc>
        <w:tc>
          <w:tcPr>
            <w:tcW w:w="3051" w:type="dxa"/>
            <w:gridSpan w:val="2"/>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Print Name of</w:t>
              <w:br/>
              <w:t>Stockholder:</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45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Signature (for individuals):</w:t>
            </w:r>
          </w:p>
          <w:p>
            <w:pPr>
              <w:pStyle w:val="TableContents"/>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 (for entities):</w:t>
            </w:r>
          </w:p>
          <w:p>
            <w:pPr>
              <w:pStyle w:val="TableContents"/>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82"/>
        <w:gridCol w:w="61"/>
        <w:gridCol w:w="759"/>
        <w:gridCol w:w="61"/>
        <w:gridCol w:w="281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Name: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u w:val="single"/>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b/>
          <w:sz w:val="20"/>
        </w:rPr>
        <w:t>THIS 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made and entered into as of December 10, 2025 by and among each of the persons set forth on </w:t>
      </w:r>
      <w:r>
        <w:rPr>
          <w:rFonts w:ascii="Times New Roman" w:hAnsi="Times New Roman"/>
          <w:sz w:val="20"/>
          <w:u w:val="single"/>
        </w:rPr>
        <w:t>Schedule A</w:t>
      </w:r>
      <w:r>
        <w:rPr>
          <w:rFonts w:ascii="Times New Roman" w:hAnsi="Times New Roman"/>
          <w:sz w:val="20"/>
        </w:rPr>
        <w:t xml:space="preserve"> hereto (each, a “</w:t>
      </w:r>
      <w:r>
        <w:rPr>
          <w:rFonts w:ascii="Times New Roman" w:hAnsi="Times New Roman"/>
          <w:b/>
          <w:sz w:val="20"/>
        </w:rPr>
        <w:t>Stockholder</w:t>
      </w:r>
      <w:r>
        <w:rPr>
          <w:rFonts w:ascii="Times New Roman" w:hAnsi="Times New Roman"/>
          <w:sz w:val="20"/>
        </w:rPr>
        <w:t>,” and collectively, the “</w:t>
      </w:r>
      <w:r>
        <w:rPr>
          <w:rFonts w:ascii="Times New Roman" w:hAnsi="Times New Roman"/>
          <w:b/>
          <w:sz w:val="20"/>
        </w:rPr>
        <w:t>Stockholders</w:t>
      </w:r>
      <w:r>
        <w:rPr>
          <w:rFonts w:ascii="Times New Roman" w:hAnsi="Times New Roman"/>
          <w:sz w:val="20"/>
        </w:rPr>
        <w:t>”) of Destination XL Group, Inc., a Delaware corporation (“</w:t>
      </w:r>
      <w:r>
        <w:rPr>
          <w:rFonts w:ascii="Times New Roman" w:hAnsi="Times New Roman"/>
          <w:b/>
          <w:sz w:val="20"/>
        </w:rPr>
        <w:t>DXL</w:t>
      </w:r>
      <w:r>
        <w:rPr>
          <w:rFonts w:ascii="Times New Roman" w:hAnsi="Times New Roman"/>
          <w:sz w:val="20"/>
        </w:rPr>
        <w:t>”), and FBB Holdings I, Inc., a Delaware corporation (“</w:t>
      </w:r>
      <w:r>
        <w:rPr>
          <w:rFonts w:ascii="Times New Roman" w:hAnsi="Times New Roman"/>
          <w:b/>
          <w:sz w:val="20"/>
        </w:rPr>
        <w:t>FBB</w:t>
      </w:r>
      <w:r>
        <w:rPr>
          <w:rFonts w:ascii="Times New Roman" w:hAnsi="Times New Roman"/>
          <w:sz w:val="20"/>
        </w:rPr>
        <w:t>”). FBB and Stockholders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or following the execution hereof, FBB, DXL, and Divine Merger Sub I, Inc., a Delaware corporation and wholly owned direct subsidiary of DXL (“</w:t>
      </w:r>
      <w:r>
        <w:rPr>
          <w:rFonts w:ascii="Times New Roman" w:hAnsi="Times New Roman"/>
          <w:b/>
          <w:sz w:val="20"/>
        </w:rPr>
        <w:t>Merger Sub</w:t>
      </w:r>
      <w:r>
        <w:rPr>
          <w:rFonts w:ascii="Times New Roman" w:hAnsi="Times New Roman"/>
          <w:sz w:val="20"/>
        </w:rPr>
        <w:t>”), have entered, or will enter, into an Agreement and Plan of Merger (as the same may be amended from time to time, the “</w:t>
      </w:r>
      <w:r>
        <w:rPr>
          <w:rFonts w:ascii="Times New Roman" w:hAnsi="Times New Roman"/>
          <w:b/>
          <w:sz w:val="20"/>
        </w:rPr>
        <w:t>Merger Agreement</w:t>
      </w:r>
      <w:r>
        <w:rPr>
          <w:rFonts w:ascii="Times New Roman" w:hAnsi="Times New Roman"/>
          <w:sz w:val="20"/>
        </w:rPr>
        <w:t>”), pursuant to which the Merger Sub will be merged with and into FBB (the “</w:t>
      </w:r>
      <w:r>
        <w:rPr>
          <w:rFonts w:ascii="Times New Roman" w:hAnsi="Times New Roman"/>
          <w:b/>
          <w:sz w:val="20"/>
        </w:rPr>
        <w:t>Merger</w:t>
      </w:r>
      <w:r>
        <w:rPr>
          <w:rFonts w:ascii="Times New Roman" w:hAnsi="Times New Roman"/>
          <w:sz w:val="20"/>
        </w:rPr>
        <w:t xml:space="preserve">”), with FBB being the surviving corporation in the Merger; and </w:t>
      </w:r>
    </w:p>
    <w:p>
      <w:pPr>
        <w:pStyle w:val="TextBody"/>
        <w:bidi w:val="0"/>
        <w:spacing w:before="240" w:after="0"/>
        <w:jc w:val="left"/>
        <w:rPr>
          <w:rFonts w:ascii="Times New Roman" w:hAnsi="Times New Roman"/>
          <w:sz w:val="20"/>
        </w:rPr>
      </w:pPr>
      <w:r>
        <w:rPr>
          <w:rFonts w:ascii="Times New Roman" w:hAnsi="Times New Roman"/>
          <w:sz w:val="20"/>
        </w:rPr>
        <w:t>WHEREAS, as of the date hereof, each Stockholder is the record and beneficial owner (as defined in Rule 13d-3 under the Exchange Act) of the number of shares of common stock, par value $0.01 per share, of DXL (“</w:t>
      </w:r>
      <w:r>
        <w:rPr>
          <w:rFonts w:ascii="Times New Roman" w:hAnsi="Times New Roman"/>
          <w:b/>
          <w:sz w:val="20"/>
        </w:rPr>
        <w:t>DXL Common Stock</w:t>
      </w:r>
      <w:r>
        <w:rPr>
          <w:rFonts w:ascii="Times New Roman" w:hAnsi="Times New Roman"/>
          <w:sz w:val="20"/>
        </w:rPr>
        <w:t>”), set forth opposite such Stockholder’s name on Schedule A (all such shares of DXL Common Stock, together with any shares of DXL Common Stock or other voting equity securities of DXL that are hereafter issued to or otherwise directly or indirectly acquired or beneficially owned by such Stockholder prior to the Expiration Time (as defined below) (the “</w:t>
      </w:r>
      <w:r>
        <w:rPr>
          <w:rFonts w:ascii="Times New Roman" w:hAnsi="Times New Roman"/>
          <w:b/>
          <w:sz w:val="20"/>
        </w:rPr>
        <w:t>After-Acquired Shares</w:t>
      </w:r>
      <w:r>
        <w:rPr>
          <w:rFonts w:ascii="Times New Roman" w:hAnsi="Times New Roman"/>
          <w:sz w:val="20"/>
        </w:rPr>
        <w:t>”), such Stockholder’s “</w:t>
      </w:r>
      <w:r>
        <w:rPr>
          <w:rFonts w:ascii="Times New Roman" w:hAnsi="Times New Roman"/>
          <w:b/>
          <w:sz w:val="20"/>
        </w:rPr>
        <w:t>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Capitalized terms used but not otherwise defined herein shall have the respective meanings ascribed to such terms in the Merger Agreement.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Adverse Proposal</w:t>
      </w:r>
      <w:r>
        <w:rPr>
          <w:rFonts w:ascii="Times New Roman" w:hAnsi="Times New Roman"/>
          <w:sz w:val="20"/>
        </w:rPr>
        <w:t xml:space="preserve">” means: (i) any DXL Takeover Proposal; (ii) any change in the present capitalization of DXL or any amendment or other change to the DXL Charter or the DXL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hereby or thereby. </w:t>
      </w:r>
    </w:p>
    <w:p>
      <w:pPr>
        <w:pStyle w:val="TextBody"/>
        <w:bidi w:val="0"/>
        <w:spacing w:before="240" w:after="0"/>
        <w:jc w:val="left"/>
        <w:rPr/>
      </w:pPr>
      <w:r>
        <w:rPr/>
        <w:t>“</w:t>
      </w:r>
      <w:r>
        <w:rPr>
          <w:rFonts w:ascii="Times New Roman" w:hAnsi="Times New Roman"/>
          <w:b/>
          <w:sz w:val="20"/>
        </w:rPr>
        <w:t>Controlled Affiliate</w:t>
      </w:r>
      <w:r>
        <w:rPr>
          <w:rFonts w:ascii="Times New Roman" w:hAnsi="Times New Roman"/>
          <w:sz w:val="20"/>
        </w:rPr>
        <w:t xml:space="preserve">” means, with respect to any person, any other person that, directly or indirectly, through one or more intermediaries, controls such person. As used in this definition, the term “control” means the possession, directly or indirectly, of the power to direct or cause the direction of the management and policies of an entity, whether through ownership of voting securities, by contract or otherwise. Ownership of more than fifty percent (50%) of the beneficial interests of an entity shall be conclusive evidence that control exists.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any direct or indirect (i) sale, tender, exchange, assignment, encumbrance, gift, hedge, pledge, hypothecation, disposition or other transfer (by operation of Law or otherwise), voluntarily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(other than this Agreement) or (z) grant of any irrevocable or revocable proxy, corporate representative appointment or power of attorney (or other consent or authorization) with respect to any Covered Shares; or (iii) entry into an agreement, arrangement, understanding or commitment (whether or not in writing) to take any of the actions referred to in the foregoing sub-paragraphs (i) or (ii).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No Transfer; No Inconsistent Arrangements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Each Stockholder agrees not to Transfer any of such Stockholder’s Covered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involuntary Transfer of any of such Stockholder’s Covered Shares shall occur (including a sale by such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Each Stockholder hereby authorizes and instructs DXL to cause DXL’s transfer agent or other registrar to enter stop transfer instructions and implement stop transfer procedures with respect to all of the Covered Shares or other capital stock or any securities convertible into or exercisable or exchangeable for Covered Shares or other capital stock of DXL owned or held (of record or beneficially) by such Stockholder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Each Stockholder shall not, directly or indirectly, take any action that would make any representation or warranty of such Stockholder contained herein untrue or incorrect or have the effect of preventing, impairing or materially delaying such Stockholder from performing any of its obligations under this Agreement or that would, or would reasonably be expected to, have the effect of preventing, impairing or materially delaying, the consummation of the Merger or the other transactions or the performance by DXL of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Agreement to Vote</w:t>
      </w:r>
      <w:r>
        <w:rPr>
          <w:rFonts w:ascii="Times New Roman" w:hAnsi="Times New Roman"/>
          <w:sz w:val="20"/>
          <w:u w:val="single"/>
        </w:rPr>
        <w:t>.</w:t>
      </w:r>
      <w:r>
        <w:rPr>
          <w:rFonts w:ascii="Times New Roman" w:hAnsi="Times New Roman"/>
          <w:sz w:val="20"/>
        </w:rPr>
        <w:t xml:space="preserve"> Each Stockholder irrevocably and unconditionally agrees that, at every meeting of the stockholders of DXL, however called, including any adjournment or postponement thereof, and in connection with any action proposed to be taken by written consent of the stockholders of DXL, such Stockholder shall, in each case, to the fullest extent that such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issuance of DXL Common Stock as the Merger Consideration pursuant to the terms of the Merger Agreement and (B) any other matters that would reasonably be expected to facilitate the Merger, including any proposal to adjourn or postpone any meeting of the stockholders of DXL to a later date; and (ii) against any Adverse Proposal; </w:t>
      </w:r>
      <w:r>
        <w:rPr>
          <w:rFonts w:ascii="Times New Roman" w:hAnsi="Times New Roman"/>
          <w:sz w:val="20"/>
          <w:u w:val="single"/>
        </w:rPr>
        <w:t>provided</w:t>
      </w:r>
      <w:r>
        <w:rPr>
          <w:rFonts w:ascii="Times New Roman" w:hAnsi="Times New Roman"/>
          <w:sz w:val="20"/>
        </w:rPr>
        <w:t xml:space="preserve">, that for the avoidance of doubt, any adjournment or postponement of the DXL Stockholders Meeting permitted by Section 6.01(h) of the Merger Agreement or by </w:t>
      </w:r>
      <w:r>
        <w:rPr>
          <w:rFonts w:ascii="Times New Roman" w:hAnsi="Times New Roman"/>
          <w:sz w:val="20"/>
          <w:u w:val="single"/>
        </w:rPr>
        <w:t>Section 3(b)(i)(B)</w:t>
      </w:r>
      <w:r>
        <w:rPr>
          <w:rFonts w:ascii="Times New Roman" w:hAnsi="Times New Roman"/>
          <w:sz w:val="20"/>
        </w:rPr>
        <w:t xml:space="preserve"> hereof shall not constitute an Adverse Proposal. Such Stockholder shall retain at all times the right to vote such Stockholder’s Covered Shares in such Stockholder’s sole discretion, and without any other limitation, on any matters other than those expressly set forth in this </w:t>
      </w:r>
      <w:r>
        <w:rPr>
          <w:rFonts w:ascii="Times New Roman" w:hAnsi="Times New Roman"/>
          <w:sz w:val="20"/>
          <w:u w:val="single"/>
        </w:rPr>
        <w:t>Section 3</w:t>
      </w:r>
      <w:r>
        <w:rPr>
          <w:rFonts w:ascii="Times New Roman" w:hAnsi="Times New Roman"/>
          <w:sz w:val="20"/>
        </w:rPr>
        <w:t xml:space="preserve"> that are at any time or from time to time presented for consideration to the stockholders of DXL generally. For the avoidance of doubt, the foregoing commitments in this </w:t>
      </w:r>
      <w:r>
        <w:rPr>
          <w:rFonts w:ascii="Times New Roman" w:hAnsi="Times New Roman"/>
          <w:sz w:val="20"/>
          <w:u w:val="single"/>
        </w:rPr>
        <w:t>Section 3</w:t>
      </w:r>
      <w:r>
        <w:rPr>
          <w:rFonts w:ascii="Times New Roman" w:hAnsi="Times New Roman"/>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Proxy and Power of Attorney</w:t>
      </w:r>
      <w:r>
        <w:rPr>
          <w:rFonts w:ascii="Times New Roman" w:hAnsi="Times New Roman"/>
          <w:b/>
          <w:sz w:val="20"/>
        </w:rPr>
        <w:t xml:space="preserve">. </w:t>
      </w:r>
      <w:r>
        <w:rPr>
          <w:rFonts w:ascii="Times New Roman" w:hAnsi="Times New Roman"/>
          <w:sz w:val="20"/>
        </w:rPr>
        <w:t xml:space="preserve">Solely in the event of a failure by any Stockholder to act in accordance with such Stockholder’s obligations as to voting pursuant to </w:t>
      </w:r>
      <w:r>
        <w:rPr>
          <w:rFonts w:ascii="Times New Roman" w:hAnsi="Times New Roman"/>
          <w:sz w:val="20"/>
          <w:u w:val="single"/>
        </w:rPr>
        <w:t>Section 3</w:t>
      </w:r>
      <w:r>
        <w:rPr>
          <w:rFonts w:ascii="Times New Roman" w:hAnsi="Times New Roman"/>
          <w:sz w:val="20"/>
        </w:rPr>
        <w:t xml:space="preserve"> hereof, such Stockholder hereby appoints Jim Fogarty and Lauren Gee (each, an “</w:t>
      </w:r>
      <w:r>
        <w:rPr>
          <w:rFonts w:ascii="Times New Roman" w:hAnsi="Times New Roman"/>
          <w:b/>
          <w:sz w:val="20"/>
        </w:rPr>
        <w:t>Attorney</w:t>
      </w:r>
      <w:r>
        <w:rPr>
          <w:rFonts w:ascii="Times New Roman" w:hAnsi="Times New Roman"/>
          <w:sz w:val="20"/>
        </w:rPr>
        <w:t xml:space="preserve">”), in their capacities as officers of FBB,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sz w:val="20"/>
          <w:u w:val="single"/>
        </w:rPr>
        <w:t>Section 3</w:t>
      </w:r>
      <w:r>
        <w:rPr>
          <w:rFonts w:ascii="Times New Roman" w:hAnsi="Times New Roman"/>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to secure the performance of the duties of the Stockholders under this Agreement. Any applicable Stockholder shall take such further actions or execute such other instruments as may be necessary to effectuate the intent of this proxy. This proxy and power of attorney granted by any applicable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any applicable Stockholder herein is a durable power of attorney and shall survive the bankruptcy, death or incapacity of such Stockholder. The proxy and power of attorney granted hereunder shall terminate upon the termination of this Agreement. Any applicable Stockholder irrevocably undertakes to ratify any act committed in the exercise of the power under this </w:t>
      </w:r>
      <w:r>
        <w:rPr>
          <w:rFonts w:ascii="Times New Roman" w:hAnsi="Times New Roman"/>
          <w:sz w:val="20"/>
          <w:u w:val="single"/>
        </w:rPr>
        <w:t>Section 4</w:t>
      </w:r>
      <w:r>
        <w:rPr>
          <w:rFonts w:ascii="Times New Roman" w:hAnsi="Times New Roman"/>
          <w:sz w:val="20"/>
        </w:rPr>
        <w:t xml:space="preserve"> if called upon to do so. Any applicable Stockholder undertakes and agrees: (i) to indemnify the Attorney against all actions, claims, demands, proceedings, costs, charges, expenses and other liabilities whatsoever which may be made against the Attorney or for which the Attorney may become liable by reason of acting pursuant to this power of attorney; and (ii) that the Attorney shall not be liable to such Stockholder for any loss or damage occurring as a result of any act or omission made by the Attorney by reason of acting pursuant to this power of attorney.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No Limit on Fiduciary Duties as Director</w:t>
      </w:r>
      <w:r>
        <w:rPr>
          <w:rFonts w:ascii="Times New Roman" w:hAnsi="Times New Roman"/>
          <w:b/>
          <w:sz w:val="20"/>
        </w:rPr>
        <w:t xml:space="preserve">. </w:t>
      </w:r>
      <w:r>
        <w:rPr>
          <w:rFonts w:ascii="Times New Roman" w:hAnsi="Times New Roman"/>
          <w:sz w:val="20"/>
        </w:rPr>
        <w:t xml:space="preserve">Notwithstanding anything herein to the contrary, the covenants and agreements set forth herein shall not prevent any Stockholder from exercising his or her duties and obligations as a director of the Company or otherwise taking any action, subject to the applicable provisions of the Merger Agreement, while acting in such capacity as a director of the Company. Each Stockholder is executing this Agreement solely in its capacity as a stockholder.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From the date hereof until the Expiration Time, each Stockholder shall not, and shall cause its Controlled Affiliates not to, and its and their respective officers, agents and other representatives not to, directly or indirectly: (i) initiate, solicit, knowingly encourage or knowingly facilitate inquiries or proposals with respect to any DXL Takeover Proposal; (ii) engage or participate in any negotiations with any person concerning any DXL Takeover Proposal; (iii) provide any confidential or nonpublic information or data to, or have or participate in any discussions with, any person relating to any DXL Takeover Proposal (other than the parties to the Merger Agreement and their Representatives); (iv) approve or enter into any term sheet, letter of intent, commitment, memorandum of understanding, agreement in principle, acquisition agreement, merger agreement, voting or support agreement, or other agreement (whether written or oral, binding or nonbinding) in connection with or relating to any DXL Takeover Proposal; or (v) become a member of a “group” (as defined in Section 13(d)(3) under the Exchange Act) with respect to any voting securities of DXL for the purpose of opposing, discouraging or competing with or taking any actions inconsistent with the transactions contemplated by this Agreement or the Merger Agreement. Each Stockholder shall, and shall cause its Controlled Affiliates to, and shall cause its respective officer, agents and other representatives to, immediately cease and cause to be terminated any existing solicitations of, or discussions or negotiations with, any third party relating to any DXL Takeover Proposal. For purposes of this </w:t>
      </w:r>
      <w:r>
        <w:rPr>
          <w:rFonts w:ascii="Times New Roman" w:hAnsi="Times New Roman"/>
          <w:sz w:val="20"/>
          <w:u w:val="single"/>
        </w:rPr>
        <w:t>Section 6.1</w:t>
      </w:r>
      <w:r>
        <w:rPr>
          <w:rFonts w:ascii="Times New Roman" w:hAnsi="Times New Roman"/>
          <w:sz w:val="20"/>
        </w:rPr>
        <w:t xml:space="preserve">, “DXL Takeover Proposal” shall have the meaning ascribed to such term in the Merger Agreement but shall also include any Transfer of any of such Stockholder’s Covered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Waiver of Certain Actions</w:t>
      </w:r>
      <w:r>
        <w:rPr>
          <w:rFonts w:ascii="Times New Roman" w:hAnsi="Times New Roman"/>
          <w:sz w:val="20"/>
        </w:rPr>
        <w:t xml:space="preserve">. Each Stockholder agrees not to commence or participate in, and to take all actions necessary to opt out of any class in any class action with respect to, any claim, derivative or otherwise, against FBB, DXL,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Board of Directors of DXL in connection with the Merger Agreement, this Agreement,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Notice of Certain Events</w:t>
      </w:r>
      <w:r>
        <w:rPr>
          <w:rFonts w:ascii="Times New Roman" w:hAnsi="Times New Roman"/>
          <w:sz w:val="20"/>
        </w:rPr>
        <w:t xml:space="preserve">. Each Stockholder agrees to notify FBB of any development occurring after the date hereof that causes, or that would reasonably be expected to cause, any material breach of any of the representations and warranties of such Stockholder set forth in </w:t>
      </w:r>
      <w:r>
        <w:rPr>
          <w:rFonts w:ascii="Times New Roman" w:hAnsi="Times New Roman"/>
          <w:sz w:val="20"/>
          <w:u w:val="single"/>
        </w:rPr>
        <w:t>Section 7</w:t>
      </w:r>
      <w:r>
        <w:rPr>
          <w:rFonts w:ascii="Times New Roman" w:hAnsi="Times New Roman"/>
          <w:sz w:val="20"/>
        </w:rPr>
        <w:t xml:space="preserve">. Promptly upon the acquisition of any After-Acquired Shares, such Stockholder shall notify FBB of the number of After-Acquired Shares so acquired; it being understood that any such shares shall be subject to the terms of this Agreement as though owned by such Stockholder on the date hereof and the representation and warranties in </w:t>
      </w:r>
      <w:r>
        <w:rPr>
          <w:rFonts w:ascii="Times New Roman" w:hAnsi="Times New Roman"/>
          <w:sz w:val="20"/>
          <w:u w:val="single"/>
        </w:rPr>
        <w:t>Section 7</w:t>
      </w:r>
      <w:r>
        <w:rPr>
          <w:rFonts w:ascii="Times New Roman" w:hAnsi="Times New Roman"/>
          <w:sz w:val="20"/>
        </w:rPr>
        <w:t xml:space="preserve"> below shall be true and correct as of the date that such After-Acquired Shares are acquired.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Documentation and Information</w:t>
      </w:r>
      <w:r>
        <w:rPr>
          <w:rFonts w:ascii="Times New Roman" w:hAnsi="Times New Roman"/>
          <w:sz w:val="20"/>
        </w:rPr>
        <w:t xml:space="preserve">. Each Stockholder shall not, and shall cause such Stockholder’s Controlled Affiliates and such Stockholder’s and such Stockholder’s Controlled Affiliates’ respective officers, agents and other representatives not to, make any public announcement or other communication to a third party regarding this Agreement, the Merger Agreement, or the transactions contemplated thereby or hereby without the prior written consent of FBB except in accordance with Section 9.13 of the Merger Agreement. Each Stockholder consents to and authorizes DXL and FBB to publish and disclose in all documents and schedules filed with the SEC or any other Governmental Entity or applicable securities exchange, and any press release or other disclosure document that DXL or FBB reasonably determines to be necessary or advisable in connection with the Merger, the other transactions contemplated by the Merger Agreement or any other transactions contemplated by this Agreement, such Stockholder’s identity and ownership of such Stockholder’s Covered Shares, the existence of this Agreement and the nature of such Stockholder’s commitments and obligations under this Agreement, and such Stockholder acknowledges that DXL and FBB may file this Agreement or a form hereof with the SEC or any other Governmental Entity or securities exchange. Each Stockholder agrees to promptly give FBB and DXL any information that is in such Stockholder’s possession that FBB or DXL may reasonably request for the preparation of any such disclosure documents, and such Stockholder agrees to promptly notify FBB and DXL of any required corrections with respect to any written information supplied by such Stockholder specifically for use in any such disclosure document, if and to the extent that such Stockholder shall become aware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Representations and Warranties of Each Stockholder</w:t>
      </w:r>
      <w:r>
        <w:rPr>
          <w:rFonts w:ascii="Times New Roman" w:hAnsi="Times New Roman"/>
          <w:b/>
          <w:sz w:val="20"/>
        </w:rPr>
        <w:t xml:space="preserve">. </w:t>
      </w:r>
      <w:r>
        <w:rPr>
          <w:rFonts w:ascii="Times New Roman" w:hAnsi="Times New Roman"/>
          <w:sz w:val="20"/>
        </w:rPr>
        <w:t xml:space="preserve">Each Stockholder represents and warrants to FBB, as to such Stockholder with respect to such Stockholder’s Covered Shares, on a several basis, that: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Due Organization;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Stockholder is duly organized, validly existing and in good standing under the laws of the State of Delaware, (ii) such Stockholder has the requisite corporate power and authority to enter into and to perform its obligations under this Agreement, (iii) the execution and delivery of this Agreement by such Stockholder and the performance of its obligations hereunder and the consummation of the transactions contemplated hereby have been duly authorized by all necessary corporate action on the part of such Stockholder, and (iv) no other proceedings on the part of such Stockholder are necessary to authorize the execution, delivery and performance of this Agreement by such Stockholder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and validly executed and delivered by such Stockholder and, assuming the due authorization, execution and delivery by FBB, constitutes a legal, valid and binding obligation of such Stockholder, enforceable against such Stockholder in accordance with its terms, except as limited by Laws affecting the enforcement of creditors’ rights generally, by general equitable principles or by the discretion of any Governmental Entity before which any proceeding seeking enforcement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Ownership of the Covered Shares; Voting Power</w:t>
      </w:r>
      <w:r>
        <w:rPr>
          <w:rFonts w:ascii="Times New Roman" w:hAnsi="Times New Roman"/>
          <w:sz w:val="20"/>
        </w:rPr>
        <w:t>. Such Stockholder is the record and beneficial owner (as defined in Rule 13d-3 under the Exchange Act) of all of such Stockholder’s Covered Shares and has good and marketable title to all of such Stockholder’s Covered Shares, free and clear of any Liens in respect of such Covered Shares, other than those created by this Agreement or those imposed by applicable securities Law (collectively, “</w:t>
      </w:r>
      <w:r>
        <w:rPr>
          <w:rFonts w:ascii="Times New Roman" w:hAnsi="Times New Roman"/>
          <w:b/>
          <w:sz w:val="20"/>
        </w:rPr>
        <w:t>Permitted Liens</w:t>
      </w:r>
      <w:r>
        <w:rPr>
          <w:rFonts w:ascii="Times New Roman" w:hAnsi="Times New Roman"/>
          <w:sz w:val="20"/>
        </w:rPr>
        <w:t xml:space="preserve">”). The Covered Shares listed on </w:t>
      </w:r>
      <w:r>
        <w:rPr>
          <w:rFonts w:ascii="Times New Roman" w:hAnsi="Times New Roman"/>
          <w:sz w:val="20"/>
          <w:u w:val="single"/>
        </w:rPr>
        <w:t>Schedule A</w:t>
      </w:r>
      <w:r>
        <w:rPr>
          <w:rFonts w:ascii="Times New Roman" w:hAnsi="Times New Roman"/>
          <w:sz w:val="20"/>
        </w:rPr>
        <w:t xml:space="preserve"> opposite such Stockholder’s name constitute all of the shares of capital stock of DXL or any other securities of DXL beneficially owned by such Stockholder as of the date hereof. As of the date hereof, such Stockholder has not entered into any agreement to Transfer any such Covered Shares. Such Stockholder has full voting power with respect to all of such Stockholder’s Covered Shares, and full power of disposition with respect to Covered Shares, full power to issue instructions with respect to the matters set forth herein and full power to agree to all of the matters set forth in this Agreement, in each case with respect to all such Stockholder’s Covered Shares. None of such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Non-Contravention; Consents</w:t>
      </w:r>
      <w:r>
        <w:rPr>
          <w:rFonts w:ascii="Times New Roman" w:hAnsi="Times New Roman"/>
          <w:sz w:val="20"/>
        </w:rPr>
        <w:t xml:space="preserve">. Neither the execution and delivery of this Agreement by such Stockholder nor the consummation of the transactions contemplated hereby nor compliance by such Stockholder with any provisions herein will (a) violate, contravene or conflict with or result in any breach of any provision of the certificate of formation or operating agreement or equivalent organizational documents of such Stockholder, (b) require any consent, approval, authorization or permit of, or filing with or notification to, any Governmental Entity on the part of such Stockholder, except for compliance with the applicable requirements of the Securities Act, the Exchange Act or any other securities laws and the rules and regulations promulgated thereunder, (c) violate, conflict with, or result in a breach of or default under any provisions of, or require any consent, waiver or approval under any of the terms, conditions or provisions of, any Contract to which such Stockholder is a party or by which such Stockholder or any of such Stockholder’s Covered Shares may be bound, (d) result in the creation or imposition of any Lien (other than any Permitted Liens or Lien created by FBB) on any of such Stockholder’s Covered Shares or (e) violate any Law applicable to such Stockholder or by which any of such Stockholder’s Covered Shares are bound, except, in the case of each of clauses (c), (d) and (e), as would not, individually or in the aggregate, reasonably be expected to prevent, impair or delay the consummation by such Stockholder of the transactions contemplated by this Agreement or otherwise prevent, impair or delay such Stockholder’s ability to perform such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Legal Proceedings</w:t>
      </w:r>
      <w:r>
        <w:rPr>
          <w:rFonts w:ascii="Times New Roman" w:hAnsi="Times New Roman"/>
          <w:sz w:val="20"/>
        </w:rPr>
        <w:t xml:space="preserve">. There are no legal, administrative, arbitral or other proceedings, claims, actions or governmental or regulatory investigations of any nature pending against or, to the knowledge of such Stockholder, threatened against or affecting such Stockholder or any of such Stockholder’s properties or assets (including any of such Stockholder’s Covered Shares) that would, individually or in the aggregate, reasonably be expected to prevent, impair or delay the consummation by such Stockholder of the transactions contemplated by this Agreement or otherwise prevent, impair or delay such Stockholder’s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Opportunity to Review; Reliance</w:t>
      </w:r>
      <w:r>
        <w:rPr>
          <w:rFonts w:ascii="Times New Roman" w:hAnsi="Times New Roman"/>
          <w:sz w:val="20"/>
        </w:rPr>
        <w:t xml:space="preserve">. Such Stockholder has had the opportunity to review the Merger Agreement and this Agreement with counsel of such Stockholder’s own choosing. Such Stockholder understands and acknowledges that FBB and DXL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Termination</w:t>
      </w:r>
      <w:r>
        <w:rPr>
          <w:rFonts w:ascii="Times New Roman" w:hAnsi="Times New Roman"/>
          <w:b/>
          <w:sz w:val="20"/>
        </w:rPr>
        <w:t xml:space="preserve">. </w:t>
      </w:r>
      <w:r>
        <w:rPr>
          <w:rFonts w:ascii="Times New Roman" w:hAnsi="Times New Roman"/>
          <w:sz w:val="20"/>
        </w:rPr>
        <w:t>This Agreement shall terminate automatically and shall have no further force or effect as of the earliest to occur of the following (the “</w:t>
      </w:r>
      <w:r>
        <w:rPr>
          <w:rFonts w:ascii="Times New Roman" w:hAnsi="Times New Roman"/>
          <w:b/>
          <w:sz w:val="20"/>
        </w:rPr>
        <w:t>Expiration Time</w:t>
      </w:r>
      <w:r>
        <w:rPr>
          <w:rFonts w:ascii="Times New Roman" w:hAnsi="Times New Roman"/>
          <w:sz w:val="20"/>
        </w:rPr>
        <w:t xml:space="preserve">”): (a) the Effective Time; (b) the date and time that the Merger Agreement is validly terminated in accordance with the terms and provisions thereof; and (c) the termination of this Agreement by mutual written consent of the Parties.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set forth in this </w:t>
      </w:r>
      <w:r>
        <w:rPr>
          <w:rFonts w:ascii="Times New Roman" w:hAnsi="Times New Roman"/>
          <w:sz w:val="20"/>
          <w:u w:val="single"/>
        </w:rPr>
        <w:t>Section 8</w:t>
      </w:r>
      <w:r>
        <w:rPr>
          <w:rFonts w:ascii="Times New Roman" w:hAnsi="Times New Roman"/>
          <w:sz w:val="20"/>
        </w:rPr>
        <w:t xml:space="preserve"> shall relieve any Party from liability for fraud or any intentional breach of this Agreement prior to termination hereof and (y) the provisions of </w:t>
      </w:r>
      <w:r>
        <w:rPr>
          <w:rFonts w:ascii="Times New Roman" w:hAnsi="Times New Roman"/>
          <w:sz w:val="20"/>
          <w:u w:val="single"/>
        </w:rPr>
        <w:t>Section 9</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Party. Subject to the preceding sentence, but without relieving any Party of any obligation hereunder,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 and Modification; Waiver</w:t>
      </w:r>
      <w:r>
        <w:rPr>
          <w:rFonts w:ascii="Times New Roman" w:hAnsi="Times New Roman"/>
          <w:sz w:val="20"/>
        </w:rPr>
        <w:t xml:space="preserve">. Any provision of this Agreement may be amended, modified, supplemented or waived if, but only if, such amendment, modification, supplement or waiver is in writing and is signed, in the case of an amendment, modification or supplement by a Party or, in the case of a waiver, by the Party against whom the waiver is to be effective. No failure or delay by any Party to assert any of its rights under this Agreement or otherwise shall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hAnsi="Times New Roman"/>
          <w:sz w:val="20"/>
          <w:u w:val="single"/>
        </w:rPr>
        <w:t>Section 8</w:t>
      </w:r>
      <w:r>
        <w:rPr>
          <w:rFonts w:ascii="Times New Roman" w:hAnsi="Times New Roman"/>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The Parties hereby waive any requirement for the securing or posting of any bond in connection with the obtaining of any specific performance or injunctive relief and, in any action for specific performance, the defense of adequacy of a remedy at Law.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Notices</w:t>
      </w:r>
      <w:r>
        <w:rPr>
          <w:rFonts w:ascii="Times New Roman" w:hAnsi="Times New Roman"/>
          <w:sz w:val="20"/>
        </w:rPr>
        <w:t xml:space="preserve">. All notices, consents and other communications hereunder shall be in writing and shall be given in the manner described in Section 9.02 of the Merger Agreement, addressed as follows: (i) if to FBB, to the email addresses set forth in Section 9.02 of the Merger Agreement, and (ii) if to a Stockholder, to such Stockholder’s email address set forth on a signature page hereto, or to such other email address as such Party may hereafter specify for the purpose by notice to each other Party.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 controversy or claim arising out of, relating to or in connection with this Agreement, the negotiation, execution, existence, validity, enforceability or performance of this Agreement, or for the breach or alleged breach hereof (whether in contract, in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hereby irrevocably and unconditionally submits, for such Party and such Party’s property, to the exclusive jurisdiction of the Court of Chancery of the State of Delaware, or, if (and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such Party may legally and effectively do so, any objection that such Party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9.6(b)</w:t>
      </w:r>
      <w:r>
        <w:rPr>
          <w:rFonts w:ascii="Times New Roman" w:hAnsi="Times New Roman"/>
          <w:sz w:val="20"/>
        </w:rPr>
        <w:t xml:space="preserve"> in the manner provided for notices in </w:t>
      </w:r>
      <w:r>
        <w:rPr>
          <w:rFonts w:ascii="Times New Roman" w:hAnsi="Times New Roman"/>
          <w:sz w:val="20"/>
          <w:u w:val="single"/>
        </w:rPr>
        <w:t>Section 9.5</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SUCH PARTY MAY HAVE TO A TRIAL BY JURY IN RESPECT OF ANY LITIGATION DIRECTLY OR INDIRECTLY ARISING OUT OF OR RELATING TO THIS AGREEMENT AND ANY OF THE AGREEMENTS DELIVERED IN CONNECTION HEREWITH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SUCH PARTY UNDERSTANDS AND HAS CONSIDERED THE IMPLICATIONS OF SUCH WAIVERS, (C) SUCH PARTY MAKES SUCH WAIVERS VOLUNTARILY AND (D) SUCH PARTY HAS BEEN INDUCED TO ENTER INTO THIS AGREEMENT BY, AMONG OTHER THINGS, THE MUTUAL WAIVERS AND CERTIFICATIONS IN THIS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Entire Agreement; Third 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Merger Agreement (together with the Exhibits, FBB Disclosure Schedule and the other documents delivered pursuant thereto)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express or implied, is intended to confer upon any person (other than the Parties)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Counterparts</w:t>
      </w:r>
      <w:r>
        <w:rPr>
          <w:rFonts w:ascii="Times New Roman" w:hAnsi="Times New Roman"/>
          <w:sz w:val="20"/>
        </w:rPr>
        <w:t xml:space="preserve">. This Agreement may be executed in multiple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Mutual Drafting;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Headings of the articles and sections of this Agreement are for convenience of the Parties only and shall be given no substantive or interpretative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“include,” “includes” or “including” mean “including without limitation,” and the words “hereof,” “hereby,” “herein,” “hereunder” and similar terms refer to this Agreement as a whole and not any particular section in which such words appear. The words “shall” and “will” have the same meaning. The phrase “to the extent” shall mean the degree to which a subject or other thing extends, and such phrase shall not mean simply “if.” All references in this Agreement to “$” are intended to refer to U.S. dollars. Unless otherwise specifically provided for herein, the term “or” shall not be deemed to be exclusive, and shall be interpreted as “and/or”. The term “affiliates” shall have the meaning set forth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Further Assurances</w:t>
      </w:r>
      <w:r>
        <w:rPr>
          <w:rFonts w:ascii="Times New Roman" w:hAnsi="Times New Roman"/>
          <w:sz w:val="20"/>
        </w:rPr>
        <w:t xml:space="preserve">. Each Stockholder will execute and deliver, or cause to be executed and delivered, all further documents and instruments and use such Stockholder’s reasonable best efforts to take, or cause to be taken, all actions and to do, or cause to be done, all things necessary, proper or advisable under applicable Law, to perform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Stockholder Obligations Several and Not Joint</w:t>
      </w:r>
      <w:r>
        <w:rPr>
          <w:rFonts w:ascii="Times New Roman" w:hAnsi="Times New Roman"/>
          <w:sz w:val="20"/>
        </w:rPr>
        <w:t xml:space="preserve">. Except if a Stockholder is an affiliate of another Stockholder, the obligations of each Stockholder under this Agreement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 </w:t>
            </w:r>
          </w:p>
        </w:tc>
      </w:tr>
      <w:tr>
        <w:trPr/>
        <w:tc>
          <w:tcPr>
            <w:tcW w:w="70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Jim Fogarty</w:t>
            </w:r>
          </w:p>
        </w:tc>
      </w:tr>
      <w:tr>
        <w:trPr/>
        <w:tc>
          <w:tcPr>
            <w:tcW w:w="70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12"/>
        <w:gridCol w:w="156"/>
        <w:gridCol w:w="3448"/>
        <w:gridCol w:w="121"/>
        <w:gridCol w:w="446"/>
        <w:gridCol w:w="121"/>
        <w:gridCol w:w="1040"/>
        <w:gridCol w:w="139"/>
        <w:gridCol w:w="3522"/>
      </w:tblGrid>
      <w:tr>
        <w:trPr/>
        <w:tc>
          <w:tcPr>
            <w:tcW w:w="121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Pr>
          <w:p>
            <w:pPr>
              <w:pStyle w:val="TableContents"/>
              <w:bidi w:val="0"/>
              <w:spacing w:before="0" w:after="283"/>
              <w:jc w:val="left"/>
              <w:rPr>
                <w:b/>
              </w:rPr>
            </w:pPr>
            <w:r>
              <w:rPr>
                <w:b/>
              </w:rPr>
              <w:t>LIONEL F. CONACHER</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01" w:type="dxa"/>
            <w:gridSpan w:val="3"/>
            <w:tcBorders/>
          </w:tcPr>
          <w:p>
            <w:pPr>
              <w:pStyle w:val="TableContents"/>
              <w:bidi w:val="0"/>
              <w:spacing w:before="0" w:after="283"/>
              <w:jc w:val="left"/>
              <w:rPr>
                <w:b/>
              </w:rPr>
            </w:pPr>
            <w:r>
              <w:rPr>
                <w:b/>
              </w:rPr>
              <w:t>WILL MESDAG</w:t>
            </w:r>
          </w:p>
        </w:tc>
      </w:tr>
      <w:tr>
        <w:trPr>
          <w:trHeight w:val="240" w:hRule="atLeast"/>
        </w:trPr>
        <w:tc>
          <w:tcPr>
            <w:tcW w:w="1212"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6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344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522" w:type="dxa"/>
            <w:tcBorders>
              <w:bottom w:val="single" w:sz="2" w:space="0" w:color="000000"/>
            </w:tcBorders>
            <w:tcMar>
              <w:bottom w:w="28" w:type="dxa"/>
            </w:tcMar>
          </w:tcPr>
          <w:p>
            <w:pPr>
              <w:pStyle w:val="TableContents"/>
              <w:bidi w:val="0"/>
              <w:spacing w:before="0" w:after="283"/>
              <w:jc w:val="left"/>
              <w:rPr/>
            </w:pPr>
            <w:r>
              <w:rPr/>
              <w:t> </w:t>
            </w:r>
          </w:p>
        </w:tc>
      </w:tr>
      <w:tr>
        <w:trPr/>
        <w:tc>
          <w:tcPr>
            <w:tcW w:w="1212" w:type="dxa"/>
            <w:tcBorders/>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Email:</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Email:</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9"/>
        <w:gridCol w:w="131"/>
        <w:gridCol w:w="3703"/>
        <w:gridCol w:w="118"/>
        <w:gridCol w:w="479"/>
        <w:gridCol w:w="118"/>
        <w:gridCol w:w="810"/>
        <w:gridCol w:w="118"/>
        <w:gridCol w:w="3789"/>
      </w:tblGrid>
      <w:tr>
        <w:trPr/>
        <w:tc>
          <w:tcPr>
            <w:tcW w:w="93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Pr>
          <w:p>
            <w:pPr>
              <w:pStyle w:val="TableContents"/>
              <w:bidi w:val="0"/>
              <w:spacing w:before="0" w:after="283"/>
              <w:jc w:val="left"/>
              <w:rPr>
                <w:b/>
              </w:rPr>
            </w:pPr>
            <w:r>
              <w:rPr>
                <w:b/>
              </w:rPr>
              <w:t>HARVEY S. KANTER</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17" w:type="dxa"/>
            <w:gridSpan w:val="3"/>
            <w:tcBorders/>
          </w:tcPr>
          <w:p>
            <w:pPr>
              <w:pStyle w:val="TableContents"/>
              <w:bidi w:val="0"/>
              <w:spacing w:before="0" w:after="283"/>
              <w:jc w:val="left"/>
              <w:rPr>
                <w:b/>
              </w:rPr>
            </w:pPr>
            <w:r>
              <w:rPr>
                <w:b/>
              </w:rPr>
              <w:t>IVY ROSS</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597" w:type="dxa"/>
            <w:gridSpan w:val="2"/>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3907"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3703" w:type="dxa"/>
            <w:tcBorders>
              <w:bottom w:val="single" w:sz="2" w:space="0" w:color="000000"/>
            </w:tcBorders>
            <w:tcMar>
              <w:bottom w:w="28" w:type="dxa"/>
            </w:tcMa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9" w:type="dxa"/>
            <w:tcBorders>
              <w:bottom w:val="single" w:sz="2" w:space="0" w:color="000000"/>
            </w:tcBorders>
            <w:tcMar>
              <w:bottom w:w="28" w:type="dxa"/>
            </w:tcMar>
          </w:tcPr>
          <w:p>
            <w:pPr>
              <w:pStyle w:val="TableContents"/>
              <w:bidi w:val="0"/>
              <w:spacing w:before="0" w:after="283"/>
              <w:jc w:val="left"/>
              <w:rPr/>
            </w:pPr>
            <w:r>
              <w:rPr/>
              <w:t> </w:t>
            </w:r>
          </w:p>
        </w:tc>
      </w:tr>
      <w:tr>
        <w:trPr/>
        <w:tc>
          <w:tcPr>
            <w:tcW w:w="939"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Email:</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Email:</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9"/>
        <w:gridCol w:w="132"/>
        <w:gridCol w:w="3654"/>
        <w:gridCol w:w="117"/>
        <w:gridCol w:w="472"/>
        <w:gridCol w:w="117"/>
        <w:gridCol w:w="892"/>
        <w:gridCol w:w="126"/>
        <w:gridCol w:w="3746"/>
      </w:tblGrid>
      <w:tr>
        <w:trPr/>
        <w:tc>
          <w:tcPr>
            <w:tcW w:w="9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Pr>
          <w:p>
            <w:pPr>
              <w:pStyle w:val="TableContents"/>
              <w:bidi w:val="0"/>
              <w:spacing w:before="0" w:after="283"/>
              <w:jc w:val="left"/>
              <w:rPr>
                <w:b/>
              </w:rPr>
            </w:pPr>
            <w:r>
              <w:rPr>
                <w:b/>
              </w:rPr>
              <w:t>CARMEN R. BAUZA</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64" w:type="dxa"/>
            <w:gridSpan w:val="3"/>
            <w:tcBorders/>
          </w:tcPr>
          <w:p>
            <w:pPr>
              <w:pStyle w:val="TableContents"/>
              <w:bidi w:val="0"/>
              <w:spacing w:before="0" w:after="283"/>
              <w:jc w:val="left"/>
              <w:rPr>
                <w:b/>
              </w:rPr>
            </w:pPr>
            <w:r>
              <w:rPr>
                <w:b/>
              </w:rPr>
              <w:t>ELAINE RUBIN</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c>
          <w:tcPr>
            <w:tcW w:w="58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3872"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3746"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Email:</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5"/>
        <w:gridCol w:w="75"/>
        <w:gridCol w:w="3142"/>
      </w:tblGrid>
      <w:tr>
        <w:trPr/>
        <w:tc>
          <w:tcPr>
            <w:tcW w:w="86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 BOYLE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Email:</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0"/>
        <w:gridCol w:w="559"/>
        <w:gridCol w:w="125"/>
        <w:gridCol w:w="2087"/>
        <w:gridCol w:w="60"/>
        <w:gridCol w:w="859"/>
        <w:gridCol w:w="120"/>
        <w:gridCol w:w="60"/>
        <w:gridCol w:w="803"/>
        <w:gridCol w:w="62"/>
      </w:tblGrid>
      <w:tr>
        <w:trPr/>
        <w:tc>
          <w:tcPr>
            <w:tcW w:w="547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559" w:type="dxa"/>
            <w:vMerge w:val="restart"/>
            <w:tcBorders/>
            <w:vAlign w:val="bottom"/>
          </w:tcPr>
          <w:p>
            <w:pPr>
              <w:pStyle w:val="TableContents"/>
              <w:bidi w:val="0"/>
              <w:spacing w:before="0" w:after="283"/>
              <w:jc w:val="left"/>
              <w:rPr/>
            </w:pPr>
            <w:r>
              <w:rPr/>
              <w:t>  </w:t>
            </w:r>
          </w:p>
        </w:tc>
        <w:tc>
          <w:tcPr>
            <w:tcW w:w="221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DXL Common Stock</w:t>
            </w:r>
          </w:p>
        </w:tc>
        <w:tc>
          <w:tcPr>
            <w:tcW w:w="60" w:type="dxa"/>
            <w:vMerge w:val="restart"/>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continue"/>
            <w:tcBorders/>
            <w:shd w:fill="CCEEFF" w:val="clear"/>
            <w:vAlign w:val="bottom"/>
          </w:tcPr>
          <w:p>
            <w:pPr>
              <w:pStyle w:val="Normal"/>
              <w:bidi w:val="0"/>
              <w:jc w:val="left"/>
              <w:rPr/>
            </w:pPr>
            <w:r>
              <w:rPr/>
            </w:r>
          </w:p>
        </w:tc>
        <w:tc>
          <w:tcPr>
            <w:tcW w:w="559" w:type="dxa"/>
            <w:vMerge w:val="continue"/>
            <w:tcBorders/>
            <w:shd w:fill="CCEEFF" w:val="clear"/>
            <w:vAlign w:val="bottom"/>
          </w:tcPr>
          <w:p>
            <w:pPr>
              <w:pStyle w:val="Normal"/>
              <w:bidi w:val="0"/>
              <w:jc w:val="left"/>
              <w:rPr/>
            </w:pPr>
            <w:r>
              <w:rPr/>
            </w:r>
          </w:p>
        </w:tc>
        <w:tc>
          <w:tcPr>
            <w:tcW w:w="2212"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346,312</w:t>
            </w:r>
          </w:p>
        </w:tc>
        <w:tc>
          <w:tcPr>
            <w:tcW w:w="62" w:type="dxa"/>
            <w:tcBorders/>
            <w:shd w:fill="CCEEFF" w:val="clear"/>
            <w:vAlign w:val="bottom"/>
          </w:tcPr>
          <w:p>
            <w:pPr>
              <w:pStyle w:val="TableContents"/>
              <w:bidi w:val="0"/>
              <w:spacing w:before="0" w:after="283"/>
              <w:jc w:val="left"/>
              <w:rPr/>
            </w:pPr>
            <w:r>
              <w:rPr/>
              <w:t> </w:t>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729,857</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118,879</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547,154</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Mesdag</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2,593,758</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Ivy Ross</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275,095</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Rubin</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210,391</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VOTING AGREEMENT - SCHEDULE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Jim Fogarty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w:t>
      </w:r>
    </w:p>
    <w:p>
      <w:pPr>
        <w:pStyle w:val="TextBody"/>
        <w:bidi w:val="0"/>
        <w:spacing w:before="360" w:after="0"/>
        <w:jc w:val="left"/>
        <w:rPr>
          <w:rFonts w:ascii="Times New Roman" w:hAnsi="Times New Roman"/>
          <w:b/>
          <w:sz w:val="20"/>
        </w:rPr>
      </w:pPr>
      <w:r>
        <w:rPr>
          <w:rFonts w:ascii="Times New Roman" w:hAnsi="Times New Roman"/>
          <w:b/>
          <w:sz w:val="20"/>
        </w:rPr>
        <w:t xml:space="preserve">Officers: </w:t>
      </w:r>
    </w:p>
    <w:p>
      <w:pPr>
        <w:pStyle w:val="TextBody"/>
        <w:bidi w:val="0"/>
        <w:spacing w:before="120" w:after="0"/>
        <w:jc w:val="left"/>
        <w:rPr>
          <w:rFonts w:ascii="Times New Roman" w:hAnsi="Times New Roman"/>
          <w:sz w:val="20"/>
        </w:rPr>
      </w:pPr>
      <w:r>
        <w:rPr>
          <w:rFonts w:ascii="Times New Roman" w:hAnsi="Times New Roman"/>
          <w:sz w:val="20"/>
        </w:rPr>
        <w:t xml:space="preserve">Jim Fogarty,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5" w:name="tx76201_90"/>
      <w:bookmarkEnd w:id="225"/>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drawing>
                <wp:inline distT="0" distB="0" distL="0" distR="0">
                  <wp:extent cx="1741805" cy="141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741805" cy="1416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0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Destination XL Group, Inc. (“Destination XL”) and FBB Holdings I, Inc. (“FBB”) intend to enter into an Agreement and Plan of Merger to be dated as of December 11, 2025 (the “Agreement”) pursuant to which Divine Merger Sub I, Inc., a wholly owned subsidiary of Destination XL (“Merger Sub”), will be merged with and into FBB (the “Merger”) and FBB will become a wholly owned subsidiary of Destination XL. Pursuant to the Agreement, each of the issued and outstanding shares of the common stock, par value $0.01 per share, of FBB (“FBB Common Stock”), subject to certain exceptions, will be converted into the right to receive that number of shares of the common stock, par value $0.01 per share, of Destination XL (“DXL Common Stock”) equal to (i) the number of shares of DXL Common Stock outstanding immediately before the Merger multiplied by (y) the quotient of fifty-five per cent (55%) divided by (z) forty-five per cent (45%) then (ii) divided by the number of shares of FBB Common Stock outstanding immediately before the Merger, with the aggregate shares of DXL Common Stock to be issued in the Merger referred to herein as the “Merger Consideration.”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Destination XL;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Destination XL and FBB and their respective businesses and future prospects (including (i) certain financial projections for Destination 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Destination XL and (iv) certain estimates as to potentially realizable benefits under Section 163(j) of the Code (as defined below) available and expected to be utilized by FBB (together, the ”Destination XL-Provided Financial Projections”) and certain other estimates and other forward-looking information), all as prepared by, discussed with and approved for our use by Destination XL’s senior management (collectively with the Synergy Estimates (as defined below), the “Destination 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“FBB-Provided Financial Projections” and together with the Destination XL-Provided Financial Projections, the “Financial Projections”) and certain other estimates and other forward looking information), all as prepared by and discussed with FBB’s senior management and reviewed by, discussed with and approved for our use by Destination XL’s senior management (collectively, the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and discussed with Destination XL’s and FBB’s respective senior management and approved for our use by Destination 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XL’s senior management their strategic and financial rationale for the Merger as well as their views of Destination 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strategic and financial rationale for the Merger as well as their views of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Destination XL, FBB and the Synergies based on the Destination XL-Provided Financial Projections and the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Destination 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Destination XL and FBB and certain trading multiples and the trading activity of the Destination XL Common Stock with corresponding data for certain publicly traded companies that we deemed relevant in evaluating Destination 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Destination 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 or FBB (including, without limitation, the Destination XL-Provided Information and the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Destination XL-Provided Information or the FBB-Provided Information), (ii) express no view or opinion regarding the reasonableness or achievability of the Financial Projections, the Synergy Estimates, any other estimates or any other forward-looking information provided by Destination XL or FBB or the assumptions upon which any of the foregoing are based and (iii) have relied upon the assurances of Destination XL’s senior management that they are (in the case of the Destination XL-Provided Information) and have assumed that FBB’s senior management are (in the case of the FBB-Provided Information) unaware of any facts or circumstances that would make the Destination XL-Provided Information or the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Destination XL’s senior management, and have assumed, that the Destination XL-Provided Financial Projections have been (y) reasonably prepared on bases reflecting the best currently available estimates and judgments of Destination XL’s senior management as to the expected future performance of Destination XL and FBB and (z) reviewed by Destination XL’s Board of Directors with the understanding that such information will be used and relied upon by us in connection with rendering our opinion, (ii) have been advised by Destination XL’s senior management, and have assumed, that the Synergy Estimates have been (y) reasonably prepared on bases reflecting the best currently available estimates and judgments of Destination XL’s and FBB’s respective senior management as to the expected amounts and realization of the Synergies and (z) reviewed by Destination XL’s Board of Directors with the understanding that such information will be used and relied upon by us in connection with rendering our opinion, (iii) have assumed that the FBB-Provided Financial Projections have been reasonably prepared on bases reflecting the best currently available estimates and judgments of FBB’s senior management as to the expected future performance of FBB on a stand-alone basis and (iv) have assumed that any financial projections/forecasts, any other estimates and/or any other forward-looking information obtained by us from public sources, data suppliers and other third parties are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our engagement, we were asked by Destination XL’s Board of Directors to solicit indications of interest from various potential third-party transaction counterparties regarding a potential extraordinary corporate transaction with or involving Destination XL, and we have considered the results of such solicitation process in rendering our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Destination XL, FBB or any other entity or the solvency or fair value of Destination XL, FBB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Destination XL’s senior management, FBB’s senior management and Destination XL’s other professional advisors with respect to such matters. We have assumed that the Merger will qualify, for US federal income tax purposes, as a “reorganization” within the meaning of Section 368(a) of the Internal Revenue Code of 1986, as amended (the “Code”). We are not expressing any view or rendering any opinion regarding the tax consequences of the Merger to Destination XL, FBB or their respective securityholders.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Destination XL, FBB and Merger Sub will comply with all terms and provisions of the Agreement and (iii) the representations and warranties of Destination XL, FBB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Destination XL, FBB or the Merger (including its contemplated benefits) in any way meaningful to our analyses or opinion. Further, in rendering our opinion we have assumed in all respects meaningful to our analyses that concurrently with, but immediately prior to, the Merger, those certain Commitment and Subscription Agreements (as defined in the Agreement) by and between FBB and certain FBB investors will be consummated on the terms and subject to the conditions set forth in such Commitment and Subscription Agreements, such that the aggregate amount of indebtedness of FBB upon consummation of the Merger shall be as reflected in the Destination XL-Provided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Destination XL Common Stock, FBB Common Stock or other securities or financial instruments of or relating to Destination XL or FBB may trade or otherwise be transferable at any time, (ii) the potential effects of volatility in the credit, financial or equity markets on Destination XL or FBB, their respective securities or other financial instruments or the Merger or (iii) the impact of the Merger on the solvency or viability of Destination XL, FBB or Merger Sub or the ability of Destination XL, FBB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Destination XL in connection with the Merger and will receive a customary fee for such services, an installment of which is payable upon the rendering of our opinion and an additional installment may be payable upon successful consummation of the Merger. In addition, Destination XL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 aside from our current engagement by Destination XL, we have not been previously engaged during the past two years by Destination XL to provide financial advisory or investment banking services for which we received fees and (ii) we have not been previously engaged during the past two years by FBB to provide financial advisory or investment banking services for which we received fees, except that we acted as financial advisor to FBB in connection with its July 2024 acquisition of Avenue, for which we received agreed upon fees. We may in the future seek to provide Destination XL and FBB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Destination XL, FBB,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Destination XL, FBB, other participants in the Merger or their respective affiliates. Furthermore, our and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and related entities’ respective directors, officers, employees, consultants and agents may have investments in Destination 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Destination XL, FBB,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Destination XL’s Board of Directors (in its capacity as such) for its information and assistance in connection with its evaluation of the Merger Consideration. Our opinion may not be disclosed publicly, made available to third parties or reproduced, disseminated, quoted from or referred to at any time, in whole or in part, without our prior written consent; provided, however, that this letter may be included in its entirety in any proxy statement to be distributed to the stockholders of Destination XL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Destination XL’s Board of Directors with respect to the Merger, nor does our opinion or any summary of our underlying analyses constitute advice or a recommendation to any stockholder of Destination XL as to how to vote or act in connection with the Merger or otherwise. Our opinion does not address Destination XL’s underlying business or financial decision to pursue or effect the Merger, the relative merits of the Merger as compared to any alternative business or financial strategies that might exist for Destination XL or the effects of any other transaction in which Destination XL might engage. Our opinion addresses only the fairness, from a financial point of view and as of the date hereof, of the Merger Consideration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Destination XL or FBB. Furthermore, we do not express any view or opinion as to the fairness, financial or otherwise, of the amount or nature of any compensation payable to or to be received by any of Destination XL’s or FBB’s directors, officers or employees, or any class of such persons, in connection with the Merger relative to the Merger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2476500" cy="3721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2476500" cy="3721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6" w:name="tx76201_91"/>
      <w:bookmarkEnd w:id="226"/>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240" w:after="0"/>
        <w:jc w:val="left"/>
        <w:rPr>
          <w:rFonts w:ascii="Times New Roman" w:hAnsi="Times New Roman"/>
          <w:sz w:val="20"/>
        </w:rPr>
      </w:pPr>
      <w:r>
        <w:rPr>
          <w:rFonts w:ascii="Times New Roman" w:hAnsi="Times New Roman"/>
          <w:sz w:val="20"/>
        </w:rPr>
        <w:t>Destination XL Group, Inc, a Delaware corporation (the “</w:t>
      </w:r>
      <w:r>
        <w:rPr>
          <w:rFonts w:ascii="Times New Roman" w:hAnsi="Times New Roman"/>
          <w:b/>
          <w:i/>
          <w:sz w:val="20"/>
        </w:rPr>
        <w:t>Corporation</w:t>
      </w:r>
      <w:r>
        <w:rPr>
          <w:rFonts w:ascii="Times New Roman" w:hAnsi="Times New Roman"/>
          <w:sz w:val="20"/>
        </w:rPr>
        <w:t xml:space="preserve">”),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of incorporation of the Corporation is hereby amended by inserting the following at the beginning of Article FOURTH thereof: </w:t>
      </w:r>
    </w:p>
    <w:p>
      <w:pPr>
        <w:pStyle w:val="TextBody"/>
        <w:bidi w:val="0"/>
        <w:spacing w:before="120" w:after="0"/>
        <w:jc w:val="left"/>
        <w:rPr>
          <w:rFonts w:ascii="Times New Roman" w:hAnsi="Times New Roman"/>
          <w:sz w:val="20"/>
        </w:rPr>
      </w:pPr>
      <w:r>
        <w:rPr>
          <w:rFonts w:ascii="Times New Roman" w:hAnsi="Times New Roman"/>
          <w:sz w:val="20"/>
        </w:rPr>
        <w:t>Effective immediately upon the effectiveness of the Certificate of Amendment adding this paragraph to this Restated Certificate of Incorporation (the “</w:t>
      </w:r>
      <w:r>
        <w:rPr>
          <w:rFonts w:ascii="Times New Roman" w:hAnsi="Times New Roman"/>
          <w:b/>
          <w:sz w:val="20"/>
        </w:rPr>
        <w:t>Effective Time</w:t>
      </w:r>
      <w:r>
        <w:rPr>
          <w:rFonts w:ascii="Times New Roman" w:hAnsi="Times New Roman"/>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sz w:val="20"/>
        </w:rPr>
        <w:t>Reverse Split</w:t>
      </w:r>
      <w:r>
        <w:rPr>
          <w:rFonts w:ascii="Times New Roman" w:hAnsi="Times New Roman"/>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sz w:val="20"/>
        </w:rPr>
        <w:t>Old Certificate</w:t>
      </w:r>
      <w:r>
        <w:rPr>
          <w:rFonts w:ascii="Times New Roman" w:hAnsi="Times New Roman"/>
          <w:sz w:val="20"/>
        </w:rPr>
        <w:t xml:space="preserve">”) is surrendered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w:t>
      </w:r>
      <w:r>
        <w:rPr>
          <w:rFonts w:ascii="Times New Roman" w:hAnsi="Times New Roman"/>
          <w:sz w:val="20"/>
        </w:rPr>
        <w:t xml:space="preserve">This Certificate of Amendment shall be effective on ______ __, 2026 at __:__ </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p</w:t>
      </w:r>
      <w:r>
        <w:rPr>
          <w:rFonts w:ascii="Times New Roman" w:hAnsi="Times New Roman"/>
          <w:b/>
          <w:sz w:val="20"/>
        </w:rPr>
        <w:t>]</w:t>
      </w:r>
      <w:r>
        <w:rPr>
          <w:rFonts w:ascii="Times New Roman" w:hAnsi="Times New Roman"/>
          <w:sz w:val="20"/>
        </w:rPr>
        <w:t>.m. Eastern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acknowledged this certificate on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3"/>
        <w:gridCol w:w="233"/>
        <w:gridCol w:w="2586"/>
      </w:tblGrid>
      <w:tr>
        <w:trPr/>
        <w:tc>
          <w:tcPr>
            <w:tcW w:w="126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DESTINATION XL GROUP, INC.</w:t>
            </w:r>
          </w:p>
        </w:tc>
      </w:tr>
      <w:tr>
        <w:trPr>
          <w:trHeight w:val="240" w:hRule="atLeast"/>
        </w:trPr>
        <w:tc>
          <w:tcPr>
            <w:tcW w:w="1263" w:type="dxa"/>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By: </w:t>
            </w:r>
          </w:p>
        </w:tc>
        <w:tc>
          <w:tcPr>
            <w:tcW w:w="2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8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7" w:name="tx76201_92"/>
      <w:bookmarkEnd w:id="227"/>
      <w:r>
        <w:rPr>
          <w:rFonts w:ascii="Times New Roman" w:hAnsi="Times New Roman"/>
          <w:b/>
          <w:sz w:val="20"/>
        </w:rPr>
        <w:t xml:space="preserve">ANNEX D </w:t>
      </w:r>
    </w:p>
    <w:p>
      <w:pPr>
        <w:pStyle w:val="TextBody"/>
        <w:bidi w:val="0"/>
        <w:spacing w:before="240" w:after="0"/>
        <w:jc w:val="left"/>
        <w:rPr>
          <w:rFonts w:ascii="Times New Roman" w:hAnsi="Times New Roman"/>
          <w:sz w:val="20"/>
        </w:rPr>
      </w:pPr>
      <w:r>
        <w:rPr>
          <w:rFonts w:ascii="Times New Roman" w:hAnsi="Times New Roman"/>
          <w:sz w:val="20"/>
          <w:u w:val="single"/>
        </w:rPr>
        <w:t>Explanatory Note</w:t>
      </w:r>
      <w:r>
        <w:rPr>
          <w:rFonts w:ascii="Times New Roman" w:hAnsi="Times New Roman"/>
          <w:sz w:val="20"/>
        </w:rPr>
        <w:t xml:space="preserve">: This Annex D contains a copy of the Destination XL Group, Inc. Second Amended and Restated 2016 Incentive Compensation Plan as proposed to be amended by Proposal 3 included in this Proxy Statement to which this Annex D is attached. </w:t>
      </w:r>
    </w:p>
    <w:p>
      <w:pPr>
        <w:pStyle w:val="TextBody"/>
        <w:bidi w:val="0"/>
        <w:spacing w:before="240" w:after="0"/>
        <w:jc w:val="left"/>
        <w:rPr>
          <w:rFonts w:ascii="Times New Roman" w:hAnsi="Times New Roman"/>
          <w:sz w:val="20"/>
        </w:rPr>
      </w:pPr>
      <w:r>
        <w:rPr>
          <w:rFonts w:ascii="Times New Roman" w:hAnsi="Times New Roman"/>
          <w:sz w:val="20"/>
          <w:u w:val="single"/>
        </w:rPr>
        <w:t>Editing Guide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Proposed additions are shown in blue, bold and as underlined text; </w:t>
      </w:r>
    </w:p>
    <w:p>
      <w:pPr>
        <w:pStyle w:val="TextBody"/>
        <w:bidi w:val="0"/>
        <w:spacing w:before="0" w:after="0"/>
        <w:jc w:val="left"/>
        <w:rPr>
          <w:rFonts w:ascii="Times New Roman" w:hAnsi="Times New Roman"/>
          <w:sz w:val="20"/>
        </w:rPr>
      </w:pPr>
      <w:r>
        <w:rPr>
          <w:rFonts w:ascii="Times New Roman" w:hAnsi="Times New Roman"/>
          <w:sz w:val="20"/>
        </w:rPr>
        <w:t xml:space="preserve">Proposed deletions are shown in red, bold and as strike-throughs; and </w:t>
      </w:r>
    </w:p>
    <w:p>
      <w:pPr>
        <w:pStyle w:val="TextBody"/>
        <w:bidi w:val="0"/>
        <w:spacing w:before="0" w:after="0"/>
        <w:jc w:val="left"/>
        <w:rPr>
          <w:rFonts w:ascii="Times New Roman" w:hAnsi="Times New Roman"/>
          <w:sz w:val="20"/>
        </w:rPr>
      </w:pPr>
      <w:r>
        <w:rPr>
          <w:rFonts w:ascii="Times New Roman" w:hAnsi="Times New Roman"/>
          <w:sz w:val="20"/>
        </w:rPr>
        <w:t>Existing text, which has been moved, is shown in green, as lighter bold with underlined text or strike-through, as applicable.</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AS AMENDED EFFECTIVE (</w:t>
      </w:r>
      <w:r>
        <w:rPr>
          <w:rFonts w:ascii="Times New Roman" w:hAnsi="Times New Roman"/>
          <w:b/>
          <w:color w:val="0000FF"/>
          <w:sz w:val="20"/>
          <w:u w:val="single"/>
          <w:bdr w:val="double" w:sz="2" w:space="1" w:color="000000"/>
        </w:rPr>
        <w:t>[XXX, XX, 2026]</w:t>
      </w:r>
      <w:r>
        <w:rPr>
          <w:rFonts w:ascii="Times New Roman" w:hAnsi="Times New Roman"/>
          <w:b/>
          <w:color w:val="0000FF"/>
          <w:sz w:val="20"/>
        </w:rPr>
        <w:t xml:space="preserve"> </w:t>
      </w:r>
      <w:r>
        <w:rPr>
          <w:rFonts w:ascii="Times New Roman" w:hAnsi="Times New Roman"/>
          <w:b/>
          <w:strike/>
          <w:color w:val="FF0000"/>
          <w:sz w:val="20"/>
          <w:u w:val="single"/>
        </w:rPr>
        <w:t>AUGUST 8, 2024</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AMENDED</w:t>
      </w:r>
      <w:r>
        <w:rPr>
          <w:rFonts w:ascii="Times New Roman" w:hAnsi="Times New Roman"/>
          <w:b/>
          <w:sz w:val="20"/>
        </w:rPr>
        <w:t xml:space="preserve"> EFFECTIVE ([XXX, XX,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
        <w:gridCol w:w="111"/>
        <w:gridCol w:w="8959"/>
        <w:gridCol w:w="128"/>
        <w:gridCol w:w="60"/>
        <w:gridCol w:w="525"/>
        <w:gridCol w:w="65"/>
      </w:tblGrid>
      <w:tr>
        <w:trPr/>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9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b/>
              </w:rPr>
            </w:pPr>
            <w:r>
              <w:rPr>
                <w:b/>
              </w:rPr>
              <w:t>1.</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99">
              <w:r>
                <w:rPr>
                  <w:rStyle w:val="InternetLink"/>
                  <w:rFonts w:ascii="Times New Roman" w:hAnsi="Times New Roman"/>
                  <w:b/>
                  <w:sz w:val="20"/>
                </w:rPr>
                <w:t>Purpose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2.</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0">
              <w:r>
                <w:rPr>
                  <w:rStyle w:val="InternetLink"/>
                  <w:rFonts w:ascii="Times New Roman" w:hAnsi="Times New Roman"/>
                  <w:b/>
                  <w:sz w:val="20"/>
                </w:rPr>
                <w:t>Definitions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3.</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1">
              <w:r>
                <w:rPr>
                  <w:rStyle w:val="InternetLink"/>
                  <w:rFonts w:ascii="Times New Roman" w:hAnsi="Times New Roman"/>
                  <w:b/>
                  <w:sz w:val="20"/>
                </w:rPr>
                <w:t>Administration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D-7</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4.</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2">
              <w:r>
                <w:rPr>
                  <w:rStyle w:val="InternetLink"/>
                  <w:rFonts w:ascii="Times New Roman" w:hAnsi="Times New Roman"/>
                  <w:b/>
                  <w:sz w:val="20"/>
                </w:rPr>
                <w:t>Shares Subject to Plan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5.</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3">
              <w:r>
                <w:rPr>
                  <w:rStyle w:val="InternetLink"/>
                  <w:rFonts w:ascii="Times New Roman" w:hAnsi="Times New Roman"/>
                  <w:b/>
                  <w:sz w:val="20"/>
                </w:rPr>
                <w:t>Eligibility; Per-Participation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6.</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4">
              <w:r>
                <w:rPr>
                  <w:rStyle w:val="InternetLink"/>
                  <w:rFonts w:ascii="Times New Roman" w:hAnsi="Times New Roman"/>
                  <w:b/>
                  <w:sz w:val="20"/>
                </w:rPr>
                <w:t>Award Vesting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7.</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5">
              <w:r>
                <w:rPr>
                  <w:rStyle w:val="InternetLink"/>
                  <w:rFonts w:ascii="Times New Roman" w:hAnsi="Times New Roman"/>
                  <w:b/>
                  <w:sz w:val="20"/>
                </w:rPr>
                <w:t>Specific Terms of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D-10</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8.</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6">
              <w:r>
                <w:rPr>
                  <w:rStyle w:val="InternetLink"/>
                  <w:rFonts w:ascii="Times New Roman" w:hAnsi="Times New Roman"/>
                  <w:b/>
                  <w:sz w:val="20"/>
                </w:rPr>
                <w:t>Certain Provisions Applicable to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D-15</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9.</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7">
              <w:r>
                <w:rPr>
                  <w:rStyle w:val="InternetLink"/>
                  <w:rFonts w:ascii="Times New Roman" w:hAnsi="Times New Roman"/>
                  <w:b/>
                  <w:sz w:val="20"/>
                </w:rPr>
                <w:t>Change in Control</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10.</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8">
              <w:r>
                <w:rPr>
                  <w:rStyle w:val="InternetLink"/>
                  <w:rFonts w:ascii="Times New Roman" w:hAnsi="Times New Roman"/>
                  <w:b/>
                  <w:sz w:val="20"/>
                </w:rPr>
                <w:t>General Provisions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EFFECTIVE ([XXX, XX,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8" w:name="tx76201_99"/>
            <w:bookmarkEnd w:id="228"/>
            <w:r>
              <w:rPr>
                <w:b/>
                <w:i/>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and </w:t>
            </w:r>
            <w:r>
              <w:rPr>
                <w:rFonts w:ascii="Times New Roman" w:hAnsi="Times New Roman"/>
                <w:sz w:val="20"/>
              </w:rPr>
              <w:t xml:space="preserve">August 5, 2021 </w:t>
            </w:r>
            <w:r>
              <w:rPr>
                <w:rFonts w:ascii="Times New Roman" w:hAnsi="Times New Roman"/>
                <w:b/>
                <w:color w:val="0000FF"/>
                <w:sz w:val="20"/>
                <w:u w:val="single"/>
                <w:bdr w:val="double" w:sz="2" w:space="1" w:color="000000"/>
              </w:rPr>
              <w:t>and August 8,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9" w:name="tx76201_100"/>
            <w:bookmarkEnd w:id="229"/>
            <w:r>
              <w:rPr>
                <w:b/>
                <w:i/>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For purposes of the Plan, the following terms shall be defined as set forth below, in addition to such terms defined in Section 1 hereof and elsewhere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pPr>
            <w:r>
              <w:rPr/>
              <w:t>“</w:t>
            </w:r>
            <w:r>
              <w:rPr>
                <w:rFonts w:ascii="Times New Roman" w:hAnsi="Times New Roman"/>
                <w:b/>
                <w:i/>
                <w:sz w:val="20"/>
              </w:rPr>
              <w:t>Award</w:t>
            </w:r>
            <w:r>
              <w:rPr>
                <w:rFonts w:ascii="Times New Roman" w:hAnsi="Times New Roman"/>
                <w:sz w:val="20"/>
              </w:rPr>
              <w:t xml:space="preserve">”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w:t>
            </w:r>
            <w:r>
              <w:rPr>
                <w:rFonts w:ascii="Times New Roman" w:hAnsi="Times New Roman"/>
                <w:b/>
                <w:i/>
                <w:sz w:val="20"/>
              </w:rPr>
              <w:t>Award Agreement</w:t>
            </w:r>
            <w:r>
              <w:rPr>
                <w:rFonts w:ascii="Times New Roman" w:hAnsi="Times New Roman"/>
                <w:sz w:val="20"/>
              </w:rPr>
              <w:t xml:space="preserve">” means any written agreement, contract or other instrument or document evidencing any Award granted by the Committee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pPr>
            <w:r>
              <w:rPr/>
              <w:t>“</w:t>
            </w:r>
            <w:r>
              <w:rPr>
                <w:rFonts w:ascii="Times New Roman" w:hAnsi="Times New Roman"/>
                <w:b/>
                <w:i/>
                <w:sz w:val="20"/>
              </w:rPr>
              <w:t>Beneficiary</w:t>
            </w:r>
            <w:r>
              <w:rPr>
                <w:rFonts w:ascii="Times New Roman" w:hAnsi="Times New Roman"/>
                <w:sz w:val="20"/>
              </w:rPr>
              <w:t xml:space="preserve">”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shall have the meaning ascribed to such term in Rule 13d-3 under the Exchange Act and any successor to such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pPr>
            <w:r>
              <w:rPr/>
              <w:t>“</w:t>
            </w:r>
            <w:r>
              <w:rPr>
                <w:rFonts w:ascii="Times New Roman" w:hAnsi="Times New Roman"/>
                <w:b/>
                <w:i/>
                <w:sz w:val="20"/>
              </w:rPr>
              <w:t>Board</w:t>
            </w:r>
            <w:r>
              <w:rPr>
                <w:rFonts w:ascii="Times New Roman" w:hAnsi="Times New Roman"/>
                <w:sz w:val="20"/>
              </w:rPr>
              <w:t xml:space="preserve">” means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pPr>
            <w:r>
              <w:rPr/>
              <w:t>“</w:t>
            </w:r>
            <w:r>
              <w:rPr>
                <w:rFonts w:ascii="Times New Roman" w:hAnsi="Times New Roman"/>
                <w:b/>
                <w:i/>
                <w:sz w:val="20"/>
              </w:rPr>
              <w:t>Change in Control</w:t>
            </w:r>
            <w:r>
              <w:rPr>
                <w:rFonts w:ascii="Times New Roman" w:hAnsi="Times New Roman"/>
                <w:sz w:val="20"/>
              </w:rPr>
              <w:t xml:space="preserve">” means a Change in Control as defined in Section 9(b)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including regulations thereunder and successor provisions and regulations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pPr>
            <w:r>
              <w:rPr/>
              <w:t>“</w:t>
            </w:r>
            <w:r>
              <w:rPr>
                <w:rFonts w:ascii="Times New Roman" w:hAnsi="Times New Roman"/>
                <w:b/>
                <w:i/>
                <w:sz w:val="20"/>
              </w:rPr>
              <w:t>Committee</w:t>
            </w:r>
            <w:r>
              <w:rPr>
                <w:rFonts w:ascii="Times New Roman" w:hAnsi="Times New Roman"/>
                <w:sz w:val="20"/>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(ii)”Independent”; provided, however, the failure of the Committee to be so comprised shall not invalidate any Award that otherwise satisfies the terms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w:t>
            </w:r>
            <w:r>
              <w:rPr>
                <w:rFonts w:ascii="Times New Roman" w:hAnsi="Times New Roman"/>
                <w:b/>
                <w:i/>
                <w:sz w:val="20"/>
              </w:rPr>
              <w:t>Consultant</w:t>
            </w:r>
            <w:r>
              <w:rPr>
                <w:rFonts w:ascii="Times New Roman" w:hAnsi="Times New Roman"/>
                <w:sz w:val="20"/>
              </w:rPr>
              <w:t xml:space="preserve">” means any person (other than an Employee or a Director, solely with respect to rendering services in such person’s capacity as a Director) who is engaged by the Company or any Related Entity to render consulting or advisory services to the Company or such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pPr>
            <w:r>
              <w:rPr/>
              <w:t>“</w:t>
            </w:r>
            <w:r>
              <w:rPr>
                <w:rFonts w:ascii="Times New Roman" w:hAnsi="Times New Roman"/>
                <w:b/>
                <w:i/>
                <w:sz w:val="20"/>
              </w:rPr>
              <w:t>Continuous Service”</w:t>
            </w:r>
            <w:r>
              <w:rPr>
                <w:rFonts w:ascii="Times New Roman" w:hAnsi="Times New Roman"/>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pPr>
            <w:r>
              <w:rPr/>
              <w:t>“</w:t>
            </w:r>
            <w:r>
              <w:rPr>
                <w:rFonts w:ascii="Times New Roman" w:hAnsi="Times New Roman"/>
                <w:b/>
                <w:i/>
                <w:sz w:val="20"/>
              </w:rPr>
              <w:t>Deferred Stock</w:t>
            </w:r>
            <w:r>
              <w:rPr>
                <w:rFonts w:ascii="Times New Roman" w:hAnsi="Times New Roman"/>
                <w:sz w:val="20"/>
              </w:rPr>
              <w:t xml:space="preserve">” means a right to receive Shares, cash measured based upon the value of Shares or a combination thereof, at the end of a specified deferral period, which right is not subject to a substantial risk of forfeiture (other than the potential clawback of benefits under Section 8(f)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pPr>
            <w:r>
              <w:rPr/>
              <w:t>“</w:t>
            </w:r>
            <w:r>
              <w:rPr>
                <w:rFonts w:ascii="Times New Roman" w:hAnsi="Times New Roman"/>
                <w:b/>
                <w:i/>
                <w:sz w:val="20"/>
              </w:rPr>
              <w:t>Deferred Award</w:t>
            </w:r>
            <w:r>
              <w:rPr>
                <w:rFonts w:ascii="Times New Roman" w:hAnsi="Times New Roman"/>
                <w:sz w:val="20"/>
              </w:rPr>
              <w:t xml:space="preserve">” means an Award of Deferred Stock or Restricted Stock Units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pPr>
            <w:r>
              <w:rPr/>
              <w:t>“</w:t>
            </w:r>
            <w:r>
              <w:rPr>
                <w:rFonts w:ascii="Times New Roman" w:hAnsi="Times New Roman"/>
                <w:b/>
                <w:i/>
                <w:sz w:val="20"/>
              </w:rPr>
              <w:t>Director</w:t>
            </w:r>
            <w:r>
              <w:rPr>
                <w:rFonts w:ascii="Times New Roman" w:hAnsi="Times New Roman"/>
                <w:sz w:val="20"/>
              </w:rPr>
              <w:t xml:space="preserve">” means a member of the Board or the board of directors of any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pPr>
            <w:r>
              <w:rPr/>
              <w:t>“</w:t>
            </w:r>
            <w:r>
              <w:rPr>
                <w:rFonts w:ascii="Times New Roman" w:hAnsi="Times New Roman"/>
                <w:b/>
                <w:i/>
                <w:sz w:val="20"/>
              </w:rPr>
              <w:t>Disability</w:t>
            </w:r>
            <w:r>
              <w:rPr>
                <w:rFonts w:ascii="Times New Roman" w:hAnsi="Times New Roman"/>
                <w:sz w:val="20"/>
              </w:rPr>
              <w:t xml:space="preserve">” means a permanent and total disability (within the meaning of Section 22(e) of the Code), as determined by a medical doctor satisfactory to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(o)</w:t>
            </w:r>
          </w:p>
        </w:tc>
        <w:tc>
          <w:tcPr>
            <w:tcW w:w="8881" w:type="dxa"/>
            <w:tcBorders/>
          </w:tcPr>
          <w:p>
            <w:pPr>
              <w:pStyle w:val="TableContents"/>
              <w:bidi w:val="0"/>
              <w:spacing w:before="0" w:after="0"/>
              <w:jc w:val="left"/>
              <w:rPr/>
            </w:pPr>
            <w:r>
              <w:rPr/>
              <w:t>“</w:t>
            </w:r>
            <w:r>
              <w:rPr>
                <w:rFonts w:ascii="Times New Roman" w:hAnsi="Times New Roman"/>
                <w:b/>
                <w:i/>
                <w:sz w:val="20"/>
              </w:rPr>
              <w:t>Dividend Equivalent</w:t>
            </w:r>
            <w:r>
              <w:rPr>
                <w:rFonts w:ascii="Times New Roman" w:hAnsi="Times New Roman"/>
                <w:sz w:val="20"/>
              </w:rPr>
              <w:t xml:space="preserve">” means a right, granted to a Participant under Section 7(g) hereof, to receive cash, Shares, other Awards or other property equal in value to dividends paid with respect to a specified number of Shares, or other periodic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(p)</w:t>
            </w:r>
          </w:p>
        </w:tc>
        <w:tc>
          <w:tcPr>
            <w:tcW w:w="8882" w:type="dxa"/>
            <w:tcBorders/>
          </w:tcPr>
          <w:p>
            <w:pPr>
              <w:pStyle w:val="TableContents"/>
              <w:bidi w:val="0"/>
              <w:spacing w:before="0" w:after="0"/>
              <w:jc w:val="left"/>
              <w:rPr/>
            </w:pPr>
            <w:r>
              <w:rPr/>
              <w:t>“</w:t>
            </w:r>
            <w:r>
              <w:rPr>
                <w:rFonts w:ascii="Times New Roman" w:hAnsi="Times New Roman"/>
                <w:b/>
                <w:i/>
                <w:sz w:val="20"/>
              </w:rPr>
              <w:t>Effective Date</w:t>
            </w:r>
            <w:r>
              <w:rPr>
                <w:rFonts w:ascii="Times New Roman" w:hAnsi="Times New Roman"/>
                <w:sz w:val="20"/>
              </w:rPr>
              <w:t xml:space="preserve">” means the effective date of the Plan, which shall be the Shareholder Approval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i/>
                <w:sz w:val="20"/>
              </w:rPr>
              <w:t>Eligible Person</w:t>
            </w:r>
            <w:r>
              <w:rPr>
                <w:rFonts w:ascii="Times New Roman" w:hAnsi="Times New Roman"/>
                <w:sz w:val="20"/>
              </w:rPr>
              <w:t xml:space="preserve">”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2" w:type="dxa"/>
            <w:tcBorders/>
          </w:tcPr>
          <w:p>
            <w:pPr>
              <w:pStyle w:val="TableContents"/>
              <w:bidi w:val="0"/>
              <w:spacing w:before="0" w:after="0"/>
              <w:jc w:val="left"/>
              <w:rPr/>
            </w:pPr>
            <w:r>
              <w:rPr/>
              <w:t>“</w:t>
            </w:r>
            <w:r>
              <w:rPr>
                <w:rFonts w:ascii="Times New Roman" w:hAnsi="Times New Roman"/>
                <w:b/>
                <w:i/>
                <w:sz w:val="20"/>
              </w:rPr>
              <w:t>Employee</w:t>
            </w:r>
            <w:r>
              <w:rPr>
                <w:rFonts w:ascii="Times New Roman" w:hAnsi="Times New Roman"/>
                <w:sz w:val="20"/>
              </w:rPr>
              <w:t xml:space="preserve">”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from time to time, including rules thereunder and successor provisions and rules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(t)</w:t>
            </w:r>
          </w:p>
        </w:tc>
        <w:tc>
          <w:tcPr>
            <w:tcW w:w="8881" w:type="dxa"/>
            <w:tcBorders/>
          </w:tcPr>
          <w:p>
            <w:pPr>
              <w:pStyle w:val="TableContents"/>
              <w:bidi w:val="0"/>
              <w:spacing w:before="0" w:after="0"/>
              <w:jc w:val="left"/>
              <w:rPr/>
            </w:pPr>
            <w:r>
              <w:rPr/>
              <w:t>“</w:t>
            </w:r>
            <w:r>
              <w:rPr>
                <w:rFonts w:ascii="Times New Roman" w:hAnsi="Times New Roman"/>
                <w:b/>
                <w:i/>
                <w:sz w:val="20"/>
              </w:rPr>
              <w:t>Fair Market Value</w:t>
            </w:r>
            <w:r>
              <w:rPr>
                <w:rFonts w:ascii="Times New Roman" w:hAnsi="Times New Roman"/>
                <w:sz w:val="20"/>
              </w:rPr>
              <w:t xml:space="preserve">” means the fair market value of Shares, Awards or other property on the date as of which the value is being determined, as determined by the Committee, or under procedures established by the Committee. Unless otherwise determined by the Committee,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pPr>
            <w:r>
              <w:rPr/>
              <w:t>“</w:t>
            </w:r>
            <w:r>
              <w:rPr>
                <w:rFonts w:ascii="Times New Roman" w:hAnsi="Times New Roman"/>
                <w:b/>
                <w:i/>
                <w:sz w:val="20"/>
              </w:rPr>
              <w:t>Full Value Award</w:t>
            </w:r>
            <w:r>
              <w:rPr>
                <w:rFonts w:ascii="Times New Roman" w:hAnsi="Times New Roman"/>
                <w:sz w:val="20"/>
              </w:rPr>
              <w:t xml:space="preserve">” means any Award other than an option or a Stock Appreciation Right and that is settled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b/>
                <w:i/>
                <w:sz w:val="20"/>
              </w:rPr>
              <w:t>Good Reason</w:t>
            </w:r>
            <w:r>
              <w:rPr>
                <w:rFonts w:ascii="Times New Roman" w:hAnsi="Times New Roman"/>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79" w:type="dxa"/>
            <w:tcBorders/>
          </w:tcPr>
          <w:p>
            <w:pPr>
              <w:pStyle w:val="TableContents"/>
              <w:bidi w:val="0"/>
              <w:spacing w:before="0" w:after="0"/>
              <w:jc w:val="left"/>
              <w:rPr/>
            </w:pPr>
            <w:r>
              <w:rPr/>
              <w:t>“</w:t>
            </w:r>
            <w:r>
              <w:rPr>
                <w:rFonts w:ascii="Times New Roman" w:hAnsi="Times New Roman"/>
                <w:b/>
                <w:i/>
                <w:sz w:val="20"/>
              </w:rPr>
              <w:t>Incentive Stock Option</w:t>
            </w:r>
            <w:r>
              <w:rPr>
                <w:rFonts w:ascii="Times New Roman" w:hAnsi="Times New Roman"/>
                <w:sz w:val="20"/>
              </w:rPr>
              <w:t xml:space="preserve">” means any Option intended to be designated as an incentive stock option within the meaning of Section 422 of the Code or any successor provision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pPr>
            <w:r>
              <w:rPr/>
              <w:t>“</w:t>
            </w:r>
            <w:r>
              <w:rPr>
                <w:rFonts w:ascii="Times New Roman" w:hAnsi="Times New Roman"/>
                <w:b/>
                <w:i/>
                <w:sz w:val="20"/>
              </w:rPr>
              <w:t>Independent</w:t>
            </w:r>
            <w:r>
              <w:rPr>
                <w:rFonts w:ascii="Times New Roman" w:hAnsi="Times New Roman"/>
                <w:sz w:val="20"/>
              </w:rPr>
              <w:t xml:space="preserve">”,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(y)</w:t>
            </w:r>
          </w:p>
        </w:tc>
        <w:tc>
          <w:tcPr>
            <w:tcW w:w="8881" w:type="dxa"/>
            <w:tcBorders/>
          </w:tcPr>
          <w:p>
            <w:pPr>
              <w:pStyle w:val="TableContents"/>
              <w:bidi w:val="0"/>
              <w:spacing w:before="0" w:after="0"/>
              <w:jc w:val="left"/>
              <w:rPr/>
            </w:pPr>
            <w:r>
              <w:rPr/>
              <w:t>“</w:t>
            </w:r>
            <w:r>
              <w:rPr>
                <w:rFonts w:ascii="Times New Roman" w:hAnsi="Times New Roman"/>
                <w:b/>
                <w:i/>
                <w:sz w:val="20"/>
              </w:rPr>
              <w:t>Incumbent Board</w:t>
            </w:r>
            <w:r>
              <w:rPr>
                <w:rFonts w:ascii="Times New Roman" w:hAnsi="Times New Roman"/>
                <w:sz w:val="20"/>
              </w:rPr>
              <w:t xml:space="preserve">” means the Incumbent Board as defined in Section 9(b)(ii)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(z)</w:t>
            </w:r>
          </w:p>
        </w:tc>
        <w:tc>
          <w:tcPr>
            <w:tcW w:w="8879" w:type="dxa"/>
            <w:tcBorders/>
          </w:tcPr>
          <w:p>
            <w:pPr>
              <w:pStyle w:val="TableContents"/>
              <w:bidi w:val="0"/>
              <w:spacing w:before="0" w:after="0"/>
              <w:jc w:val="left"/>
              <w:rPr/>
            </w:pPr>
            <w:r>
              <w:rPr/>
              <w:t>“</w:t>
            </w:r>
            <w:r>
              <w:rPr>
                <w:rFonts w:ascii="Times New Roman" w:hAnsi="Times New Roman"/>
                <w:b/>
                <w:i/>
                <w:sz w:val="20"/>
              </w:rPr>
              <w:t>Justifiable Cause</w:t>
            </w:r>
            <w:r>
              <w:rPr>
                <w:rFonts w:ascii="Times New Roman" w:hAnsi="Times New Roman"/>
                <w:sz w:val="20"/>
              </w:rPr>
              <w:t xml:space="preserve">”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pPr>
            <w:r>
              <w:rPr/>
              <w:t>“</w:t>
            </w:r>
            <w:r>
              <w:rPr>
                <w:rFonts w:ascii="Times New Roman" w:hAnsi="Times New Roman"/>
                <w:b/>
                <w:i/>
                <w:sz w:val="20"/>
              </w:rPr>
              <w:t>Listing Market</w:t>
            </w:r>
            <w:r>
              <w:rPr>
                <w:rFonts w:ascii="Times New Roman" w:hAnsi="Times New Roman"/>
                <w:sz w:val="20"/>
              </w:rPr>
              <w:t xml:space="preserve">” means the NASDAQ Stock Market or any national securities exchange on which the Company’s securities are listed for trading and, if not listed for trading on the NASDAQ Stock Market or a national securities exchange, then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pPr>
            <w:r>
              <w:rPr/>
              <w:t>“</w:t>
            </w:r>
            <w:r>
              <w:rPr>
                <w:rFonts w:ascii="Times New Roman" w:hAnsi="Times New Roman"/>
                <w:b/>
                <w:i/>
                <w:sz w:val="20"/>
              </w:rPr>
              <w:t>Option</w:t>
            </w:r>
            <w:r>
              <w:rPr>
                <w:rFonts w:ascii="Times New Roman" w:hAnsi="Times New Roman"/>
                <w:sz w:val="20"/>
              </w:rPr>
              <w:t xml:space="preserve">” means a right granted to a Participant under Section 7(b) hereof, to purchase Shares or other Awards at a specified price during specified time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(cc)</w:t>
            </w:r>
          </w:p>
        </w:tc>
        <w:tc>
          <w:tcPr>
            <w:tcW w:w="8879" w:type="dxa"/>
            <w:tcBorders/>
          </w:tcPr>
          <w:p>
            <w:pPr>
              <w:pStyle w:val="TableContents"/>
              <w:bidi w:val="0"/>
              <w:spacing w:before="0" w:after="0"/>
              <w:jc w:val="left"/>
              <w:rPr/>
            </w:pPr>
            <w:r>
              <w:rPr/>
              <w:t>“</w:t>
            </w:r>
            <w:r>
              <w:rPr>
                <w:rFonts w:ascii="Times New Roman" w:hAnsi="Times New Roman"/>
                <w:b/>
                <w:i/>
                <w:sz w:val="20"/>
              </w:rPr>
              <w:t>Optionee</w:t>
            </w:r>
            <w:r>
              <w:rPr>
                <w:rFonts w:ascii="Times New Roman" w:hAnsi="Times New Roman"/>
                <w:sz w:val="20"/>
              </w:rPr>
              <w:t xml:space="preserve">” means a person to whom an Option is granted under this Plan or any person who succeeds to the rights of such person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(dd)</w:t>
            </w:r>
          </w:p>
        </w:tc>
        <w:tc>
          <w:tcPr>
            <w:tcW w:w="8880" w:type="dxa"/>
            <w:tcBorders/>
          </w:tcPr>
          <w:p>
            <w:pPr>
              <w:pStyle w:val="TableContents"/>
              <w:bidi w:val="0"/>
              <w:spacing w:before="0" w:after="0"/>
              <w:jc w:val="left"/>
              <w:rPr/>
            </w:pPr>
            <w:r>
              <w:rPr/>
              <w:t>“</w:t>
            </w:r>
            <w:r>
              <w:rPr>
                <w:rFonts w:ascii="Times New Roman" w:hAnsi="Times New Roman"/>
                <w:b/>
                <w:i/>
                <w:sz w:val="20"/>
              </w:rPr>
              <w:t>Other Stock-Based Awards</w:t>
            </w:r>
            <w:r>
              <w:rPr>
                <w:rFonts w:ascii="Times New Roman" w:hAnsi="Times New Roman"/>
                <w:sz w:val="20"/>
              </w:rPr>
              <w:t xml:space="preserve">” means Awards granted to a Participant under Section 7(i)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(ee)</w:t>
            </w:r>
          </w:p>
        </w:tc>
        <w:tc>
          <w:tcPr>
            <w:tcW w:w="8880" w:type="dxa"/>
            <w:tcBorders/>
          </w:tcPr>
          <w:p>
            <w:pPr>
              <w:pStyle w:val="TableContents"/>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a person who has been granted an Award under the Plan which remains outstanding, including a person who is no longer an Eligible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(ff)</w:t>
            </w:r>
          </w:p>
        </w:tc>
        <w:tc>
          <w:tcPr>
            <w:tcW w:w="8881" w:type="dxa"/>
            <w:tcBorders/>
          </w:tcPr>
          <w:p>
            <w:pPr>
              <w:pStyle w:val="TableContents"/>
              <w:bidi w:val="0"/>
              <w:spacing w:before="0" w:after="0"/>
              <w:jc w:val="left"/>
              <w:rPr/>
            </w:pPr>
            <w:r>
              <w:rPr/>
              <w:t>“</w:t>
            </w:r>
            <w:r>
              <w:rPr>
                <w:rFonts w:ascii="Times New Roman" w:hAnsi="Times New Roman"/>
                <w:b/>
                <w:i/>
                <w:sz w:val="20"/>
              </w:rPr>
              <w:t>Performance Award</w:t>
            </w:r>
            <w:r>
              <w:rPr>
                <w:rFonts w:ascii="Times New Roman" w:hAnsi="Times New Roman"/>
                <w:sz w:val="20"/>
              </w:rPr>
              <w:t xml:space="preserve">” means any Award of Performance Shares or Performance Units granted pursuant to Section 7(h).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(gg)</w:t>
            </w:r>
          </w:p>
        </w:tc>
        <w:tc>
          <w:tcPr>
            <w:tcW w:w="8880" w:type="dxa"/>
            <w:tcBorders/>
          </w:tcPr>
          <w:p>
            <w:pPr>
              <w:pStyle w:val="TableContents"/>
              <w:bidi w:val="0"/>
              <w:spacing w:before="0" w:after="0"/>
              <w:jc w:val="left"/>
              <w:rPr/>
            </w:pPr>
            <w:r>
              <w:rPr/>
              <w:t>“</w:t>
            </w:r>
            <w:r>
              <w:rPr>
                <w:rFonts w:ascii="Times New Roman" w:hAnsi="Times New Roman"/>
                <w:b/>
                <w:i/>
                <w:sz w:val="20"/>
              </w:rPr>
              <w:t>Performance Period</w:t>
            </w:r>
            <w:r>
              <w:rPr>
                <w:rFonts w:ascii="Times New Roman" w:hAnsi="Times New Roman"/>
                <w:sz w:val="20"/>
              </w:rPr>
              <w:t xml:space="preserve">” means that period established by the Committee at the time any Performance Award is granted or at any time thereafter during which any performance goals specified by the Committee with respect to such Award are to be measured.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(hh)</w:t>
            </w:r>
          </w:p>
        </w:tc>
        <w:tc>
          <w:tcPr>
            <w:tcW w:w="8880" w:type="dxa"/>
            <w:tcBorders/>
          </w:tcPr>
          <w:p>
            <w:pPr>
              <w:pStyle w:val="TableContents"/>
              <w:bidi w:val="0"/>
              <w:spacing w:before="0" w:after="0"/>
              <w:jc w:val="left"/>
              <w:rPr/>
            </w:pPr>
            <w:r>
              <w:rPr/>
              <w:t>“</w:t>
            </w:r>
            <w:r>
              <w:rPr>
                <w:rFonts w:ascii="Times New Roman" w:hAnsi="Times New Roman"/>
                <w:b/>
                <w:i/>
                <w:sz w:val="20"/>
              </w:rPr>
              <w:t>Performance Share</w:t>
            </w:r>
            <w:r>
              <w:rPr>
                <w:rFonts w:ascii="Times New Roman" w:hAnsi="Times New Roman"/>
                <w:sz w:val="20"/>
              </w:rPr>
              <w:t xml:space="preserve">”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w:t>
            </w:r>
            <w:r>
              <w:rPr>
                <w:rFonts w:ascii="Times New Roman" w:hAnsi="Times New Roman"/>
                <w:b/>
                <w:i/>
                <w:sz w:val="20"/>
              </w:rPr>
              <w:t>Performance Unit</w:t>
            </w:r>
            <w:r>
              <w:rPr>
                <w:rFonts w:ascii="Times New Roman" w:hAnsi="Times New Roman"/>
                <w:sz w:val="20"/>
              </w:rPr>
              <w:t xml:space="preserve">”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(jj)</w:t>
            </w:r>
          </w:p>
        </w:tc>
        <w:tc>
          <w:tcPr>
            <w:tcW w:w="8880"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shall have the meaning ascribed to such term in Section 3(a)(9) of the Exchange Act and used in Sections 13(d) and 14(d) thereof, and shall include a “group” as defined in Section 13(d)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(kk)</w:t>
            </w:r>
          </w:p>
        </w:tc>
        <w:tc>
          <w:tcPr>
            <w:tcW w:w="8881" w:type="dxa"/>
            <w:tcBorders/>
          </w:tcPr>
          <w:p>
            <w:pPr>
              <w:pStyle w:val="TableContents"/>
              <w:bidi w:val="0"/>
              <w:spacing w:before="0" w:after="0"/>
              <w:jc w:val="left"/>
              <w:rPr/>
            </w:pPr>
            <w:r>
              <w:rPr/>
              <w:t>“</w:t>
            </w:r>
            <w:r>
              <w:rPr>
                <w:rFonts w:ascii="Times New Roman" w:hAnsi="Times New Roman"/>
                <w:b/>
                <w:i/>
                <w:sz w:val="20"/>
              </w:rPr>
              <w:t>PriorPlan</w:t>
            </w:r>
            <w:r>
              <w:rPr>
                <w:rFonts w:ascii="Times New Roman" w:hAnsi="Times New Roman"/>
                <w:sz w:val="20"/>
              </w:rPr>
              <w:t xml:space="preserve">” means the Company’s 2006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(ll)</w:t>
            </w:r>
          </w:p>
        </w:tc>
        <w:tc>
          <w:tcPr>
            <w:tcW w:w="8881" w:type="dxa"/>
            <w:tcBorders/>
          </w:tcPr>
          <w:p>
            <w:pPr>
              <w:pStyle w:val="TableContents"/>
              <w:bidi w:val="0"/>
              <w:spacing w:before="0" w:after="0"/>
              <w:jc w:val="left"/>
              <w:rPr/>
            </w:pPr>
            <w:r>
              <w:rPr/>
              <w:t>“</w:t>
            </w:r>
            <w:r>
              <w:rPr>
                <w:rFonts w:ascii="Times New Roman" w:hAnsi="Times New Roman"/>
                <w:b/>
                <w:i/>
                <w:sz w:val="20"/>
              </w:rPr>
              <w:t>Related Entity</w:t>
            </w:r>
            <w:r>
              <w:rPr>
                <w:rFonts w:ascii="Times New Roman" w:hAnsi="Times New Roman"/>
                <w:sz w:val="20"/>
              </w:rPr>
              <w:t xml:space="preserve">”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478"/>
        <w:gridCol w:w="8825"/>
      </w:tblGrid>
      <w:tr>
        <w:trPr/>
        <w:tc>
          <w:tcPr>
            <w:tcW w:w="902"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(mm)</w:t>
            </w:r>
          </w:p>
        </w:tc>
        <w:tc>
          <w:tcPr>
            <w:tcW w:w="8825" w:type="dxa"/>
            <w:tcBorders/>
          </w:tcPr>
          <w:p>
            <w:pPr>
              <w:pStyle w:val="TableContents"/>
              <w:bidi w:val="0"/>
              <w:spacing w:before="0" w:after="0"/>
              <w:jc w:val="left"/>
              <w:rPr/>
            </w:pPr>
            <w:r>
              <w:rPr/>
              <w:t>“</w:t>
            </w:r>
            <w:r>
              <w:rPr>
                <w:rFonts w:ascii="Times New Roman" w:hAnsi="Times New Roman"/>
                <w:b/>
                <w:i/>
                <w:sz w:val="20"/>
              </w:rPr>
              <w:t>Restricted Stock</w:t>
            </w:r>
            <w:r>
              <w:rPr>
                <w:rFonts w:ascii="Times New Roman" w:hAnsi="Times New Roman"/>
                <w:sz w:val="20"/>
              </w:rPr>
              <w:t xml:space="preserve">”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(nn)</w:t>
            </w:r>
          </w:p>
        </w:tc>
        <w:tc>
          <w:tcPr>
            <w:tcW w:w="8880" w:type="dxa"/>
            <w:tcBorders/>
          </w:tcPr>
          <w:p>
            <w:pPr>
              <w:pStyle w:val="TableContents"/>
              <w:bidi w:val="0"/>
              <w:spacing w:before="0" w:after="0"/>
              <w:jc w:val="left"/>
              <w:rPr/>
            </w:pPr>
            <w:r>
              <w:rPr/>
              <w:t>“</w:t>
            </w:r>
            <w:r>
              <w:rPr>
                <w:rFonts w:ascii="Times New Roman" w:hAnsi="Times New Roman"/>
                <w:b/>
                <w:i/>
                <w:sz w:val="20"/>
              </w:rPr>
              <w:t>Restricted Stock Award</w:t>
            </w:r>
            <w:r>
              <w:rPr>
                <w:rFonts w:ascii="Times New Roman" w:hAnsi="Times New Roman"/>
                <w:sz w:val="20"/>
              </w:rPr>
              <w:t xml:space="preserve">” means an Award of Restricted Stock granted to a Participant under Section 7(d)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(oo)</w:t>
            </w:r>
          </w:p>
        </w:tc>
        <w:tc>
          <w:tcPr>
            <w:tcW w:w="8880" w:type="dxa"/>
            <w:tcBorders/>
          </w:tcPr>
          <w:p>
            <w:pPr>
              <w:pStyle w:val="TableContents"/>
              <w:bidi w:val="0"/>
              <w:spacing w:before="0" w:after="0"/>
              <w:jc w:val="left"/>
              <w:rPr/>
            </w:pPr>
            <w:r>
              <w:rPr/>
              <w:t>“</w:t>
            </w:r>
            <w:r>
              <w:rPr>
                <w:rFonts w:ascii="Times New Roman" w:hAnsi="Times New Roman"/>
                <w:b/>
                <w:i/>
                <w:sz w:val="20"/>
              </w:rPr>
              <w:t>Restricted Stock Unit</w:t>
            </w:r>
            <w:r>
              <w:rPr>
                <w:rFonts w:ascii="Times New Roman" w:hAnsi="Times New Roman"/>
                <w:sz w:val="20"/>
              </w:rPr>
              <w:t xml:space="preserve">” means a right to receive Shares, including Restricted Stock, cash measured based upon the value of Shares or a combination thereof, at the end of a specified deferral period, which right is subject to a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(pp)</w:t>
            </w:r>
          </w:p>
        </w:tc>
        <w:tc>
          <w:tcPr>
            <w:tcW w:w="8880" w:type="dxa"/>
            <w:tcBorders/>
          </w:tcPr>
          <w:p>
            <w:pPr>
              <w:pStyle w:val="TableContents"/>
              <w:bidi w:val="0"/>
              <w:spacing w:before="0" w:after="0"/>
              <w:jc w:val="left"/>
              <w:rPr/>
            </w:pPr>
            <w:r>
              <w:rPr/>
              <w:t>“</w:t>
            </w:r>
            <w:r>
              <w:rPr>
                <w:rFonts w:ascii="Times New Roman" w:hAnsi="Times New Roman"/>
                <w:b/>
                <w:i/>
                <w:sz w:val="20"/>
              </w:rPr>
              <w:t>Restricted Stock Unit Award</w:t>
            </w:r>
            <w:r>
              <w:rPr>
                <w:rFonts w:ascii="Times New Roman" w:hAnsi="Times New Roman"/>
                <w:sz w:val="20"/>
              </w:rPr>
              <w:t xml:space="preserve">” means an Award of Restricted Stock Unit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(qq)</w:t>
            </w:r>
          </w:p>
        </w:tc>
        <w:tc>
          <w:tcPr>
            <w:tcW w:w="8880" w:type="dxa"/>
            <w:tcBorders/>
          </w:tcPr>
          <w:p>
            <w:pPr>
              <w:pStyle w:val="TableContents"/>
              <w:bidi w:val="0"/>
              <w:spacing w:before="0" w:after="0"/>
              <w:jc w:val="left"/>
              <w:rPr/>
            </w:pPr>
            <w:r>
              <w:rPr/>
              <w:t>“</w:t>
            </w:r>
            <w:r>
              <w:rPr>
                <w:rFonts w:ascii="Times New Roman" w:hAnsi="Times New Roman"/>
                <w:b/>
                <w:i/>
                <w:sz w:val="20"/>
              </w:rPr>
              <w:t>Rule 16b-3</w:t>
            </w:r>
            <w:r>
              <w:rPr>
                <w:rFonts w:ascii="Times New Roman" w:hAnsi="Times New Roman"/>
                <w:sz w:val="20"/>
              </w:rPr>
              <w:t xml:space="preserve">”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(rr)</w:t>
            </w:r>
          </w:p>
        </w:tc>
        <w:tc>
          <w:tcPr>
            <w:tcW w:w="8880" w:type="dxa"/>
            <w:tcBorders/>
          </w:tcPr>
          <w:p>
            <w:pPr>
              <w:pStyle w:val="TableContents"/>
              <w:bidi w:val="0"/>
              <w:spacing w:before="0" w:after="0"/>
              <w:jc w:val="left"/>
              <w:rPr/>
            </w:pPr>
            <w:r>
              <w:rPr/>
              <w:t>“</w:t>
            </w:r>
            <w:r>
              <w:rPr>
                <w:rFonts w:ascii="Times New Roman" w:hAnsi="Times New Roman"/>
                <w:b/>
                <w:i/>
                <w:sz w:val="20"/>
              </w:rPr>
              <w:t>Shareholder Approval Date</w:t>
            </w:r>
            <w:r>
              <w:rPr>
                <w:rFonts w:ascii="Times New Roman" w:hAnsi="Times New Roman"/>
                <w:sz w:val="20"/>
              </w:rPr>
              <w:t xml:space="preserve">”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(ss)</w:t>
            </w:r>
          </w:p>
        </w:tc>
        <w:tc>
          <w:tcPr>
            <w:tcW w:w="8880" w:type="dxa"/>
            <w:tcBorders/>
          </w:tcPr>
          <w:p>
            <w:pPr>
              <w:pStyle w:val="TableContents"/>
              <w:bidi w:val="0"/>
              <w:spacing w:before="0" w:after="0"/>
              <w:jc w:val="left"/>
              <w:rPr/>
            </w:pPr>
            <w:r>
              <w:rPr/>
              <w:t>“</w:t>
            </w:r>
            <w:r>
              <w:rPr>
                <w:rFonts w:ascii="Times New Roman" w:hAnsi="Times New Roman"/>
                <w:b/>
                <w:i/>
                <w:sz w:val="20"/>
              </w:rPr>
              <w:t>Shares</w:t>
            </w:r>
            <w:r>
              <w:rPr>
                <w:rFonts w:ascii="Times New Roman" w:hAnsi="Times New Roman"/>
                <w:sz w:val="20"/>
              </w:rPr>
              <w:t xml:space="preserve">” means the shares of common stock of the Company, par value $.01 per share, and such other securities as may be substituted (or resubstituted) for Shares pursuant to Section 10(c)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(tt)</w:t>
            </w:r>
          </w:p>
        </w:tc>
        <w:tc>
          <w:tcPr>
            <w:tcW w:w="8880" w:type="dxa"/>
            <w:tcBorders/>
          </w:tcPr>
          <w:p>
            <w:pPr>
              <w:pStyle w:val="TableContents"/>
              <w:bidi w:val="0"/>
              <w:spacing w:before="0" w:after="0"/>
              <w:jc w:val="left"/>
              <w:rPr/>
            </w:pPr>
            <w:r>
              <w:rPr/>
              <w:t>“</w:t>
            </w:r>
            <w:r>
              <w:rPr>
                <w:rFonts w:ascii="Times New Roman" w:hAnsi="Times New Roman"/>
                <w:b/>
                <w:i/>
                <w:sz w:val="20"/>
              </w:rPr>
              <w:t>Stock Appreciation Right</w:t>
            </w:r>
            <w:r>
              <w:rPr>
                <w:rFonts w:ascii="Times New Roman" w:hAnsi="Times New Roman"/>
                <w:sz w:val="20"/>
              </w:rPr>
              <w:t xml:space="preserve">” means a right granted to a Participant under Section 7(c)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(uu)</w:t>
            </w:r>
          </w:p>
        </w:tc>
        <w:tc>
          <w:tcPr>
            <w:tcW w:w="888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(vv)</w:t>
            </w:r>
          </w:p>
        </w:tc>
        <w:tc>
          <w:tcPr>
            <w:tcW w:w="8880" w:type="dxa"/>
            <w:tcBorders/>
          </w:tcPr>
          <w:p>
            <w:pPr>
              <w:pStyle w:val="TableContents"/>
              <w:bidi w:val="0"/>
              <w:spacing w:before="0" w:after="0"/>
              <w:jc w:val="left"/>
              <w:rPr/>
            </w:pPr>
            <w:r>
              <w:rPr/>
              <w:t>“</w:t>
            </w:r>
            <w:r>
              <w:rPr>
                <w:rFonts w:ascii="Times New Roman" w:hAnsi="Times New Roman"/>
                <w:b/>
                <w:i/>
                <w:sz w:val="20"/>
              </w:rPr>
              <w:t>Substitute Awards</w:t>
            </w:r>
            <w:r>
              <w:rPr>
                <w:rFonts w:ascii="Times New Roman" w:hAnsi="Times New Roman"/>
                <w:sz w:val="20"/>
              </w:rPr>
              <w:t xml:space="preserve">”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30" w:name="tx76201_101"/>
            <w:bookmarkEnd w:id="230"/>
            <w:r>
              <w:rPr>
                <w:b/>
                <w:i/>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Authority of the Committee</w:t>
            </w:r>
            <w:r>
              <w:rPr>
                <w:rFonts w:ascii="Times New Roman" w:hAnsi="Times New Roman"/>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Manner of Exercise of Committee Authority</w:t>
            </w:r>
            <w:r>
              <w:rPr>
                <w:rFonts w:ascii="Times New Roman" w:hAnsi="Times New Roman"/>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of Liability</w:t>
            </w:r>
            <w:r>
              <w:rPr>
                <w:rFonts w:ascii="Times New Roman" w:hAnsi="Times New Roman"/>
                <w:sz w:val="20"/>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1" w:name="tx76201_102"/>
            <w:bookmarkEnd w:id="231"/>
            <w:r>
              <w:rPr>
                <w:b/>
                <w:i/>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Shares Subject to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Overall Number of Shares Available for Delivery Under Plan</w:t>
            </w:r>
            <w:r>
              <w:rPr>
                <w:rFonts w:ascii="Times New Roman" w:hAnsi="Times New Roman"/>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Application of Limitation to Grants of Award</w:t>
            </w:r>
            <w:r>
              <w:rPr>
                <w:rFonts w:ascii="Times New Roman" w:hAnsi="Times New Roman"/>
                <w:sz w:val="20"/>
              </w:rPr>
              <w:t xml:space="preserve">.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of Shares Not Delivered under Awards and Adjustments to Limits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for each Share subject to such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Value Award, and such number of credited Shares may again be made available for Awards under the Plan, subject to Section 4(c)(iv)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In no event shall any Incentive Stock Options be granted under the Plan after the tenth anniversary of the date on which the Board adopts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 Further Awards Under Prior Plan</w:t>
            </w:r>
            <w:r>
              <w:rPr>
                <w:rFonts w:ascii="Times New Roman" w:hAnsi="Times New Roman"/>
                <w:sz w:val="20"/>
              </w:rPr>
              <w:t xml:space="preserve">. No further awards shall be made under the Prior Plan after July 31,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32" w:name="tx76201_103"/>
            <w:bookmarkEnd w:id="232"/>
            <w:r>
              <w:rPr>
                <w:b/>
                <w:i/>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Eligibility</w:t>
            </w:r>
            <w:r>
              <w:rPr>
                <w:rFonts w:ascii="Times New Roman" w:hAnsi="Times New Roman"/>
                <w:b/>
                <w:strike/>
                <w:color w:val="FF0000"/>
                <w:sz w:val="20"/>
              </w:rPr>
              <w:t>; Per-Participant Limitations</w:t>
            </w:r>
            <w:r>
              <w:rPr>
                <w:rFonts w:ascii="Times New Roman" w:hAnsi="Times New Roman"/>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r>
              <w:rPr>
                <w:rFonts w:ascii="Times New Roman" w:hAnsi="Times New Roman"/>
                <w:color w:val="FF0000"/>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33" w:name="tx76201_104"/>
            <w:bookmarkEnd w:id="233"/>
            <w:r>
              <w:rPr>
                <w:b/>
                <w:i/>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Vesting Limitations</w:t>
            </w:r>
            <w:r>
              <w:rPr>
                <w:rFonts w:ascii="Times New Roman" w:hAnsi="Times New Roman"/>
                <w:sz w:val="20"/>
              </w:rPr>
              <w:t xml:space="preserve">. Notwithstanding any other provision of the Plan to the contrary, but subject to Section 9 of the Plan, Awards granted under the Plan shall vest no earlier than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34" w:name="tx76201_105"/>
            <w:bookmarkEnd w:id="234"/>
            <w:r>
              <w:rPr>
                <w:b/>
                <w:i/>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Specific Terms of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The Committee is authorized to grant Options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w:t>
            </w:r>
            <w:r>
              <w:rPr>
                <w:rFonts w:ascii="Times New Roman" w:hAnsi="Times New Roman"/>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Time and Method of Exercise</w:t>
            </w:r>
            <w:r>
              <w:rPr>
                <w:rFonts w:ascii="Times New Roman" w:hAnsi="Times New Roman"/>
                <w:sz w:val="20"/>
              </w:rPr>
              <w:t xml:space="preserve">.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Form of Settlement</w:t>
            </w:r>
            <w:r>
              <w:rPr>
                <w:rFonts w:ascii="Times New Roman" w:hAnsi="Times New Roman"/>
                <w:sz w:val="20"/>
              </w:rPr>
              <w:t xml:space="preserve">. The Committee may, in its sole discretion, provide that the Shares to be issued upon exercise of an Option shall be in the form of Restricted Stock or other similar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The Committee may grant Stock Appreciation Rights to any Eligible Person (a “Freestanding Stock Appreciation Right”), upon such terms and conditions as the Committee may establish in its sole discretion, not inconsistent with the provisions of the Plan,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Right to Payment</w:t>
            </w:r>
            <w:r>
              <w:rPr>
                <w:rFonts w:ascii="Times New Roman" w:hAnsi="Times New Roman"/>
                <w:sz w:val="20"/>
              </w:rPr>
              <w:t xml:space="preserve">. A Stock Appreciation Right shall confer on the Participant to whom it is granted a right to receive, upon exercise thereof, the excess of (A) the Fair Market Value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Committee is authorized to grant Restricted Stock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Grant and Restrictions</w:t>
            </w:r>
            <w:r>
              <w:rPr>
                <w:rFonts w:ascii="Times New Roman" w:hAnsi="Times New Roman"/>
                <w:sz w:val="20"/>
              </w:rPr>
              <w:t xml:space="preserve">.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Certificates for Stock</w:t>
            </w:r>
            <w:r>
              <w:rPr>
                <w:rFonts w:ascii="Times New Roman" w:hAnsi="Times New Roman"/>
                <w:sz w:val="20"/>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Dividends and Splits</w:t>
            </w:r>
            <w:r>
              <w:rPr>
                <w:rFonts w:ascii="Times New Roman" w:hAnsi="Times New Roman"/>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Deferred Award</w:t>
            </w:r>
            <w:r>
              <w:rPr>
                <w:rFonts w:ascii="Times New Roman" w:hAnsi="Times New Roman"/>
                <w:sz w:val="20"/>
              </w:rPr>
              <w:t xml:space="preserve">. The Committee is authorized to grant “Deferred Awards,” which include Deferred Stock and Restricted Stock Unit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and Restrictions</w:t>
            </w:r>
            <w:r>
              <w:rPr>
                <w:rFonts w:ascii="Times New Roman" w:hAnsi="Times New Roman"/>
                <w:sz w:val="20"/>
              </w:rPr>
              <w:t xml:space="preserve">.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Stock and Awards in Lieu of Obligations</w:t>
            </w:r>
            <w:r>
              <w:rPr>
                <w:rFonts w:ascii="Times New Roman" w:hAnsi="Times New Roman"/>
                <w:sz w:val="20"/>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Performance Awards</w:t>
            </w:r>
            <w:r>
              <w:rPr>
                <w:rFonts w:ascii="Times New Roman" w:hAnsi="Times New Roman"/>
                <w:sz w:val="20"/>
              </w:rPr>
              <w:t>. The Committee is authorized to grant Performance Awards to any Eligible Person payable in cash, Shares, or other Awards, on terms and conditions established by the Committee.</w:t>
            </w:r>
            <w:r>
              <w:rPr>
                <w:rFonts w:ascii="Times New Roman" w:hAnsi="Times New Roman"/>
                <w:color w:val="0000FF"/>
                <w:sz w:val="20"/>
                <w:u w:val="single"/>
                <w:bdr w:val="double" w:sz="2" w:space="1" w:color="000000"/>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criteria to be achieved during any Performance Period and the length of the Performance Period shall be determined by the Committee upon the grant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Performance Award. The Committee shall determine the circumstances in which Awards shall be paid, if at all, or forfeited in the event of termination of Continuous Service by the Participant prior to the end of a Performance Period or settlement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Except as</w:t>
            </w:r>
            <w:r>
              <w:rPr>
                <w:rFonts w:ascii="Times New Roman" w:hAnsi="Times New Roman"/>
                <w:strike/>
                <w:color w:val="FF0000"/>
                <w:sz w:val="20"/>
              </w:rPr>
              <w:t>-</w:t>
            </w:r>
            <w:r>
              <w:rPr>
                <w:rFonts w:ascii="Times New Roman" w:hAnsi="Times New Roman"/>
                <w:sz w:val="20"/>
              </w:rPr>
              <w:t xml:space="preserve">may be provided in an Award Agreement, Performance Awards will be distributed or settled only after the end of the relevant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5" w:name="tx76201_106"/>
            <w:bookmarkEnd w:id="235"/>
            <w:r>
              <w:rPr>
                <w:b/>
                <w:i/>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 Provisions Applicable to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Stand-Alone, Additional, Tandem, and Substitute Awards</w:t>
            </w:r>
            <w:r>
              <w:rPr>
                <w:rFonts w:ascii="Times New Roman" w:hAnsi="Times New Roman"/>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Term of Awards</w:t>
            </w:r>
            <w:r>
              <w:rPr>
                <w:rFonts w:ascii="Times New Roman" w:hAnsi="Times New Roman"/>
                <w:sz w:val="20"/>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Form and Timing of Payment Under Awards; Deferrals</w:t>
            </w:r>
            <w:r>
              <w:rPr>
                <w:rFonts w:ascii="Times New Roman" w:hAnsi="Times New Roman"/>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Exemptions from Section</w:t>
            </w:r>
            <w:r>
              <w:rPr>
                <w:rFonts w:ascii="Times New Roman" w:hAnsi="Times New Roman"/>
                <w:sz w:val="20"/>
              </w:rPr>
              <w:t> </w:t>
            </w:r>
            <w:r>
              <w:rPr>
                <w:rFonts w:ascii="Times New Roman" w:hAnsi="Times New Roman"/>
                <w:b/>
                <w:i/>
                <w:sz w:val="20"/>
              </w:rPr>
              <w:t>16(b) Liability</w:t>
            </w:r>
            <w:r>
              <w:rPr>
                <w:rFonts w:ascii="Times New Roman" w:hAnsi="Times New Roman"/>
                <w:sz w:val="20"/>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following provisions shall apply to any Award that is or may potentially be subject to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Award Agreement for any Award that the Committee reasonably determines to constitute a “non-qualified deferred compensation plan” under Section 409A of the Code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w:t>
            </w:r>
            <w:r>
              <w:rPr/>
              <w:t xml:space="preserve">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Award constitutes a Section 409A Plan, then the Award shall be subject to the following additional requirements, if and to the extent required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or schedule for any payment of the deferred compensation may not be accelerated, except to the extent provided in applicable Treasury Regulations or other applicable guidance issued by the Internal Revenue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elections with respect to the deferral of such compensation or the time and form of distribution of such deferred compensation shall comply with the requirements of Section 409A(a)(4)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Participant who is “specified employee”, a distribution on account of a “separation from service” may not be made before the date which is six months after the date of the Participant’s “separation from service” (or, if earlier, the date of the Participant’s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Clawback of Certain Compensation and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strike/>
                <w:color w:val="FF0000"/>
              </w:rPr>
              <w:t>s</w:t>
            </w:r>
            <w:r>
              <w:rPr/>
              <w:t xml:space="preserve">) may be unilaterally amended by the Company, without the Participant’s consent, to the extent that the Company in its discretion determines to be necessary or appropriate to comply with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6" w:name="tx76201_107"/>
            <w:bookmarkEnd w:id="236"/>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 of “Change in Control”</w:t>
            </w:r>
            <w:r>
              <w:rPr>
                <w:rFonts w:ascii="Times New Roman" w:hAnsi="Times New Roman"/>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in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 of “Change in Control”</w:t>
            </w:r>
            <w:r>
              <w:rPr>
                <w:rFonts w:ascii="Times New Roman" w:hAnsi="Times New Roman"/>
                <w:sz w:val="20"/>
              </w:rPr>
              <w:t xml:space="preserve">. Unless otherwise specified in any employment or other agreement for services between the Participant and the Company or any Subsidiary, or in an Award Agreement, a “Change in Control” shall mean the occurrence of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shareholders of the Company of a complete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7" w:name="tx76201_108"/>
            <w:bookmarkEnd w:id="237"/>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Compliance With Legal and Other Requirements</w:t>
            </w:r>
            <w:r>
              <w:rPr>
                <w:rFonts w:ascii="Times New Roman" w:hAnsi="Times New Roman"/>
                <w:sz w:val="20"/>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Limits on Transferability; Beneficiaries</w:t>
            </w:r>
            <w:r>
              <w:rPr>
                <w:rFonts w:ascii="Times New Roman" w:hAnsi="Times New Roman"/>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1"/>
        <w:gridCol w:w="8370"/>
      </w:tblGrid>
      <w:tr>
        <w:trPr/>
        <w:tc>
          <w:tcPr>
            <w:tcW w:w="1324"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to Awards</w:t>
            </w:r>
            <w:r>
              <w:rPr>
                <w:rFonts w:ascii="Times New Roman" w:hAnsi="Times New Roman"/>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in Case of Certain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merger, consolidation or other reorganization in which the Company does not survive, or in the event of any Change in Control (and subject to the provisions of Section 9of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Adjustments</w:t>
            </w:r>
            <w:r>
              <w:rPr>
                <w:rFonts w:ascii="Times New Roman" w:hAnsi="Times New Roman"/>
                <w:sz w:val="20"/>
              </w:rPr>
              <w:t xml:space="preserve">.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Agreements</w:t>
            </w:r>
            <w:r>
              <w:rPr>
                <w:rFonts w:ascii="Times New Roman" w:hAnsi="Times New Roman"/>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Taxes</w:t>
            </w:r>
            <w:r>
              <w:rPr>
                <w:rFonts w:ascii="Times New Roman" w:hAnsi="Times New Roman"/>
                <w:sz w:val="20"/>
              </w:rPr>
              <w:t xml:space="preserve">. The Company and any Related Entity are authorized to withhold from any Award granted, any payment relating to an Award under the Plan, including from a distribution of Shares,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Changes to the Plan and Awards</w:t>
            </w:r>
            <w:r>
              <w:rPr>
                <w:rFonts w:ascii="Times New Roman" w:hAnsi="Times New Roman"/>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Rights Conferred Under Plan</w:t>
            </w:r>
            <w:r>
              <w:rPr>
                <w:rFonts w:ascii="Times New Roman" w:hAnsi="Times New Roman"/>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Unfunded Status of Awards; Creation of Trusts</w:t>
            </w:r>
            <w:r>
              <w:rPr>
                <w:rFonts w:ascii="Times New Roman" w:hAnsi="Times New Roman"/>
                <w:sz w:val="20"/>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Nonexclusivity of the Plan</w:t>
            </w:r>
            <w:r>
              <w:rPr>
                <w:rFonts w:ascii="Times New Roman" w:hAnsi="Times New Roman"/>
                <w:sz w:val="20"/>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Payments in the Event of Forfeitures; Fractional Shares</w:t>
            </w:r>
            <w:r>
              <w:rPr>
                <w:rFonts w:ascii="Times New Roman" w:hAnsi="Times New Roman"/>
                <w:sz w:val="20"/>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Non-U.S. Laws</w:t>
            </w:r>
            <w:r>
              <w:rPr>
                <w:rFonts w:ascii="Times New Roman" w:hAnsi="Times New Roman"/>
                <w:sz w:val="20"/>
              </w:rPr>
              <w:t xml:space="preserve">.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Plan Effective Date and Shareholder Approval; Termination of Plan</w:t>
            </w:r>
            <w:r>
              <w:rPr>
                <w:rFonts w:ascii="Times New Roman" w:hAnsi="Times New Roman"/>
                <w:sz w:val="20"/>
              </w:rPr>
              <w:t xml:space="preserve">. The Plan shall </w:t>
            </w:r>
            <w:r>
              <w:rPr>
                <w:rFonts w:ascii="Times New Roman" w:hAnsi="Times New Roman"/>
                <w:sz w:val="20"/>
                <w:u w:val="single"/>
              </w:rPr>
              <w:t>become effective on the Effective Date</w:t>
            </w:r>
            <w:r>
              <w:rPr>
                <w:rFonts w:ascii="Times New Roman" w:hAnsi="Times New Roman"/>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n.</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Construction and Interpretation</w:t>
            </w:r>
            <w:r>
              <w:rPr>
                <w:rFonts w:ascii="Times New Roman" w:hAnsi="Times New Roman"/>
                <w:sz w:val="20"/>
              </w:rPr>
              <w:t xml:space="preserve">. Whenever used herein, nouns in the singular shall include the plural, and the masculine pronoun shall include the feminine gender. Headings of Articles and Sections hereof are inserted for convenience and reference and constitute no part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Severability</w:t>
            </w:r>
            <w:r>
              <w:rPr>
                <w:rFonts w:ascii="Times New Roman" w:hAnsi="Times New Roman"/>
                <w:sz w:val="20"/>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986"/>
        <w:gridCol w:w="121"/>
        <w:gridCol w:w="5098"/>
      </w:tblGrid>
      <w:tr>
        <w:trPr/>
        <w:tc>
          <w:tcPr>
            <w:tcW w:w="49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r>
      <w:tr>
        <w:trPr/>
        <w:tc>
          <w:tcPr>
            <w:tcW w:w="49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Notice of Special Meeting of</w:t>
            </w:r>
          </w:p>
          <w:p>
            <w:pPr>
              <w:pStyle w:val="TableContents"/>
              <w:bidi w:val="0"/>
              <w:spacing w:before="0" w:after="0"/>
              <w:jc w:val="left"/>
              <w:rPr>
                <w:rFonts w:ascii="Times New Roman" w:hAnsi="Times New Roman"/>
                <w:b/>
                <w:sz w:val="20"/>
              </w:rPr>
            </w:pPr>
            <w:r>
              <w:rPr>
                <w:rFonts w:ascii="Times New Roman" w:hAnsi="Times New Roman"/>
                <w:b/>
                <w:sz w:val="20"/>
              </w:rPr>
              <w:t>Stockholders and Proxy Statement</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2026</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A.M. Eastern Time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555 Turnpike Street</w:t>
            </w:r>
          </w:p>
          <w:p>
            <w:pPr>
              <w:pStyle w:val="TableContents"/>
              <w:bidi w:val="0"/>
              <w:spacing w:before="0" w:after="0"/>
              <w:jc w:val="left"/>
              <w:rPr>
                <w:rFonts w:ascii="Times New Roman" w:hAnsi="Times New Roman"/>
                <w:b/>
                <w:sz w:val="20"/>
              </w:rPr>
            </w:pPr>
            <w:r>
              <w:rPr>
                <w:rFonts w:ascii="Times New Roman" w:hAnsi="Times New Roman"/>
                <w:b/>
                <w:sz w:val="20"/>
              </w:rPr>
              <w:t>Canton, Massachusetts 02021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Please sign your proxy and</w:t>
            </w:r>
          </w:p>
          <w:p>
            <w:pPr>
              <w:pStyle w:val="TableContents"/>
              <w:bidi w:val="0"/>
              <w:spacing w:before="0" w:after="0"/>
              <w:jc w:val="left"/>
              <w:rPr>
                <w:rFonts w:ascii="Times New Roman" w:hAnsi="Times New Roman"/>
                <w:b/>
                <w:sz w:val="20"/>
              </w:rPr>
            </w:pPr>
            <w:r>
              <w:rPr>
                <w:rFonts w:ascii="Times New Roman" w:hAnsi="Times New Roman"/>
                <w:b/>
                <w:sz w:val="20"/>
              </w:rPr>
              <w:t>return it in the enclosed</w:t>
            </w:r>
          </w:p>
          <w:p>
            <w:pPr>
              <w:pStyle w:val="TableContents"/>
              <w:bidi w:val="0"/>
              <w:spacing w:before="0" w:after="0"/>
              <w:jc w:val="left"/>
              <w:rPr>
                <w:rFonts w:ascii="Times New Roman" w:hAnsi="Times New Roman"/>
                <w:b/>
                <w:sz w:val="20"/>
              </w:rPr>
            </w:pPr>
            <w:r>
              <w:rPr>
                <w:rFonts w:ascii="Times New Roman" w:hAnsi="Times New Roman"/>
                <w:b/>
                <w:sz w:val="20"/>
              </w:rPr>
              <w:t>postage-paid envelope so</w:t>
            </w:r>
          </w:p>
          <w:p>
            <w:pPr>
              <w:pStyle w:val="TableContents"/>
              <w:bidi w:val="0"/>
              <w:spacing w:before="0" w:after="0"/>
              <w:jc w:val="left"/>
              <w:rPr>
                <w:rFonts w:ascii="Times New Roman" w:hAnsi="Times New Roman"/>
                <w:b/>
                <w:sz w:val="20"/>
              </w:rPr>
            </w:pPr>
            <w:r>
              <w:rPr>
                <w:rFonts w:ascii="Times New Roman" w:hAnsi="Times New Roman"/>
                <w:b/>
                <w:sz w:val="20"/>
              </w:rPr>
              <w:t>that you may be represented</w:t>
            </w:r>
          </w:p>
          <w:p>
            <w:pPr>
              <w:pStyle w:val="TableContents"/>
              <w:bidi w:val="0"/>
              <w:spacing w:before="0" w:after="20"/>
              <w:jc w:val="left"/>
              <w:rPr>
                <w:rFonts w:ascii="Times New Roman" w:hAnsi="Times New Roman"/>
                <w:b/>
                <w:sz w:val="20"/>
              </w:rPr>
            </w:pPr>
            <w:r>
              <w:rPr>
                <w:rFonts w:ascii="Times New Roman" w:hAnsi="Times New Roman"/>
                <w:b/>
                <w:sz w:val="20"/>
              </w:rPr>
              <w:t>at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OF </w:t>
      </w:r>
    </w:p>
    <w:p>
      <w:pPr>
        <w:pStyle w:val="TextBody"/>
        <w:bidi w:val="0"/>
        <w:spacing w:before="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GO GREEN </w:t>
      </w:r>
    </w:p>
    <w:p>
      <w:pPr>
        <w:pStyle w:val="TextBody"/>
        <w:bidi w:val="0"/>
        <w:spacing w:before="120" w:after="0"/>
        <w:jc w:val="center"/>
        <w:rPr>
          <w:rFonts w:ascii="Times New Roman" w:hAnsi="Times New Roman"/>
          <w:sz w:val="20"/>
        </w:rPr>
      </w:pPr>
      <w:r>
        <w:rPr>
          <w:rFonts w:ascii="Times New Roman" w:hAnsi="Times New Roman"/>
          <w:sz w:val="20"/>
        </w:rPr>
        <w:t xml:space="preserve">e-consent makes it easy to go paperless. With e-consent, you can quickly access your proxy material, statements and other eligible documents online, while reducing costs, clutter and paper waste. Enroll today via </w:t>
      </w:r>
      <w:r>
        <w:rPr>
          <w:rFonts w:ascii="Times New Roman" w:hAnsi="Times New Roman"/>
          <w:sz w:val="20"/>
          <w:u w:val="single"/>
        </w:rPr>
        <w:t>www.astfinancial.com</w:t>
      </w:r>
      <w:r>
        <w:rPr>
          <w:rFonts w:ascii="Times New Roman" w:hAnsi="Times New Roman"/>
          <w:sz w:val="20"/>
        </w:rPr>
        <w:t xml:space="preserve"> to enjoy online access. </w:t>
      </w:r>
    </w:p>
    <w:p>
      <w:pPr>
        <w:pStyle w:val="TextBody"/>
        <w:bidi w:val="0"/>
        <w:spacing w:before="240" w:after="0"/>
        <w:jc w:val="center"/>
        <w:rPr>
          <w:rFonts w:ascii="Times New Roman" w:hAnsi="Times New Roman"/>
          <w:sz w:val="20"/>
        </w:rPr>
      </w:pPr>
      <w:r>
        <w:rPr>
          <w:rFonts w:ascii="Times New Roman" w:hAnsi="Times New Roman"/>
          <w:sz w:val="20"/>
          <w:u w:val="single"/>
        </w:rPr>
        <w:t>Important Notice Regarding Internet Availability of Proxy Materials for the Special Meeting of Stockholders to be Held on [], 2026</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https://investor.dxl.com/financial-information/annual-reports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SIGN, DATE AND MAIL </w:t>
      </w:r>
    </w:p>
    <w:p>
      <w:pPr>
        <w:pStyle w:val="TextBody"/>
        <w:bidi w:val="0"/>
        <w:spacing w:before="0" w:after="0"/>
        <w:jc w:val="center"/>
        <w:rPr>
          <w:rFonts w:ascii="Times New Roman" w:hAnsi="Times New Roman"/>
          <w:sz w:val="20"/>
        </w:rPr>
      </w:pPr>
      <w:r>
        <w:rPr>
          <w:rFonts w:ascii="Times New Roman" w:hAnsi="Times New Roman"/>
          <w:sz w:val="20"/>
        </w:rPr>
        <w:t xml:space="preserve">YOUR PROXY CARD IN THE ENVELOPE </w:t>
      </w:r>
    </w:p>
    <w:p>
      <w:pPr>
        <w:pStyle w:val="TextBody"/>
        <w:bidi w:val="0"/>
        <w:spacing w:before="0" w:after="0"/>
        <w:jc w:val="center"/>
        <w:rPr>
          <w:rFonts w:ascii="Times New Roman" w:hAnsi="Times New Roman"/>
          <w:sz w:val="20"/>
        </w:rPr>
      </w:pPr>
      <w:r>
        <w:rPr>
          <w:rFonts w:ascii="Times New Roman" w:hAnsi="Times New Roman"/>
          <w:sz w:val="20"/>
        </w:rPr>
        <w:t xml:space="preserve">PROVIDED AS SOON AS POSSIBLE. </w:t>
      </w:r>
    </w:p>
    <w:p>
      <w:pPr>
        <w:pStyle w:val="TextBody"/>
        <w:bidi w:val="0"/>
        <w:spacing w:before="240" w:after="0"/>
        <w:jc w:val="center"/>
        <w:rPr>
          <w:rFonts w:ascii="Times New Roman" w:hAnsi="Times New Roman"/>
          <w:sz w:val="20"/>
        </w:rPr>
      </w:pPr>
      <w:r>
        <w:rPr>
          <w:rFonts w:ascii="Times New Roman" w:hAnsi="Times New Roman"/>
          <w:sz w:val="20"/>
        </w:rPr>
        <w:t xml:space="preserve">Please detach along perforated line and mail in the envelope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THE BOARD OF DIRECTORS RECOMMENDS A VOTE “AGAINST” PROPOSAL 1 AND “FOR” PROPOSALS 2, 3, AND 4.</w:t>
            </w:r>
          </w:p>
          <w:p>
            <w:pPr>
              <w:pStyle w:val="TableContents"/>
              <w:bidi w:val="0"/>
              <w:spacing w:before="0" w:after="20"/>
              <w:jc w:val="center"/>
              <w:rPr>
                <w:rFonts w:ascii="Times New Roman" w:hAnsi="Times New Roman"/>
                <w:b/>
                <w:sz w:val="20"/>
              </w:rPr>
            </w:pPr>
            <w:r>
              <w:rPr>
                <w:rFonts w:ascii="Times New Roman" w:hAnsi="Times New Roman"/>
                <w:b/>
                <w:sz w:val="20"/>
              </w:rPr>
              <w:t>PLEASE SIGN, DATE AND RETURN PROMPTLY IN THE ENCLOSED ENVELOPE. PLEASE MARK YOUR VOTE IN BLUE OR BLACK INK AS SHOWN HERE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
        <w:gridCol w:w="120"/>
        <w:gridCol w:w="5437"/>
        <w:gridCol w:w="106"/>
        <w:gridCol w:w="915"/>
        <w:gridCol w:w="106"/>
        <w:gridCol w:w="1456"/>
        <w:gridCol w:w="106"/>
        <w:gridCol w:w="1462"/>
      </w:tblGrid>
      <w:tr>
        <w:trPr/>
        <w:tc>
          <w:tcPr>
            <w:tcW w:w="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the issuance of shares of DXL common stock as the merger consideration pursuant to the terms of the merger agreement and the resulting “change of control” under the Nasdaq rules (“proposal 1 or issuance proposal”)</w:t>
            </w:r>
            <w:r>
              <w:rPr/>
              <w:t>. THE BOARD OF DIRECTORS RECOMMENDS A VOTE “AGAINST” PROPOSAL 1.</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2.</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restated certificate of incorporation of DXL to effect a reverse stock split at a ratio of not less than 1-for-2 and not more than 1-for-30 pursuant to the amendment set forth in Section</w:t>
            </w:r>
            <w:r>
              <w:rPr/>
              <w:t> </w:t>
            </w:r>
            <w:r>
              <w:rPr>
                <w:b/>
              </w:rPr>
              <w:t>1 on Annex C to the proxy statement (“proposal 2” or “reverse stock split proposal”).</w:t>
            </w:r>
            <w:r>
              <w:rPr/>
              <w:t xml:space="preserve"> THE BOARD OF DIRECTORS RECOMMENDS A VOTE “FOR” PROPOSAL 2.</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Second Amended and Restated 2016 Incentive Compensation Plan to (a)</w:t>
            </w:r>
            <w:r>
              <w:rPr/>
              <w:t> </w:t>
            </w:r>
            <w:r>
              <w:rPr>
                <w:b/>
              </w:rPr>
              <w:t>increase the total number of shares of DXL common stock available for issuance under the 2016 plan by 13,500,000 shares; (b)</w:t>
            </w:r>
            <w:r>
              <w:rPr/>
              <w:t> </w:t>
            </w:r>
            <w:r>
              <w:rPr>
                <w:b/>
              </w:rPr>
              <w:t>increase the total number of shares of DXL common stock available for issuance upon the exercise of incentive stock options granted under the 2016 plan by 13,500,000 shares; (c)</w:t>
            </w:r>
            <w:r>
              <w:rPr/>
              <w:t> </w:t>
            </w:r>
            <w:r>
              <w:rPr>
                <w:b/>
              </w:rPr>
              <w:t>change the share fungible rate from 1.9 shares to 1.5 shares; and (d)</w:t>
            </w:r>
            <w:r>
              <w:rPr/>
              <w:t> </w:t>
            </w:r>
            <w:r>
              <w:rPr>
                <w:b/>
              </w:rPr>
              <w:t>remove the annual per participant limitations with respect to the share amount and/or dollar value of awards that can be granted under the 2016 plan (“proposal 3” or “2016 plan proposal”).</w:t>
            </w:r>
            <w:r>
              <w:rPr/>
              <w:t xml:space="preserve"> THE BOARD OF DIRECTORS RECOMMENDS A VOTE “FOR” PROPOSAL 3.</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4.</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 adjournment or postponement of the special meeting for the purpose of soliciting proxies with respect to the issuance proposal, the reverse stock split proposal and/or the 2016 plan proposal (“proposal 4” or “adjournment proposal”).</w:t>
            </w:r>
            <w:r>
              <w:rPr/>
              <w:t xml:space="preserve"> THE BOARD OF DIRECTORS RECOMMENDS A VOTE “FOR” PROPOSAL 4.</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THIS PROXY IS PROPERLY EXECUTED AND RETURNED, IT WILL BE VOTED AS SPECIFIED HEREIN. IF NO SPECIFIC DIRECTION IS GIVEN FOR PROPOSAL 1, IT WILL NOT BE VOTED. IF NO SPECIFIC DIRECTION IS GIVEN FOR PROPOSALS 2, 3 OR 4, IT WILL BE VOTED “FOR” EACH SUCH PROPOSAL. RECEIPT IS HEREBY ACKNOWLEDGED OF THE NOTICE OF SPECIAL MEETING AND PROXY STATEMENT OF DESTINATION XL GROUP, INC. DATED [●], 2026.</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MARK “X” HERE IF YOU PLAN TO ATTEND THE SPECIAL MEETING.</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1"/>
        <w:gridCol w:w="127"/>
        <w:gridCol w:w="2907"/>
        <w:gridCol w:w="60"/>
        <w:gridCol w:w="782"/>
        <w:gridCol w:w="60"/>
        <w:gridCol w:w="1552"/>
        <w:gridCol w:w="60"/>
        <w:gridCol w:w="3179"/>
        <w:gridCol w:w="60"/>
        <w:gridCol w:w="782"/>
        <w:gridCol w:w="108"/>
        <w:gridCol w:w="267"/>
      </w:tblGrid>
      <w:tr>
        <w:trPr/>
        <w:tc>
          <w:tcPr>
            <w:tcW w:w="2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0"/>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 </w:t>
            </w:r>
          </w:p>
        </w:tc>
      </w:tr>
      <w:tr>
        <w:trPr/>
        <w:tc>
          <w:tcPr>
            <w:tcW w:w="2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907"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dashed" w:sz="2" w:space="1" w:color="000000"/>
        </w:rPr>
      </w:pPr>
      <w:r>
        <w:rPr>
          <w:bdr w:val="dashed"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DESTINATION XL GROUP, INC.</w:t>
            </w:r>
          </w:p>
          <w:p>
            <w:pPr>
              <w:pStyle w:val="TableContents"/>
              <w:bidi w:val="0"/>
              <w:spacing w:before="0" w:after="0"/>
              <w:jc w:val="center"/>
              <w:rPr>
                <w:rFonts w:ascii="Times New Roman" w:hAnsi="Times New Roman"/>
                <w:sz w:val="20"/>
              </w:rPr>
            </w:pPr>
            <w:r>
              <w:rPr>
                <w:rFonts w:ascii="Times New Roman" w:hAnsi="Times New Roman"/>
                <w:sz w:val="20"/>
              </w:rPr>
              <w:t>555 Turnpike Street</w:t>
            </w:r>
          </w:p>
          <w:p>
            <w:pPr>
              <w:pStyle w:val="TableContents"/>
              <w:bidi w:val="0"/>
              <w:spacing w:before="0" w:after="0"/>
              <w:jc w:val="center"/>
              <w:rPr>
                <w:rFonts w:ascii="Times New Roman" w:hAnsi="Times New Roman"/>
                <w:sz w:val="20"/>
              </w:rPr>
            </w:pPr>
            <w:r>
              <w:rPr>
                <w:rFonts w:ascii="Times New Roman" w:hAnsi="Times New Roman"/>
                <w:sz w:val="20"/>
              </w:rPr>
              <w:t>Canton, Massachusetts 02021</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This Proxy Is Solicited On Behalf Of The Board Of Directors</w:t>
            </w:r>
          </w:p>
          <w:p>
            <w:pPr>
              <w:pStyle w:val="TableContents"/>
              <w:bidi w:val="0"/>
              <w:spacing w:before="0" w:after="0"/>
              <w:jc w:val="center"/>
              <w:rPr>
                <w:rFonts w:ascii="Times New Roman" w:hAnsi="Times New Roman"/>
                <w:sz w:val="20"/>
              </w:rPr>
            </w:pPr>
            <w:r>
              <w:rPr>
                <w:rFonts w:ascii="Times New Roman" w:hAnsi="Times New Roman"/>
                <w:b/>
                <w:sz w:val="20"/>
              </w:rPr>
              <w:t>For The Special Meeting Of Stockholders To Be Held On [</w:t>
            </w:r>
            <w:r>
              <w:rPr>
                <w:rFonts w:ascii="Times New Roman" w:hAnsi="Times New Roman"/>
                <w:sz w:val="20"/>
              </w:rPr>
              <w:t>●</w:t>
            </w:r>
            <w:r>
              <w:rPr>
                <w:rFonts w:ascii="Times New Roman" w:hAnsi="Times New Roman"/>
                <w:b/>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Special Meeting of Stockholders (the “Special Meeting”) to be held on [●], [●], 2026 at [●]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Special Meeting, and, in their discretion, upon all such other matters as may properly come before the Special Meeting. The undersigned hereby revoke(s) all proxies, if any, hitherto given by the undersigned for the Special Meeting.</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813298/000119312526115660/dxlg-20260131.htm" TargetMode="External"/><Relationship Id="rId5" Type="http://schemas.openxmlformats.org/officeDocument/2006/relationships/hyperlink" Target="http://www.sec.gov/Archives/edgar/data/../../../ix?doc=/Archives/edgar/data/813298/000119312526239304/dxlg-20260131.htm" TargetMode="External"/><Relationship Id="rId6" Type="http://schemas.openxmlformats.org/officeDocument/2006/relationships/hyperlink" Target="http://www.sec.gov/Archives/edgar/data/../../../ix?doc=/Archives/edgar/data/813298/000119312526255525/dxlg-20260502.htm" TargetMode="External"/><Relationship Id="rId7" Type="http://schemas.openxmlformats.org/officeDocument/2006/relationships/hyperlink" Target="http://www.sec.gov/Archives/edgar/data/../../../ix?doc=/Archives/edgar/data/813298/000119312526041326/dxlg-20260204.htm" TargetMode="External"/><Relationship Id="rId8" Type="http://schemas.openxmlformats.org/officeDocument/2006/relationships/hyperlink" Target="http://www.sec.gov/Archives/edgar/data/../../../ix?doc=/Archives/edgar/data/813298/000119312526226858/dxlg-20260511.htm" TargetMode="External"/><Relationship Id="rId9" Type="http://schemas.openxmlformats.org/officeDocument/2006/relationships/hyperlink" Target="http://www.sec.gov/Archives/edgar/data/813298/000119312521266010/d202788d8a12b.htm" TargetMode="Externa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450</Pages>
  <Words>260931</Words>
  <Characters>1406135</Characters>
  <CharactersWithSpaces>1677381</CharactersWithSpaces>
  <Paragraphs>25925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