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10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3345815</wp:posOffset>
            </wp:positionH>
            <wp:positionV relativeFrom="paragraph">
              <wp:posOffset>158750</wp:posOffset>
            </wp:positionV>
            <wp:extent cx="5651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36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3345815</wp:posOffset>
            </wp:positionH>
            <wp:positionV relativeFrom="paragraph">
              <wp:posOffset>177800</wp:posOffset>
            </wp:positionV>
            <wp:extent cx="565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November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3345815</wp:posOffset>
            </wp:positionH>
            <wp:positionV relativeFrom="paragraph">
              <wp:posOffset>179705</wp:posOffset>
            </wp:positionV>
            <wp:extent cx="565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39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3345815</wp:posOffset>
            </wp:positionH>
            <wp:positionV relativeFrom="paragraph">
              <wp:posOffset>161290</wp:posOffset>
            </wp:positionV>
            <wp:extent cx="565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800" w:type="dxa"/>
        <w:tblCellMar>
          <w:top w:w="0" w:type="dxa"/>
          <w:left w:w="0" w:type="dxa"/>
          <w:bottom w:w="0" w:type="dxa"/>
          <w:right w:w="0" w:type="dxa"/>
        </w:tblCellMar>
      </w:tblPr>
      <w:tr>
        <w:trPr>
          <w:trHeight w:val="257"/>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line="149" w:lineRule="exact"/>
              <w:rPr>
                <w:sz w:val="20"/>
                <w:szCs w:val="20"/>
                <w:color w:val="auto"/>
              </w:rPr>
            </w:pPr>
            <w:r>
              <w:rPr>
                <w:rFonts w:ascii="Arial" w:cs="Arial" w:eastAsia="Arial" w:hAnsi="Arial"/>
                <w:sz w:val="13"/>
                <w:szCs w:val="13"/>
                <w:b w:val="1"/>
                <w:bCs w:val="1"/>
                <w:color w:val="auto"/>
                <w:w w:val="95"/>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700" w:type="dxa"/>
            <w:vAlign w:val="bottom"/>
          </w:tcPr>
          <w:p>
            <w:pPr>
              <w:jc w:val="center"/>
              <w:ind w:right="21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00"/>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56"/>
              <w:spacing w:after="0"/>
              <w:rPr>
                <w:sz w:val="20"/>
                <w:szCs w:val="20"/>
                <w:color w:val="auto"/>
              </w:rPr>
            </w:pPr>
            <w:r>
              <w:rPr>
                <w:rFonts w:ascii="Arial" w:cs="Arial" w:eastAsia="Arial" w:hAnsi="Arial"/>
                <w:sz w:val="13"/>
                <w:szCs w:val="13"/>
                <w:b w:val="1"/>
                <w:bCs w:val="1"/>
                <w:color w:val="auto"/>
                <w:w w:val="9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3345815</wp:posOffset>
            </wp:positionH>
            <wp:positionV relativeFrom="paragraph">
              <wp:posOffset>171450</wp:posOffset>
            </wp:positionV>
            <wp:extent cx="565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150" cy="825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342900</wp:posOffset>
            </wp:positionV>
            <wp:extent cx="565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0"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0"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0"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746"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6" w:lineRule="exact"/>
        <w:rPr>
          <w:sz w:val="20"/>
          <w:szCs w:val="20"/>
          <w:color w:val="auto"/>
        </w:rPr>
      </w:pPr>
    </w:p>
    <w:p>
      <w:pPr>
        <w:spacing w:after="0" w:line="273" w:lineRule="auto"/>
        <w:rPr>
          <w:sz w:val="20"/>
          <w:szCs w:val="20"/>
          <w:color w:val="auto"/>
        </w:rPr>
      </w:pPr>
      <w:r>
        <w:rPr>
          <w:rFonts w:ascii="Arial" w:cs="Arial" w:eastAsia="Arial" w:hAnsi="Arial"/>
          <w:sz w:val="21"/>
          <w:szCs w:val="21"/>
          <w:color w:val="auto"/>
        </w:rPr>
        <w:t>On November 18, 2016, Destination XL Group, Inc. (the “Company”) issued a press release announcing the Company’s operating results for the third quarter of fiscal 2016. A copy of this press release is attached hereto as Exhibit 99.1.</w:t>
      </w:r>
    </w:p>
    <w:p>
      <w:pPr>
        <w:spacing w:after="0" w:line="152"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An audio webcast to discuss the Company’s operating results for the third quarter of fiscal 2016 will be held today, November 18, 2016, at 9:00 a.m. EST. Interested parties can access the webcast and accompanying slide presentation on the Company's website at www.destinationxl.com under the Investor Relations section.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160" w:type="dxa"/>
            <w:vAlign w:val="bottom"/>
          </w:tcPr>
          <w:p>
            <w:pPr>
              <w:spacing w:after="0"/>
              <w:rPr>
                <w:sz w:val="23"/>
                <w:szCs w:val="23"/>
                <w:color w:val="auto"/>
              </w:rPr>
            </w:pPr>
          </w:p>
        </w:tc>
      </w:tr>
      <w:tr>
        <w:trPr>
          <w:trHeight w:val="435"/>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Description</w:t>
            </w:r>
          </w:p>
        </w:tc>
        <w:tc>
          <w:tcPr>
            <w:tcW w:w="5160" w:type="dxa"/>
            <w:vAlign w:val="bottom"/>
          </w:tcPr>
          <w:p>
            <w:pPr>
              <w:spacing w:after="0"/>
              <w:rPr>
                <w:sz w:val="24"/>
                <w:szCs w:val="24"/>
                <w:color w:val="auto"/>
              </w:rPr>
            </w:pPr>
          </w:p>
        </w:tc>
      </w:tr>
      <w:tr>
        <w:trPr>
          <w:trHeight w:val="759"/>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6820" w:type="dxa"/>
            <w:vAlign w:val="bottom"/>
            <w:gridSpan w:val="3"/>
          </w:tcPr>
          <w:p>
            <w:pPr>
              <w:ind w:left="320"/>
              <w:spacing w:after="0"/>
              <w:rPr>
                <w:sz w:val="20"/>
                <w:szCs w:val="20"/>
                <w:color w:val="auto"/>
              </w:rPr>
            </w:pPr>
            <w:r>
              <w:rPr>
                <w:rFonts w:ascii="Arial" w:cs="Arial" w:eastAsia="Arial" w:hAnsi="Arial"/>
                <w:sz w:val="22"/>
                <w:szCs w:val="22"/>
                <w:color w:val="auto"/>
                <w:w w:val="88"/>
              </w:rPr>
              <w:t>Press release issued by Destination XL Group, Inc. on November 18,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45" w:right="39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November 18, 2016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6985</wp:posOffset>
            </wp:positionV>
            <wp:extent cx="2980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Robert S. Molloy</w:t>
      </w:r>
    </w:p>
    <w:p>
      <w:pPr>
        <w:jc w:val="center"/>
        <w:ind w:left="670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53185" cy="599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53185" cy="59944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Unger</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(561) 482-9715</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Destination XL Group, Inc. Reports Third-Quarter 2016 Financial Results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Opens 200</w:t>
      </w:r>
      <w:r>
        <w:rPr>
          <w:rFonts w:ascii="Arial" w:cs="Arial" w:eastAsia="Arial" w:hAnsi="Arial"/>
          <w:sz w:val="15"/>
          <w:szCs w:val="15"/>
          <w:i w:val="1"/>
          <w:iCs w:val="1"/>
          <w:color w:val="auto"/>
        </w:rPr>
        <w:t>th</w:t>
      </w:r>
      <w:r>
        <w:rPr>
          <w:rFonts w:ascii="Arial" w:cs="Arial" w:eastAsia="Arial" w:hAnsi="Arial"/>
          <w:sz w:val="18"/>
          <w:szCs w:val="18"/>
          <w:i w:val="1"/>
          <w:iCs w:val="1"/>
          <w:color w:val="auto"/>
        </w:rPr>
        <w:t xml:space="preserve"> DXL store; Company updates guidance</w:t>
      </w:r>
    </w:p>
    <w:p>
      <w:pPr>
        <w:spacing w:after="0" w:line="23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CANTON, Mass., November 18, 2016 – </w:t>
      </w:r>
      <w:r>
        <w:rPr>
          <w:rFonts w:ascii="Arial" w:cs="Arial" w:eastAsia="Arial" w:hAnsi="Arial"/>
          <w:sz w:val="20"/>
          <w:szCs w:val="20"/>
          <w:u w:val="single" w:color="auto"/>
          <w:color w:val="auto"/>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third quarter of fiscal 2016.</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Fiscal 2016 Highlights</w:t>
      </w:r>
    </w:p>
    <w:p>
      <w:pPr>
        <w:spacing w:after="0" w:line="140" w:lineRule="exact"/>
        <w:rPr>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sales increased 2.3%, inclusive of comparable sales growth of 0.9%, a 2-year stack of 5.2%</w:t>
      </w:r>
    </w:p>
    <w:p>
      <w:pPr>
        <w:spacing w:after="0" w:line="15" w:lineRule="exact"/>
        <w:rPr>
          <w:rFonts w:ascii="Arial" w:cs="Arial" w:eastAsia="Arial" w:hAnsi="Arial"/>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DXL retail stores delivered positive 2.3% comparable sales growth, a 2-year stack of 11.5%</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narrowed to $(4.5) million, compared with $(5.5) million in the prior-year quarter</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EBITDA increased 57% to $3.9 million from $2.5 million in the prior-year quarter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delivered another quarter of positive comparable sales growth,” said President and CEO David Levin. “Despite a very difficult retail environment, our DXL stores continue to perform, registering comparable sales growth of 2.3%, driven by increases in both transactions and average spend per guest. We also continue to grow EBITDA, delivering a year-over-year improvement of 57%. Heading into the fourth quarter, our inventories are in excellent shape, and we are well positioned to capitalize on the coming holiday shopping season,” Levin said.</w:t>
      </w:r>
    </w:p>
    <w:p>
      <w:pPr>
        <w:spacing w:after="0" w:line="174" w:lineRule="exact"/>
        <w:rPr>
          <w:sz w:val="20"/>
          <w:szCs w:val="20"/>
          <w:color w:val="auto"/>
        </w:rPr>
      </w:pPr>
    </w:p>
    <w:p>
      <w:pPr>
        <w:jc w:val="both"/>
        <w:ind w:right="440"/>
        <w:spacing w:after="0" w:line="244" w:lineRule="auto"/>
        <w:rPr>
          <w:sz w:val="20"/>
          <w:szCs w:val="20"/>
          <w:color w:val="auto"/>
        </w:rPr>
      </w:pPr>
      <w:r>
        <w:rPr>
          <w:rFonts w:ascii="Arial" w:cs="Arial" w:eastAsia="Arial" w:hAnsi="Arial"/>
          <w:sz w:val="20"/>
          <w:szCs w:val="20"/>
          <w:color w:val="auto"/>
        </w:rPr>
        <w:t>“The DXL transformation remains on track, as we opened 13 new stores in the third quarter. We continue to see very strong cash-on-cash returns from our new DXL stores, and we are very excited to have reached a major milestone with the opening of our 200th DXL store, in Oxnard, California.”</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“We continually look to maximize the return we achieve on every dollar we spend, and that scrutiny is heightened in a difficult retail environment such as the one we are experiencing. Because of this disciplined approach, we have decided not to spend advertising dollars on television in the fourth quarter. Our marketing campaign in the fourth quarter will consist of radio, digital and social media, and we will continue to evaluate the use of television in the future. The lack of television exposure, coupled with the delayed arrival of cold weather, is leading us to a more cautious outlook for sales and EBITDA. However, we are still maintaining our adjusted earnings guidance of breakeven to $(0.05) per share,” Levin concluded.</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Third-Quarter 2016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the third quarter of fiscal 2016, total sales rose 2.3% to $101.9 million from $99.6 million in the third quarter of fiscal 2015. The increase of $2.3 million in total sales was primarily driven by a comparable sales increase of $1.1 million, or 2.3%, from the Company’s DXL stores. On a comparable basis, total transactions in the Company’s DXL stores were up 1.8% over the prior-year’s third quarter. Sales per square foot for the DXL retail stores, on a rolling 12-month basis, increased to $182 from $174 for the prior-year quarter.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For the third quarter of fiscal 2016, gross margin, inclusive of occupancy costs, was 44.4%, compared with gross margin of 45.0% for the third quarter of fiscal 2015. The decrease of 60 basis points was the result of a 30-basis-point decrease in merchandise margin and a 30-basis-point increase in occupancy costs as a percentage of total sales. The decrease in merchandise margin was primarily due to a shift in the timing of clearance markdowns. The increase in occupancy costs was due to occupancy expense increasing at a greater percentage than sales. On a dollar basis, occupancy costs for the third quarter increased approximately 4.0% over the prior-year’s third quarter, primarily as a result of an increase in total square footage.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SG&amp;A expenses for the third quarter of fiscal 2016 were 40.6% of sales, compared with 42.6% in the third quarter of fiscal 2015. On a dollar basis, SG&amp;A expense declined $1.0 million from the same quarter of the prior year, primarily due to decreases in advertising costs and incentive accruals, which were partially offset by increased store payroll and medical benefits costs.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color w:val="auto"/>
        </w:rPr>
        <w:t>Net loss for the third quarter of fiscal 2016 was $(4.5) million, or $(0.09) per diluted share, compared with a net loss of $(5.5) million, or</w:t>
      </w:r>
    </w:p>
    <w:p>
      <w:pPr>
        <w:spacing w:after="0" w:line="27"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$(0.11) per diluted share, for the third quarter of fiscal 2015. On a non-GAAP basis, assuming a normalized tax rate of 40%, adjusted net loss for the third quarter of fiscal 2016 and fiscal 2015 was $(0.05) and $(0.07) per diluted share,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w:t>
      </w:r>
    </w:p>
    <w:p>
      <w:pPr>
        <w:spacing w:after="0" w:line="107"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color w:val="auto"/>
        </w:rPr>
        <w:t>Earnings before interest, taxes, depreciation and amortization (EBITDA), a non-GAAP measure, for the third quarter of fiscal 2016 were $3.9 million, compared with $2.5 million for the third quarter of fiscal 2015. The improvement was driven by an increase in sales from the same quarter of the prior year and a decrease in SG&amp;A expenses.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48" w:lineRule="exact"/>
        <w:rPr>
          <w:sz w:val="20"/>
          <w:szCs w:val="20"/>
          <w:color w:val="auto"/>
        </w:rPr>
      </w:pPr>
    </w:p>
    <w:p>
      <w:pPr>
        <w:jc w:val="both"/>
        <w:ind w:right="340"/>
        <w:spacing w:after="0" w:line="249" w:lineRule="auto"/>
        <w:rPr>
          <w:sz w:val="20"/>
          <w:szCs w:val="20"/>
          <w:color w:val="auto"/>
        </w:rPr>
      </w:pPr>
      <w:r>
        <w:rPr>
          <w:rFonts w:ascii="Arial" w:cs="Arial" w:eastAsia="Arial" w:hAnsi="Arial"/>
          <w:sz w:val="20"/>
          <w:szCs w:val="20"/>
          <w:color w:val="auto"/>
        </w:rPr>
        <w:t>Cash Flow provided by operations for the first nine months of fiscal 2016 was $8.1 million, compared with cash flow used for operations of $(5.0) million for the same period of fiscal 2015. Capital expenditures for the first nine months of fiscal 2016 of $21.8 million consisted of $16.0 million for new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20"/>
          <w:szCs w:val="20"/>
          <w:color w:val="auto"/>
        </w:rPr>
        <w:t>DXL stores and $5.8 million for infrastructure projects. Capital expenditures for the first nine months of fiscal 2015 of $25.3 million consisted of $17.3 million for new DXL stores and $8.1 million for infrastructure projects. Free cash flow, before DXL capital expenditures, a non-GAAP measure, improved $15.4 million from the first nine months of fiscal 2015. Certain amounts in the following table may not foot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60" w:type="dxa"/>
            <w:vAlign w:val="bottom"/>
            <w:gridSpan w:val="6"/>
          </w:tcPr>
          <w:p>
            <w:pPr>
              <w:jc w:val="right"/>
              <w:ind w:right="1680"/>
              <w:spacing w:after="0"/>
              <w:rPr>
                <w:sz w:val="20"/>
                <w:szCs w:val="20"/>
                <w:color w:val="auto"/>
              </w:rPr>
            </w:pPr>
            <w:r>
              <w:rPr>
                <w:rFonts w:ascii="Arial" w:cs="Arial" w:eastAsia="Arial" w:hAnsi="Arial"/>
                <w:sz w:val="14"/>
                <w:szCs w:val="14"/>
                <w:color w:val="auto"/>
              </w:rPr>
              <w:t>For the nine months ended</w:t>
            </w: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4"/>
                <w:szCs w:val="14"/>
                <w:color w:val="auto"/>
              </w:rPr>
            </w:pPr>
          </w:p>
        </w:tc>
        <w:tc>
          <w:tcPr>
            <w:tcW w:w="2040" w:type="dxa"/>
            <w:vAlign w:val="bottom"/>
            <w:gridSpan w:val="2"/>
          </w:tcPr>
          <w:p>
            <w:pPr>
              <w:jc w:val="right"/>
              <w:ind w:right="780"/>
              <w:spacing w:after="0"/>
              <w:rPr>
                <w:sz w:val="20"/>
                <w:szCs w:val="20"/>
                <w:color w:val="auto"/>
              </w:rPr>
            </w:pPr>
            <w:r>
              <w:rPr>
                <w:rFonts w:ascii="Arial" w:cs="Arial" w:eastAsia="Arial" w:hAnsi="Arial"/>
                <w:sz w:val="14"/>
                <w:szCs w:val="14"/>
                <w:color w:val="auto"/>
              </w:rPr>
              <w:t>October 29, 2016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color w:val="auto"/>
              </w:rPr>
              <w:t>October 31, 2015</w:t>
            </w:r>
          </w:p>
        </w:tc>
      </w:tr>
      <w:tr>
        <w:trPr>
          <w:trHeight w:val="155"/>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20" w:type="dxa"/>
            <w:vAlign w:val="bottom"/>
          </w:tcPr>
          <w:p>
            <w:pPr>
              <w:spacing w:after="0"/>
              <w:rPr>
                <w:sz w:val="14"/>
                <w:szCs w:val="14"/>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r>
      <w:tr>
        <w:trPr>
          <w:trHeight w:val="155"/>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20" w:type="dxa"/>
            <w:vAlign w:val="bottom"/>
          </w:tcPr>
          <w:p>
            <w:pPr>
              <w:spacing w:after="0"/>
              <w:rPr>
                <w:sz w:val="14"/>
                <w:szCs w:val="14"/>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(17.3)</w:t>
            </w:r>
          </w:p>
        </w:tc>
      </w:tr>
      <w:tr>
        <w:trPr>
          <w:trHeight w:val="155"/>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The Company believes it is important to distinguish between capital expenditures for DXL stores, which is a discretionary investment, and capital expenditures for infrastructure projects. Capital expenditures on all new DXL stores are subject to demanding ROIC (“Return on Invested Capital”) hurdles, and the achievement of these hurdles has been a significant contributor to the Company’s continued improvement in EBITDA. Management believes free cash flow before DXL capital expenditures is an important metric, because it demonstrates DXL’s ability to strengthen liquidity while also contributing to the funding of DXL store growth.</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180"/>
        <w:spacing w:after="0" w:line="249" w:lineRule="auto"/>
        <w:rPr>
          <w:sz w:val="20"/>
          <w:szCs w:val="20"/>
          <w:color w:val="auto"/>
        </w:rPr>
      </w:pPr>
      <w:r>
        <w:rPr>
          <w:rFonts w:ascii="Arial" w:cs="Arial" w:eastAsia="Arial" w:hAnsi="Arial"/>
          <w:sz w:val="20"/>
          <w:szCs w:val="20"/>
          <w:color w:val="auto"/>
        </w:rPr>
        <w:t>EBITDA, adjusted net loss per share, free cash flow and free cash flow before DXL capital expenditures are non-GAAP financial measures. Please see “Non-GAAP Measures” below and reconciliations of these non-GAAP measures to the comparable GAAP measures that follow in the tables below.</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3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At October 29, 2016, the Company had cash and cash equivalents of $6.3 million. Total debt at October 29, 2016 was $83.3 million. Total debt consisted of $62.4 million outstanding under the Company’s credit facility, net of unamortized debt issuance costs, and approximately $20.9 million outstanding under its term loan and equipment financing notes, net of unamortized debt issuance costs. At October 29, 2016, the Company had $52.4 million of excess availability under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color w:val="auto"/>
        </w:rPr>
        <w:t>Inventory was $128.2 million at October 29, 2016, compared with $125.0 million at January 30, 2016 and $133.3 million at October 31, 2015. The decrease in inventory compared with last year’s third quarter is due to inventory initiatives to improve timing of receipts and weeks of supply on hand. Clearance inventory represented 9% of total inventory for both the third quarter of fiscal 2016 and the third quarter of fiscal 2015.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For the third quarter of fiscal 2016, the Company opened 13 new DXL stores, which included 1 outlet: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300" w:type="dxa"/>
            <w:vAlign w:val="bottom"/>
            <w:gridSpan w:val="4"/>
          </w:tcPr>
          <w:p>
            <w:pPr>
              <w:ind w:left="560"/>
              <w:spacing w:after="0"/>
              <w:rPr>
                <w:sz w:val="20"/>
                <w:szCs w:val="20"/>
                <w:color w:val="auto"/>
              </w:rPr>
            </w:pPr>
            <w:r>
              <w:rPr>
                <w:rFonts w:ascii="Arial" w:cs="Arial" w:eastAsia="Arial" w:hAnsi="Arial"/>
                <w:sz w:val="18"/>
                <w:szCs w:val="18"/>
                <w:color w:val="auto"/>
              </w:rPr>
              <w:t>Year End 2014</w:t>
            </w:r>
          </w:p>
        </w:tc>
        <w:tc>
          <w:tcPr>
            <w:tcW w:w="2320" w:type="dxa"/>
            <w:vAlign w:val="bottom"/>
            <w:gridSpan w:val="4"/>
          </w:tcPr>
          <w:p>
            <w:pPr>
              <w:ind w:left="560"/>
              <w:spacing w:after="0"/>
              <w:rPr>
                <w:sz w:val="20"/>
                <w:szCs w:val="20"/>
                <w:color w:val="auto"/>
              </w:rPr>
            </w:pPr>
            <w:r>
              <w:rPr>
                <w:rFonts w:ascii="Arial" w:cs="Arial" w:eastAsia="Arial" w:hAnsi="Arial"/>
                <w:sz w:val="18"/>
                <w:szCs w:val="18"/>
                <w:color w:val="auto"/>
              </w:rPr>
              <w:t>Year End 2015</w:t>
            </w:r>
          </w:p>
        </w:tc>
        <w:tc>
          <w:tcPr>
            <w:tcW w:w="2260" w:type="dxa"/>
            <w:vAlign w:val="bottom"/>
            <w:gridSpan w:val="4"/>
          </w:tcPr>
          <w:p>
            <w:pPr>
              <w:ind w:left="340"/>
              <w:spacing w:after="0"/>
              <w:rPr>
                <w:sz w:val="20"/>
                <w:szCs w:val="20"/>
                <w:color w:val="auto"/>
              </w:rPr>
            </w:pPr>
            <w:r>
              <w:rPr>
                <w:rFonts w:ascii="Arial" w:cs="Arial" w:eastAsia="Arial" w:hAnsi="Arial"/>
                <w:sz w:val="18"/>
                <w:szCs w:val="18"/>
                <w:color w:val="auto"/>
              </w:rPr>
              <w:t>At October 29, 2016</w:t>
            </w:r>
          </w:p>
        </w:tc>
        <w:tc>
          <w:tcPr>
            <w:tcW w:w="2240" w:type="dxa"/>
            <w:vAlign w:val="bottom"/>
            <w:gridSpan w:val="4"/>
          </w:tcPr>
          <w:p>
            <w:pPr>
              <w:ind w:left="460"/>
              <w:spacing w:after="0"/>
              <w:rPr>
                <w:sz w:val="20"/>
                <w:szCs w:val="20"/>
                <w:color w:val="auto"/>
              </w:rPr>
            </w:pPr>
            <w:r>
              <w:rPr>
                <w:rFonts w:ascii="Arial" w:cs="Arial" w:eastAsia="Arial" w:hAnsi="Arial"/>
                <w:sz w:val="18"/>
                <w:szCs w:val="18"/>
                <w:color w:val="auto"/>
              </w:rPr>
              <w:t>Year End 2016E</w:t>
            </w:r>
          </w:p>
        </w:tc>
      </w:tr>
      <w:tr>
        <w:trPr>
          <w:trHeight w:val="215"/>
        </w:trPr>
        <w:tc>
          <w:tcPr>
            <w:tcW w:w="2300" w:type="dxa"/>
            <w:vAlign w:val="bottom"/>
            <w:shd w:val="clear" w:color="auto" w:fill="CFF0FC"/>
          </w:tcPr>
          <w:p>
            <w:pPr>
              <w:spacing w:after="0"/>
              <w:rPr>
                <w:sz w:val="18"/>
                <w:szCs w:val="18"/>
                <w:color w:val="auto"/>
              </w:rPr>
            </w:pPr>
          </w:p>
        </w:tc>
        <w:tc>
          <w:tcPr>
            <w:tcW w:w="820" w:type="dxa"/>
            <w:vAlign w:val="bottom"/>
            <w:shd w:val="clear" w:color="auto" w:fill="CFF0FC"/>
          </w:tcPr>
          <w:p>
            <w:pPr>
              <w:jc w:val="center"/>
              <w:ind w:left="230"/>
              <w:spacing w:after="0"/>
              <w:rPr>
                <w:sz w:val="20"/>
                <w:szCs w:val="20"/>
                <w:color w:val="auto"/>
              </w:rPr>
            </w:pPr>
            <w:r>
              <w:rPr>
                <w:rFonts w:ascii="Arial" w:cs="Arial" w:eastAsia="Arial" w:hAnsi="Arial"/>
                <w:sz w:val="18"/>
                <w:szCs w:val="18"/>
                <w:color w:val="auto"/>
                <w:w w:val="99"/>
              </w:rPr>
              <w:t># of</w:t>
            </w: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1"/>
              </w:rPr>
              <w:t>Sq Ft.</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3"/>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r>
      <w:tr>
        <w:trPr>
          <w:trHeight w:val="230"/>
        </w:trPr>
        <w:tc>
          <w:tcPr>
            <w:tcW w:w="2300" w:type="dxa"/>
            <w:vAlign w:val="bottom"/>
            <w:shd w:val="clear" w:color="auto" w:fill="CFF0FC"/>
          </w:tcPr>
          <w:p>
            <w:pPr>
              <w:spacing w:after="0"/>
              <w:rPr>
                <w:sz w:val="20"/>
                <w:szCs w:val="20"/>
                <w:color w:val="auto"/>
              </w:rPr>
            </w:pPr>
          </w:p>
        </w:tc>
        <w:tc>
          <w:tcPr>
            <w:tcW w:w="820" w:type="dxa"/>
            <w:vAlign w:val="bottom"/>
            <w:shd w:val="clear" w:color="auto" w:fill="CFF0FC"/>
          </w:tcPr>
          <w:p>
            <w:pPr>
              <w:jc w:val="center"/>
              <w:ind w:left="230"/>
              <w:spacing w:after="0"/>
              <w:rPr>
                <w:sz w:val="20"/>
                <w:szCs w:val="20"/>
                <w:color w:val="auto"/>
              </w:rPr>
            </w:pPr>
            <w:r>
              <w:rPr>
                <w:rFonts w:ascii="Arial" w:cs="Arial" w:eastAsia="Arial" w:hAnsi="Arial"/>
                <w:sz w:val="18"/>
                <w:szCs w:val="18"/>
                <w:color w:val="auto"/>
                <w:w w:val="88"/>
              </w:rPr>
              <w:t>Stores</w:t>
            </w:r>
          </w:p>
        </w:tc>
        <w:tc>
          <w:tcPr>
            <w:tcW w:w="4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4"/>
              </w:rPr>
              <w:t>(000’s)</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DXL retail</w:t>
            </w:r>
          </w:p>
        </w:tc>
        <w:tc>
          <w:tcPr>
            <w:tcW w:w="8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138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157</w:t>
            </w: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353</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2016 Outlook</w:t>
      </w:r>
    </w:p>
    <w:p>
      <w:pPr>
        <w:spacing w:after="0" w:line="154"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Company is reducing its sales and EBITDA guidance for fiscal 2016, given its decision to eliminate its television campaign in the fourth quarter of fiscal 2016. The Company believes that the cost of a television campaign would outweigh any incremental sales growth in this difficult retail environment. This decision is expected to have a short-term negative impact on sales in the fourth quarter of fiscal 2016, but the Company maintains its earnings guidance, on a GAAP basis, of breakeven to $(0.09) per share and its expectations to generate positive free cash flow in fiscal 2016.</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The Company now expects:</w:t>
      </w:r>
    </w:p>
    <w:p>
      <w:pPr>
        <w:spacing w:after="0" w:line="134" w:lineRule="exact"/>
        <w:rPr>
          <w:sz w:val="20"/>
          <w:szCs w:val="20"/>
          <w:color w:val="auto"/>
        </w:rPr>
      </w:pPr>
    </w:p>
    <w:p>
      <w:pPr>
        <w:ind w:left="880" w:right="20" w:hanging="440"/>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sales of $451.0 to $457.0 million with a total comparable sales increase in the range of 1.0% to 2.0% (a decrease from previous guidance of $457.0 to $463.0 million, with a comparable sales increase in the range of 2.0% to 4.0%).</w:t>
      </w:r>
    </w:p>
    <w:p>
      <w:pPr>
        <w:spacing w:after="0" w:line="135" w:lineRule="exact"/>
        <w:rPr>
          <w:rFonts w:ascii="Arial" w:cs="Arial" w:eastAsia="Arial" w:hAnsi="Arial"/>
          <w:sz w:val="18"/>
          <w:szCs w:val="18"/>
          <w:color w:val="auto"/>
        </w:rPr>
      </w:pPr>
    </w:p>
    <w:p>
      <w:pPr>
        <w:ind w:left="880" w:right="360" w:hanging="440"/>
        <w:spacing w:after="0" w:line="24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A net loss of $4.4 million, or $(0.09) per diluted share, to breakeven (unchanged). On a non-GAAP basis, an adjusted net loss of $2.6 million, or $(0.05) per diluted share, to breakeven (unchanged). This guidance is presented on a non-GAAP basis for comparative purposes to fiscal 2015 earnings, assuming a normal tax benefit of approximately 40%. The Company expects to continue to provide a full valuation allowance against its deferred tax assets in fiscal 2016 and will not recognize any income tax benefit on its operating loss in fiscal 2016.*</w:t>
      </w:r>
    </w:p>
    <w:p>
      <w:pPr>
        <w:spacing w:after="0" w:line="152"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margin of approximately 46.0% (a decrease from previous guidance of 46.2% to 46.5%).</w:t>
      </w:r>
    </w:p>
    <w:p>
      <w:pPr>
        <w:spacing w:after="0" w:line="17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EBITDA in the range of $30.0 to $33.0 million (a decrease from previous guidance of $31.0 to $35.0 million).*</w:t>
      </w:r>
    </w:p>
    <w:p>
      <w:pPr>
        <w:spacing w:after="0" w:line="174" w:lineRule="exact"/>
        <w:rPr>
          <w:rFonts w:ascii="Arial" w:cs="Arial" w:eastAsia="Arial" w:hAnsi="Arial"/>
          <w:sz w:val="18"/>
          <w:szCs w:val="18"/>
          <w:color w:val="auto"/>
        </w:rPr>
      </w:pPr>
    </w:p>
    <w:p>
      <w:pPr>
        <w:jc w:val="both"/>
        <w:ind w:left="880" w:right="20" w:hanging="440"/>
        <w:spacing w:after="0" w:line="24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 open approximately 25 DXL retail stores and 4 DXL outlet stores and close approximately 29 Casual Male XL retail stores and 4 Casual Male XL outlet stores (a change from previous guidance of opening 28 DXL retail stores and 3 DXL outlet stores and closing approximately 26 Casual Male XL retail stores and 3 Casual Male XL outlet stores).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ind w:left="880" w:right="200" w:hanging="440"/>
        <w:spacing w:after="0" w:line="261"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20"/>
          <w:szCs w:val="20"/>
          <w:color w:val="auto"/>
        </w:rPr>
        <w:t>Capital expenditures of approximately $30.0 million in fiscal 2016, with approximately $20.6 million invested in new DXL stores (unchanged).</w:t>
      </w:r>
    </w:p>
    <w:p>
      <w:pPr>
        <w:spacing w:after="0" w:line="134" w:lineRule="exact"/>
        <w:rPr>
          <w:rFonts w:ascii="Arial" w:cs="Arial" w:eastAsia="Arial" w:hAnsi="Arial"/>
          <w:sz w:val="18"/>
          <w:szCs w:val="18"/>
          <w:color w:val="auto"/>
        </w:rPr>
      </w:pPr>
    </w:p>
    <w:p>
      <w:pPr>
        <w:ind w:left="880" w:right="260" w:hanging="440"/>
        <w:spacing w:after="0" w:line="260"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20"/>
          <w:szCs w:val="20"/>
          <w:color w:val="auto"/>
        </w:rPr>
        <w:t>Borrowings at the end of fiscal 2016 in the range of $60.0 to $66.0 million (an increase from previous guidance of $59.0 to $64.0 million).</w:t>
      </w:r>
    </w:p>
    <w:p>
      <w:pPr>
        <w:spacing w:after="0" w:line="135" w:lineRule="exact"/>
        <w:rPr>
          <w:rFonts w:ascii="Arial" w:cs="Arial" w:eastAsia="Arial" w:hAnsi="Arial"/>
          <w:sz w:val="18"/>
          <w:szCs w:val="18"/>
          <w:color w:val="auto"/>
        </w:rPr>
      </w:pPr>
    </w:p>
    <w:p>
      <w:pPr>
        <w:ind w:left="880" w:right="220" w:hanging="440"/>
        <w:spacing w:after="0" w:line="249"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20"/>
          <w:szCs w:val="20"/>
          <w:color w:val="auto"/>
        </w:rPr>
        <w:t>Free cash flow before DXL capital expenditures of approximately $24.6 to $28.6 million (a decrease from previous guidance of $25.6 to $30.6 million), resulting in total free cash flow in the range of $4.0 to $8.0 million (a decrease from previous guidance of $5.0 to $10.0 million).*</w:t>
      </w:r>
    </w:p>
    <w:p>
      <w:pPr>
        <w:spacing w:after="0" w:line="14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Reconciliations of these non-GAAP measures to their comparable GAAP measures are provided in the tables below.</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3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Friday, November 18, 2016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section of the Company's website. The live call also can be accessed by dialing: (888) 587-0615. Please reference conference ID: 2483996. An archived version of the webcast may be accessed by visiting the "</w:t>
      </w:r>
      <w:r>
        <w:rPr>
          <w:rFonts w:ascii="Arial" w:cs="Arial" w:eastAsia="Arial" w:hAnsi="Arial"/>
          <w:sz w:val="20"/>
          <w:szCs w:val="20"/>
          <w:u w:val="single" w:color="auto"/>
          <w:color w:val="auto"/>
        </w:rPr>
        <w:t>Events</w:t>
      </w:r>
      <w:r>
        <w:rPr>
          <w:rFonts w:ascii="Arial" w:cs="Arial" w:eastAsia="Arial" w:hAnsi="Arial"/>
          <w:sz w:val="20"/>
          <w:szCs w:val="20"/>
          <w:color w:val="auto"/>
        </w:rPr>
        <w:t>" section of the Company's website for up to one year.</w:t>
      </w:r>
    </w:p>
    <w:p>
      <w:pPr>
        <w:spacing w:after="0" w:line="150"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net loss per diluted share, free cash flow and free cash flow before DXL capital expenditures. The presentation of these non-GAAP measures is not in accordance with GAAP, and should not be considered superior to or as a substitute for net loss,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91"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Company believes that EBITDA (calculated as earnings before interest, taxes, depreciation and amortization) is useful to investors in evaluating its performance. With the significant capital investment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8" w:name="page9"/>
    <w:bookmarkEnd w:id="8"/>
    <w:p>
      <w:pPr>
        <w:ind w:right="480"/>
        <w:spacing w:after="0" w:line="261" w:lineRule="auto"/>
        <w:rPr>
          <w:sz w:val="20"/>
          <w:szCs w:val="20"/>
          <w:color w:val="auto"/>
        </w:rPr>
      </w:pPr>
      <w:r>
        <w:rPr>
          <w:rFonts w:ascii="Arial" w:cs="Arial" w:eastAsia="Arial" w:hAnsi="Arial"/>
          <w:sz w:val="20"/>
          <w:szCs w:val="20"/>
          <w:color w:val="auto"/>
        </w:rPr>
        <w:t>associated with the DXL transformation and, therefore, increasing levels of depreciation and interest, management uses EBITDA as a key metric to measure profitability and economic productivity.</w:t>
      </w:r>
    </w:p>
    <w:p>
      <w:pPr>
        <w:spacing w:after="0" w:line="108"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color w:val="auto"/>
        </w:rPr>
        <w:t>The Company has fully reserved against its deferred tax assets and, therefore, its net loss is not reflective of earnings assuming a “normal” tax position. Adjusted net loss provides investors with a useful indication of the financial performance of the business, on a comparative basis, assuming a normalized effective tax rate of 40%.</w:t>
      </w:r>
    </w:p>
    <w:p>
      <w:pPr>
        <w:spacing w:after="0" w:line="10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Free cash flow and free cash flow before DXL capital expenditures are metrics that management uses to monitor liquidity. The Company has stated that beginning in fiscal 2016 it expects to fund its ongoing DXL capital expenditures with cash flow from operations. Management believes this metric is important to investors because it demonstrates the Company’s ability to strengthen liquidity while also contributing to the funding of the DXL store growth. Free cash flow is calculated as cash flow from operating activities, less capital expenditures, and excludes the mandatory and discretionary repayment of debt. Free cash flow before DXL capital expenditures is calculated as free cash flow with DXL capital expenditures added back.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 xml:space="preserve">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t>
      </w:r>
      <w:r>
        <w:rPr>
          <w:rFonts w:ascii="Arial" w:cs="Arial" w:eastAsia="Arial" w:hAnsi="Arial"/>
          <w:sz w:val="19"/>
          <w:szCs w:val="19"/>
          <w:u w:val="single" w:color="auto"/>
          <w:color w:val="0000FF"/>
        </w:rPr>
        <w:t>www.destinationxl.com</w:t>
      </w:r>
      <w:r>
        <w:rPr>
          <w:rFonts w:ascii="Arial" w:cs="Arial" w:eastAsia="Arial" w:hAnsi="Arial"/>
          <w:sz w:val="19"/>
          <w:szCs w:val="19"/>
          <w:color w:val="auto"/>
        </w:rPr>
        <w:t xml:space="preserve"> and </w:t>
      </w:r>
      <w:r>
        <w:rPr>
          <w:rFonts w:ascii="Arial" w:cs="Arial" w:eastAsia="Arial" w:hAnsi="Arial"/>
          <w:sz w:val="19"/>
          <w:szCs w:val="19"/>
          <w:u w:val="single" w:color="auto"/>
          <w:color w:val="0000FF"/>
        </w:rPr>
        <w:t>www.bigandtall.com</w:t>
      </w:r>
      <w:r>
        <w:rPr>
          <w:rFonts w:ascii="Arial" w:cs="Arial" w:eastAsia="Arial" w:hAnsi="Arial"/>
          <w:sz w:val="19"/>
          <w:szCs w:val="19"/>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9"/>
          <w:szCs w:val="19"/>
          <w:u w:val="single" w:color="auto"/>
          <w:color w:val="0000FF"/>
        </w:rPr>
        <w:t>http://investor.destinationxl.com</w:t>
      </w:r>
      <w:r>
        <w:rPr>
          <w:rFonts w:ascii="Arial" w:cs="Arial" w:eastAsia="Arial" w:hAnsi="Arial"/>
          <w:sz w:val="19"/>
          <w:szCs w:val="19"/>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capital expenditures, debt levels, sales, EBITDA, and earnings for fiscal 2016, the expected impact of inventory management improvements on working capital in fiscal 2016, the Company’s ability to execute on its strategic plan and the effectiveness of the Destination XL concept.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18, 2016, that set forth certain risks and uncertainties that may have an impact on future results and direction of the Company, including risks relating to the Company’s execution of its DXL strategy and ability to grow its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line="260" w:lineRule="auto"/>
        <w:rPr>
          <w:sz w:val="20"/>
          <w:szCs w:val="20"/>
          <w:color w:val="auto"/>
        </w:rPr>
      </w:pPr>
      <w:r>
        <w:rPr>
          <w:rFonts w:ascii="Arial" w:cs="Arial" w:eastAsia="Arial" w:hAnsi="Arial"/>
          <w:sz w:val="20"/>
          <w:szCs w:val="20"/>
          <w:i w:val="1"/>
          <w:iCs w:val="1"/>
          <w:color w:val="auto"/>
        </w:rPr>
        <w:t>market share, its ability to predict customer tastes and fashion trends, its ability to forecast sales growth trends and its ability to compete successfully in the United States men’s big and tall apparel market.</w:t>
      </w:r>
    </w:p>
    <w:p>
      <w:pPr>
        <w:spacing w:after="0" w:line="109" w:lineRule="exact"/>
        <w:rPr>
          <w:sz w:val="20"/>
          <w:szCs w:val="20"/>
          <w:color w:val="auto"/>
        </w:rPr>
      </w:pPr>
    </w:p>
    <w:p>
      <w:pPr>
        <w:jc w:val="both"/>
        <w:ind w:right="100"/>
        <w:spacing w:after="0" w:line="249"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2" w:lineRule="exact"/>
        <w:rPr>
          <w:sz w:val="20"/>
          <w:szCs w:val="20"/>
          <w:color w:val="auto"/>
        </w:rPr>
      </w:pPr>
    </w:p>
    <w:p>
      <w:pPr>
        <w:jc w:val="center"/>
        <w:ind w:right="-5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446" w:right="779" w:bottom="1440" w:gutter="0" w:footer="0" w:header="0"/>
        </w:sectPr>
      </w:pPr>
    </w:p>
    <w:bookmarkStart w:id="10" w:name="page11"/>
    <w:bookmarkEnd w:id="10"/>
    <w:p>
      <w:pPr>
        <w:jc w:val="center"/>
        <w:ind w:right="8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6"/>
          </w:tcPr>
          <w:p>
            <w:pPr>
              <w:jc w:val="right"/>
              <w:ind w:right="90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5"/>
          </w:tcPr>
          <w:p>
            <w:pPr>
              <w:jc w:val="right"/>
              <w:ind w:right="900"/>
              <w:spacing w:after="0"/>
              <w:rPr>
                <w:sz w:val="20"/>
                <w:szCs w:val="20"/>
                <w:color w:val="auto"/>
              </w:rPr>
            </w:pPr>
            <w:r>
              <w:rPr>
                <w:rFonts w:ascii="Arial" w:cs="Arial" w:eastAsia="Arial" w:hAnsi="Arial"/>
                <w:sz w:val="14"/>
                <w:szCs w:val="14"/>
                <w:color w:val="auto"/>
              </w:rPr>
              <w:t>For the nine months ended</w:t>
            </w:r>
          </w:p>
        </w:tc>
      </w:tr>
      <w:tr>
        <w:trPr>
          <w:trHeight w:val="167"/>
        </w:trPr>
        <w:tc>
          <w:tcPr>
            <w:tcW w:w="378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w w:val="96"/>
              </w:rPr>
              <w:t>October 29, 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w w:val="96"/>
              </w:rPr>
              <w:t>October 31, 2015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w w:val="97"/>
              </w:rPr>
              <w:t>October 29, 2016</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w w:val="96"/>
              </w:rPr>
              <w:t>October 31, 2015</w:t>
            </w:r>
          </w:p>
        </w:tc>
        <w:tc>
          <w:tcPr>
            <w:tcW w:w="80" w:type="dxa"/>
            <w:vAlign w:val="bottom"/>
            <w:tcBorders>
              <w:bottom w:val="single" w:sz="8" w:color="CFF0FC"/>
            </w:tcBorders>
          </w:tcPr>
          <w:p>
            <w:pPr>
              <w:spacing w:after="0"/>
              <w:rPr>
                <w:sz w:val="14"/>
                <w:szCs w:val="14"/>
                <w:color w:val="auto"/>
              </w:rPr>
            </w:pPr>
          </w:p>
        </w:tc>
      </w:tr>
      <w:tr>
        <w:trPr>
          <w:trHeight w:val="20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101,871</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99,625</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327,637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318,177</w:t>
            </w:r>
          </w:p>
        </w:tc>
        <w:tc>
          <w:tcPr>
            <w:tcW w:w="80" w:type="dxa"/>
            <w:vAlign w:val="bottom"/>
            <w:shd w:val="clear" w:color="auto" w:fill="CFF0FC"/>
          </w:tcPr>
          <w:p>
            <w:pPr>
              <w:spacing w:after="0"/>
              <w:rPr>
                <w:sz w:val="18"/>
                <w:szCs w:val="18"/>
                <w:color w:val="auto"/>
              </w:rPr>
            </w:pPr>
          </w:p>
        </w:tc>
      </w:tr>
      <w:tr>
        <w:trPr>
          <w:trHeight w:val="213"/>
        </w:trPr>
        <w:tc>
          <w:tcPr>
            <w:tcW w:w="3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56,633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54,761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177,790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171,191</w:t>
            </w:r>
          </w:p>
        </w:tc>
        <w:tc>
          <w:tcPr>
            <w:tcW w:w="80" w:type="dxa"/>
            <w:vAlign w:val="bottom"/>
            <w:tcBorders>
              <w:bottom w:val="single" w:sz="8" w:color="CFF0FC"/>
            </w:tcBorders>
          </w:tcPr>
          <w:p>
            <w:pPr>
              <w:spacing w:after="0"/>
              <w:rPr>
                <w:sz w:val="18"/>
                <w:szCs w:val="18"/>
                <w:color w:val="auto"/>
              </w:rPr>
            </w:pPr>
          </w:p>
        </w:tc>
      </w:tr>
      <w:tr>
        <w:trPr>
          <w:trHeight w:val="212"/>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149,847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146,986</w:t>
            </w:r>
          </w:p>
        </w:tc>
        <w:tc>
          <w:tcPr>
            <w:tcW w:w="8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129,051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131,004</w:t>
            </w:r>
          </w:p>
        </w:tc>
        <w:tc>
          <w:tcPr>
            <w:tcW w:w="80" w:type="dxa"/>
            <w:vAlign w:val="bottom"/>
          </w:tcPr>
          <w:p>
            <w:pPr>
              <w:spacing w:after="0"/>
              <w:rPr>
                <w:sz w:val="18"/>
                <w:szCs w:val="18"/>
                <w:color w:val="auto"/>
              </w:rPr>
            </w:pP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22,363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20,526</w:t>
            </w:r>
          </w:p>
        </w:tc>
        <w:tc>
          <w:tcPr>
            <w:tcW w:w="80" w:type="dxa"/>
            <w:vAlign w:val="bottom"/>
            <w:shd w:val="clear" w:color="auto" w:fill="CFF0FC"/>
          </w:tcPr>
          <w:p>
            <w:pPr>
              <w:spacing w:after="0"/>
              <w:rPr>
                <w:sz w:val="19"/>
                <w:szCs w:val="19"/>
                <w:color w:val="auto"/>
              </w:rPr>
            </w:pPr>
          </w:p>
        </w:tc>
      </w:tr>
      <w:tr>
        <w:trPr>
          <w:trHeight w:val="206"/>
        </w:trPr>
        <w:tc>
          <w:tcPr>
            <w:tcW w:w="3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1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48,877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49,490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151,414</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151,530</w:t>
            </w:r>
          </w:p>
        </w:tc>
        <w:tc>
          <w:tcPr>
            <w:tcW w:w="80" w:type="dxa"/>
            <w:vAlign w:val="bottom"/>
            <w:tcBorders>
              <w:bottom w:val="single" w:sz="8" w:color="CFF0FC"/>
            </w:tcBorders>
          </w:tcPr>
          <w:p>
            <w:pPr>
              <w:spacing w:after="0"/>
              <w:rPr>
                <w:sz w:val="17"/>
                <w:szCs w:val="17"/>
                <w:color w:val="auto"/>
              </w:rPr>
            </w:pPr>
          </w:p>
        </w:tc>
      </w:tr>
      <w:tr>
        <w:trPr>
          <w:trHeight w:val="212"/>
        </w:trPr>
        <w:tc>
          <w:tcPr>
            <w:tcW w:w="37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Operating loss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(3,639)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(4,626)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(1,567)</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(4,544)</w:t>
            </w:r>
          </w:p>
        </w:tc>
      </w:tr>
      <w:tr>
        <w:trPr>
          <w:trHeight w:val="219"/>
        </w:trPr>
        <w:tc>
          <w:tcPr>
            <w:tcW w:w="37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Interest expense, net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(2,346)</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(2,290)</w:t>
            </w:r>
          </w:p>
        </w:tc>
      </w:tr>
      <w:tr>
        <w:trPr>
          <w:trHeight w:val="212"/>
        </w:trPr>
        <w:tc>
          <w:tcPr>
            <w:tcW w:w="37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(5,409)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(3,913)</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(6,834)</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FF0FC"/>
          </w:tcPr>
          <w:p>
            <w:pPr>
              <w:spacing w:after="0"/>
              <w:rPr>
                <w:sz w:val="18"/>
                <w:szCs w:val="18"/>
                <w:color w:val="auto"/>
              </w:rPr>
            </w:pPr>
          </w:p>
        </w:tc>
      </w:tr>
      <w:tr>
        <w:trPr>
          <w:trHeight w:val="212"/>
        </w:trPr>
        <w:tc>
          <w:tcPr>
            <w:tcW w:w="378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r>
      <w:tr>
        <w:trPr>
          <w:trHeight w:val="206"/>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(4,452)</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(5,472)</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(4,039)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(7,025)</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88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(0.09)</w:t>
            </w:r>
          </w:p>
        </w:tc>
        <w:tc>
          <w:tcPr>
            <w:tcW w:w="6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(0.11)</w:t>
            </w:r>
          </w:p>
        </w:tc>
        <w:tc>
          <w:tcPr>
            <w:tcW w:w="6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(0.08)</w:t>
            </w:r>
          </w:p>
        </w:tc>
        <w:tc>
          <w:tcPr>
            <w:tcW w:w="6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r>
      <w:tr>
        <w:trPr>
          <w:trHeight w:val="229"/>
        </w:trPr>
        <w:tc>
          <w:tcPr>
            <w:tcW w:w="4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Weighted-average number of common shares outstanding:</w:t>
            </w:r>
          </w:p>
        </w:tc>
        <w:tc>
          <w:tcPr>
            <w:tcW w:w="8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49,552</w:t>
            </w:r>
          </w:p>
        </w:tc>
        <w:tc>
          <w:tcPr>
            <w:tcW w:w="6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49,116</w:t>
            </w:r>
          </w:p>
        </w:tc>
        <w:tc>
          <w:tcPr>
            <w:tcW w:w="680" w:type="dxa"/>
            <w:vAlign w:val="bottom"/>
          </w:tcPr>
          <w:p>
            <w:pPr>
              <w:spacing w:after="0"/>
              <w:rPr>
                <w:sz w:val="19"/>
                <w:szCs w:val="19"/>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49,532</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49,072</w:t>
            </w: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49,552</w:t>
            </w: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49,116</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49,532</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49,072</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372" w:right="1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CONSOLIDATED BALANCE SHEETS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October 29, 2016, January 30, 2016 and October 31, 2015</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color w:val="auto"/>
              </w:rPr>
              <w:t>October 29,</w:t>
            </w:r>
          </w:p>
        </w:tc>
        <w:tc>
          <w:tcPr>
            <w:tcW w:w="30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color w:val="auto"/>
              </w:rPr>
              <w:t>January 30,</w:t>
            </w:r>
          </w:p>
        </w:tc>
        <w:tc>
          <w:tcPr>
            <w:tcW w:w="30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October 31,</w:t>
            </w:r>
          </w:p>
        </w:tc>
      </w:tr>
      <w:tr>
        <w:trPr>
          <w:trHeight w:val="167"/>
        </w:trPr>
        <w:tc>
          <w:tcPr>
            <w:tcW w:w="58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128,181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125,014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133,312</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15,567</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125,480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124,962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126,768</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283,593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101,001</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27,984</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55,866</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13,555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15,020</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86,195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88,404</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88,249</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283,593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288,120</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EBITDA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right"/>
              <w:ind w:right="548"/>
              <w:spacing w:after="0"/>
              <w:rPr>
                <w:sz w:val="20"/>
                <w:szCs w:val="20"/>
                <w:color w:val="auto"/>
              </w:rPr>
            </w:pPr>
            <w:r>
              <w:rPr>
                <w:rFonts w:ascii="Arial" w:cs="Arial" w:eastAsia="Arial" w:hAnsi="Arial"/>
                <w:sz w:val="14"/>
                <w:szCs w:val="14"/>
                <w:color w:val="auto"/>
              </w:rPr>
              <w:t>For the 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6"/>
          </w:tcPr>
          <w:p>
            <w:pPr>
              <w:jc w:val="right"/>
              <w:ind w:right="9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7"/>
              </w:rPr>
              <w:t>October 29, 2016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October 31, 2015</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7"/>
              </w:rPr>
              <w:t>October 29, 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7"/>
              </w:rPr>
              <w:t>October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2460" w:type="dxa"/>
            <w:vAlign w:val="bottom"/>
          </w:tcPr>
          <w:p>
            <w:pPr>
              <w:spacing w:after="0"/>
              <w:rPr>
                <w:sz w:val="13"/>
                <w:szCs w:val="13"/>
                <w:color w:val="auto"/>
              </w:rPr>
            </w:pPr>
          </w:p>
        </w:tc>
        <w:tc>
          <w:tcPr>
            <w:tcW w:w="15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(4.5)</w:t>
            </w:r>
          </w:p>
        </w:tc>
        <w:tc>
          <w:tcPr>
            <w:tcW w:w="1400" w:type="dxa"/>
            <w:vAlign w:val="bottom"/>
            <w:gridSpan w:val="2"/>
            <w:vMerge w:val="restart"/>
          </w:tcPr>
          <w:p>
            <w:pPr>
              <w:jc w:val="right"/>
              <w:ind w:right="1128"/>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7"/>
              </w:rPr>
              <w:t>(5.5)</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(4.0)</w:t>
            </w: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5"/>
        </w:trPr>
        <w:tc>
          <w:tcPr>
            <w:tcW w:w="3180" w:type="dxa"/>
            <w:vAlign w:val="bottom"/>
            <w:gridSpan w:val="2"/>
          </w:tcPr>
          <w:p>
            <w:pPr>
              <w:spacing w:after="0" w:line="155" w:lineRule="exact"/>
              <w:rPr>
                <w:sz w:val="20"/>
                <w:szCs w:val="20"/>
                <w:color w:val="auto"/>
              </w:rPr>
            </w:pPr>
            <w:r>
              <w:rPr>
                <w:rFonts w:ascii="Arial" w:cs="Arial" w:eastAsia="Arial" w:hAnsi="Arial"/>
                <w:sz w:val="14"/>
                <w:szCs w:val="14"/>
                <w:color w:val="auto"/>
              </w:rPr>
              <w:t>Net loss (GAAP basis)</w:t>
            </w:r>
          </w:p>
        </w:tc>
        <w:tc>
          <w:tcPr>
            <w:tcW w:w="158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4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EBITDA (non-GAAP basis)</w:t>
            </w:r>
          </w:p>
        </w:tc>
        <w:tc>
          <w:tcPr>
            <w:tcW w:w="14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ind w:right="112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ADJUSTED NET LOSS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160"/>
              <w:spacing w:after="0"/>
              <w:rPr>
                <w:sz w:val="20"/>
                <w:szCs w:val="20"/>
                <w:color w:val="auto"/>
              </w:rPr>
            </w:pPr>
            <w:r>
              <w:rPr>
                <w:rFonts w:ascii="Arial" w:cs="Arial" w:eastAsia="Arial" w:hAnsi="Arial"/>
                <w:sz w:val="14"/>
                <w:szCs w:val="14"/>
                <w:color w:val="auto"/>
                <w:w w:val="97"/>
              </w:rPr>
              <w:t>For the 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4"/>
                <w:szCs w:val="14"/>
                <w:color w:val="auto"/>
                <w:w w:val="95"/>
              </w:rPr>
              <w:t>For the nine months ended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6"/>
          </w:tcPr>
          <w:p>
            <w:pPr>
              <w:jc w:val="right"/>
              <w:ind w:right="540"/>
              <w:spacing w:after="0"/>
              <w:rPr>
                <w:sz w:val="20"/>
                <w:szCs w:val="20"/>
                <w:color w:val="auto"/>
              </w:rPr>
            </w:pPr>
            <w:r>
              <w:rPr>
                <w:rFonts w:ascii="Arial" w:cs="Arial" w:eastAsia="Arial" w:hAnsi="Arial"/>
                <w:sz w:val="14"/>
                <w:szCs w:val="14"/>
                <w:color w:val="auto"/>
              </w:rPr>
              <w:t>October 29, 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right"/>
              <w:ind w:right="640"/>
              <w:spacing w:after="0"/>
              <w:rPr>
                <w:sz w:val="20"/>
                <w:szCs w:val="20"/>
                <w:color w:val="auto"/>
              </w:rPr>
            </w:pPr>
            <w:r>
              <w:rPr>
                <w:rFonts w:ascii="Arial" w:cs="Arial" w:eastAsia="Arial" w:hAnsi="Arial"/>
                <w:sz w:val="14"/>
                <w:szCs w:val="14"/>
                <w:color w:val="auto"/>
              </w:rPr>
              <w:t>October 31, 2015</w:t>
            </w:r>
          </w:p>
        </w:tc>
        <w:tc>
          <w:tcPr>
            <w:tcW w:w="20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color w:val="auto"/>
              </w:rPr>
              <w:t>October 29, 2016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color w:val="auto"/>
              </w:rPr>
              <w:t>October 31, 2015</w:t>
            </w:r>
          </w:p>
        </w:tc>
        <w:tc>
          <w:tcPr>
            <w:tcW w:w="0" w:type="dxa"/>
            <w:vAlign w:val="bottom"/>
          </w:tcPr>
          <w:p>
            <w:pPr>
              <w:spacing w:after="0"/>
              <w:rPr>
                <w:sz w:val="1"/>
                <w:szCs w:val="1"/>
                <w:color w:val="auto"/>
              </w:rPr>
            </w:pPr>
          </w:p>
        </w:tc>
      </w:tr>
      <w:tr>
        <w:trPr>
          <w:trHeight w:val="137"/>
        </w:trPr>
        <w:tc>
          <w:tcPr>
            <w:tcW w:w="2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8"/>
              <w:spacing w:after="0" w:line="137" w:lineRule="exact"/>
              <w:rPr>
                <w:sz w:val="20"/>
                <w:szCs w:val="20"/>
                <w:color w:val="auto"/>
              </w:rPr>
            </w:pPr>
            <w:r>
              <w:rPr>
                <w:rFonts w:ascii="Arial" w:cs="Arial" w:eastAsia="Arial" w:hAnsi="Arial"/>
                <w:sz w:val="14"/>
                <w:szCs w:val="14"/>
                <w:color w:val="auto"/>
                <w:w w:val="95"/>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8"/>
              <w:spacing w:after="0" w:line="137" w:lineRule="exact"/>
              <w:rPr>
                <w:sz w:val="20"/>
                <w:szCs w:val="20"/>
                <w:color w:val="auto"/>
              </w:rPr>
            </w:pPr>
            <w:r>
              <w:rPr>
                <w:rFonts w:ascii="Arial" w:cs="Arial" w:eastAsia="Arial" w:hAnsi="Arial"/>
                <w:sz w:val="14"/>
                <w:szCs w:val="14"/>
                <w:color w:val="auto"/>
                <w:w w:val="95"/>
              </w:rPr>
              <w:t>Per diluted</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8"/>
              <w:spacing w:after="0" w:line="137" w:lineRule="exact"/>
              <w:rPr>
                <w:sz w:val="20"/>
                <w:szCs w:val="20"/>
                <w:color w:val="auto"/>
              </w:rPr>
            </w:pPr>
            <w:r>
              <w:rPr>
                <w:rFonts w:ascii="Arial" w:cs="Arial" w:eastAsia="Arial" w:hAnsi="Arial"/>
                <w:sz w:val="14"/>
                <w:szCs w:val="14"/>
                <w:color w:val="auto"/>
                <w:w w:val="95"/>
              </w:rPr>
              <w:t>Per 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48"/>
              <w:spacing w:after="0" w:line="137" w:lineRule="exact"/>
              <w:rPr>
                <w:sz w:val="20"/>
                <w:szCs w:val="20"/>
                <w:color w:val="auto"/>
              </w:rPr>
            </w:pPr>
            <w:r>
              <w:rPr>
                <w:rFonts w:ascii="Arial" w:cs="Arial" w:eastAsia="Arial" w:hAnsi="Arial"/>
                <w:sz w:val="14"/>
                <w:szCs w:val="14"/>
                <w:color w:val="auto"/>
                <w:w w:val="92"/>
              </w:rPr>
              <w:t>Per diluted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loss (GAAP basis)</w:t>
            </w:r>
          </w:p>
        </w:tc>
        <w:tc>
          <w:tcPr>
            <w:tcW w:w="13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(4,452)</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(0.09)</w:t>
            </w:r>
          </w:p>
        </w:tc>
        <w:tc>
          <w:tcPr>
            <w:tcW w:w="28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(5,472)</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(0.11)</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(4,039)</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(0.08)</w:t>
            </w:r>
          </w:p>
        </w:tc>
        <w:tc>
          <w:tcPr>
            <w:tcW w:w="260" w:type="dxa"/>
            <w:vAlign w:val="bottom"/>
            <w:gridSpan w:val="2"/>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(7,025)</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Income tax (provision) benefit, assuming a normal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tax rate of 40%</w:t>
            </w: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2,164</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2,734</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Adjusted net loss (non-GAAP basis)</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(2,651)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(3,245)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(0.07)</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(2,348)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w w:val="94"/>
              </w:rPr>
              <w:t>Weighted average number of common shares outstanding</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on a diluted basis</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49,552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49,116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49,072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FREE CASH FLOW RECONCILIATION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60" w:type="dxa"/>
            <w:vAlign w:val="bottom"/>
            <w:gridSpan w:val="6"/>
          </w:tcPr>
          <w:p>
            <w:pPr>
              <w:jc w:val="right"/>
              <w:ind w:right="1680"/>
              <w:spacing w:after="0"/>
              <w:rPr>
                <w:sz w:val="20"/>
                <w:szCs w:val="20"/>
                <w:color w:val="auto"/>
              </w:rPr>
            </w:pPr>
            <w:r>
              <w:rPr>
                <w:rFonts w:ascii="Arial" w:cs="Arial" w:eastAsia="Arial" w:hAnsi="Arial"/>
                <w:sz w:val="14"/>
                <w:szCs w:val="14"/>
                <w:color w:val="auto"/>
              </w:rPr>
              <w:t>For the nine months ended</w:t>
            </w: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4"/>
                <w:szCs w:val="14"/>
                <w:color w:val="auto"/>
              </w:rPr>
            </w:pPr>
          </w:p>
        </w:tc>
        <w:tc>
          <w:tcPr>
            <w:tcW w:w="2040" w:type="dxa"/>
            <w:vAlign w:val="bottom"/>
            <w:gridSpan w:val="2"/>
          </w:tcPr>
          <w:p>
            <w:pPr>
              <w:jc w:val="right"/>
              <w:ind w:right="780"/>
              <w:spacing w:after="0"/>
              <w:rPr>
                <w:sz w:val="20"/>
                <w:szCs w:val="20"/>
                <w:color w:val="auto"/>
              </w:rPr>
            </w:pPr>
            <w:r>
              <w:rPr>
                <w:rFonts w:ascii="Arial" w:cs="Arial" w:eastAsia="Arial" w:hAnsi="Arial"/>
                <w:sz w:val="14"/>
                <w:szCs w:val="14"/>
                <w:color w:val="auto"/>
              </w:rPr>
              <w:t>October 29, 2016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color w:val="auto"/>
              </w:rPr>
              <w:t>October 31, 2015</w:t>
            </w:r>
          </w:p>
        </w:tc>
      </w:tr>
      <w:tr>
        <w:trPr>
          <w:trHeight w:val="155"/>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20" w:type="dxa"/>
            <w:vAlign w:val="bottom"/>
          </w:tcPr>
          <w:p>
            <w:pPr>
              <w:spacing w:after="0"/>
              <w:rPr>
                <w:sz w:val="14"/>
                <w:szCs w:val="14"/>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r>
      <w:tr>
        <w:trPr>
          <w:trHeight w:val="155"/>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20" w:type="dxa"/>
            <w:vAlign w:val="bottom"/>
          </w:tcPr>
          <w:p>
            <w:pPr>
              <w:spacing w:after="0"/>
              <w:rPr>
                <w:sz w:val="14"/>
                <w:szCs w:val="14"/>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(17.3)</w:t>
            </w:r>
          </w:p>
        </w:tc>
      </w:tr>
      <w:tr>
        <w:trPr>
          <w:trHeight w:val="155"/>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2016 FORECAST GAAP TO NON-GAAP RECONCILIATIONS</w:t>
            </w:r>
          </w:p>
        </w:tc>
        <w:tc>
          <w:tcPr>
            <w:tcW w:w="1880" w:type="dxa"/>
            <w:vAlign w:val="bottom"/>
          </w:tcPr>
          <w:p>
            <w:pPr>
              <w:spacing w:after="0"/>
              <w:rPr>
                <w:sz w:val="20"/>
                <w:szCs w:val="20"/>
                <w:color w:val="auto"/>
              </w:rPr>
            </w:pPr>
          </w:p>
        </w:tc>
      </w:tr>
      <w:tr>
        <w:trPr>
          <w:trHeight w:val="305"/>
        </w:trPr>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color w:val="auto"/>
                <w:w w:val="94"/>
              </w:rPr>
              <w:t>Projected</w:t>
            </w:r>
          </w:p>
        </w:tc>
        <w:tc>
          <w:tcPr>
            <w:tcW w:w="1880" w:type="dxa"/>
            <w:vAlign w:val="bottom"/>
          </w:tcPr>
          <w:p>
            <w:pPr>
              <w:spacing w:after="0"/>
              <w:rPr>
                <w:sz w:val="24"/>
                <w:szCs w:val="24"/>
                <w:color w:val="auto"/>
              </w:rPr>
            </w:pPr>
          </w:p>
        </w:tc>
      </w:tr>
      <w:tr>
        <w:trPr>
          <w:trHeight w:val="167"/>
        </w:trPr>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940" w:type="dxa"/>
            <w:vAlign w:val="bottom"/>
            <w:tcBorders>
              <w:bottom w:val="single" w:sz="8" w:color="auto"/>
            </w:tcBorders>
            <w:gridSpan w:val="2"/>
          </w:tcPr>
          <w:p>
            <w:pPr>
              <w:jc w:val="center"/>
              <w:ind w:left="1788"/>
              <w:spacing w:after="0"/>
              <w:rPr>
                <w:sz w:val="20"/>
                <w:szCs w:val="20"/>
                <w:color w:val="auto"/>
              </w:rPr>
            </w:pPr>
            <w:r>
              <w:rPr>
                <w:rFonts w:ascii="Arial" w:cs="Arial" w:eastAsia="Arial" w:hAnsi="Arial"/>
                <w:sz w:val="14"/>
                <w:szCs w:val="14"/>
                <w:color w:val="auto"/>
                <w:w w:val="94"/>
              </w:rPr>
              <w:t>Fiscal 2016</w:t>
            </w:r>
          </w:p>
        </w:tc>
        <w:tc>
          <w:tcPr>
            <w:tcW w:w="1880" w:type="dxa"/>
            <w:vAlign w:val="bottom"/>
            <w:tcBorders>
              <w:bottom w:val="single" w:sz="8" w:color="auto"/>
            </w:tcBorders>
          </w:tcPr>
          <w:p>
            <w:pPr>
              <w:spacing w:after="0"/>
              <w:rPr>
                <w:sz w:val="14"/>
                <w:szCs w:val="14"/>
                <w:color w:val="auto"/>
              </w:rPr>
            </w:pPr>
          </w:p>
        </w:tc>
      </w:tr>
      <w:tr>
        <w:trPr>
          <w:trHeight w:val="155"/>
        </w:trPr>
        <w:tc>
          <w:tcPr>
            <w:tcW w:w="32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34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jc w:val="center"/>
              <w:ind w:right="388"/>
              <w:spacing w:after="0" w:line="155" w:lineRule="exact"/>
              <w:rPr>
                <w:sz w:val="20"/>
                <w:szCs w:val="20"/>
                <w:color w:val="auto"/>
              </w:rPr>
            </w:pPr>
            <w:r>
              <w:rPr>
                <w:rFonts w:ascii="Arial" w:cs="Arial" w:eastAsia="Arial" w:hAnsi="Arial"/>
                <w:sz w:val="14"/>
                <w:szCs w:val="14"/>
                <w:i w:val="1"/>
                <w:iCs w:val="1"/>
                <w:color w:val="auto"/>
                <w:w w:val="93"/>
              </w:rPr>
              <w:t>per diluted share</w:t>
            </w:r>
          </w:p>
        </w:tc>
      </w:tr>
      <w:tr>
        <w:trPr>
          <w:trHeight w:val="155"/>
        </w:trPr>
        <w:tc>
          <w:tcPr>
            <w:tcW w:w="20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 (loss), GAAP basis</w:t>
            </w:r>
          </w:p>
        </w:tc>
        <w:tc>
          <w:tcPr>
            <w:tcW w:w="1180" w:type="dxa"/>
            <w:vAlign w:val="bottom"/>
            <w:shd w:val="clear" w:color="auto" w:fill="CFF0FC"/>
          </w:tcPr>
          <w:p>
            <w:pPr>
              <w:spacing w:after="0"/>
              <w:rPr>
                <w:sz w:val="13"/>
                <w:szCs w:val="13"/>
                <w:color w:val="auto"/>
              </w:rPr>
            </w:pPr>
          </w:p>
        </w:tc>
        <w:tc>
          <w:tcPr>
            <w:tcW w:w="55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$(4.4)-$0.0</w:t>
            </w:r>
          </w:p>
        </w:tc>
        <w:tc>
          <w:tcPr>
            <w:tcW w:w="82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3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2"/>
        </w:trPr>
        <w:tc>
          <w:tcPr>
            <w:tcW w:w="3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5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8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5520" w:type="dxa"/>
            <w:vAlign w:val="bottom"/>
            <w:gridSpan w:val="2"/>
          </w:tcPr>
          <w:p>
            <w:pPr>
              <w:jc w:val="right"/>
              <w:spacing w:after="0"/>
              <w:rPr>
                <w:sz w:val="20"/>
                <w:szCs w:val="20"/>
                <w:color w:val="auto"/>
              </w:rPr>
            </w:pPr>
            <w:r>
              <w:rPr>
                <w:rFonts w:ascii="Arial" w:cs="Arial" w:eastAsia="Arial" w:hAnsi="Arial"/>
                <w:sz w:val="14"/>
                <w:szCs w:val="14"/>
                <w:color w:val="auto"/>
              </w:rPr>
              <w:t>2.9-3.2</w:t>
            </w: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2"/>
        </w:trPr>
        <w:tc>
          <w:tcPr>
            <w:tcW w:w="3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5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29.9-31.0</w:t>
            </w:r>
          </w:p>
        </w:tc>
        <w:tc>
          <w:tcPr>
            <w:tcW w:w="8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r>
      <w:tr>
        <w:trPr>
          <w:trHeight w:val="195"/>
        </w:trPr>
        <w:tc>
          <w:tcPr>
            <w:tcW w:w="320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b w:val="1"/>
                <w:bCs w:val="1"/>
                <w:color w:val="auto"/>
              </w:rPr>
              <w:t>EBITDA, non-GAAP basis</w:t>
            </w:r>
          </w:p>
        </w:tc>
        <w:tc>
          <w:tcPr>
            <w:tcW w:w="3400" w:type="dxa"/>
            <w:vAlign w:val="bottom"/>
            <w:tcBorders>
              <w:bottom w:val="single" w:sz="8" w:color="CFF0FC"/>
            </w:tcBorders>
          </w:tcPr>
          <w:p>
            <w:pPr>
              <w:spacing w:after="0"/>
              <w:rPr>
                <w:sz w:val="16"/>
                <w:szCs w:val="16"/>
                <w:color w:val="auto"/>
              </w:rPr>
            </w:pPr>
          </w:p>
        </w:tc>
        <w:tc>
          <w:tcPr>
            <w:tcW w:w="2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$30.0-$33.0</w:t>
            </w:r>
          </w:p>
        </w:tc>
        <w:tc>
          <w:tcPr>
            <w:tcW w:w="820" w:type="dxa"/>
            <w:vAlign w:val="bottom"/>
            <w:tcBorders>
              <w:bottom w:val="single" w:sz="8" w:color="CFF0FC"/>
            </w:tcBorders>
          </w:tcPr>
          <w:p>
            <w:pPr>
              <w:spacing w:after="0"/>
              <w:rPr>
                <w:sz w:val="16"/>
                <w:szCs w:val="16"/>
                <w:color w:val="auto"/>
              </w:rPr>
            </w:pPr>
          </w:p>
        </w:tc>
        <w:tc>
          <w:tcPr>
            <w:tcW w:w="1880" w:type="dxa"/>
            <w:vAlign w:val="bottom"/>
            <w:tcBorders>
              <w:bottom w:val="single" w:sz="8" w:color="CFF0FC"/>
            </w:tcBorders>
          </w:tcPr>
          <w:p>
            <w:pPr>
              <w:spacing w:after="0"/>
              <w:rPr>
                <w:sz w:val="16"/>
                <w:szCs w:val="16"/>
                <w:color w:val="auto"/>
              </w:rPr>
            </w:pPr>
          </w:p>
        </w:tc>
      </w:tr>
      <w:tr>
        <w:trPr>
          <w:trHeight w:val="142"/>
        </w:trPr>
        <w:tc>
          <w:tcPr>
            <w:tcW w:w="20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Net income (loss), GAAP basis</w:t>
            </w:r>
          </w:p>
        </w:tc>
        <w:tc>
          <w:tcPr>
            <w:tcW w:w="5520" w:type="dxa"/>
            <w:vAlign w:val="bottom"/>
            <w:gridSpan w:val="2"/>
          </w:tcPr>
          <w:p>
            <w:pPr>
              <w:jc w:val="right"/>
              <w:spacing w:after="0"/>
              <w:rPr>
                <w:sz w:val="20"/>
                <w:szCs w:val="20"/>
                <w:color w:val="auto"/>
              </w:rPr>
            </w:pPr>
            <w:r>
              <w:rPr>
                <w:rFonts w:ascii="Arial" w:cs="Arial" w:eastAsia="Arial" w:hAnsi="Arial"/>
                <w:sz w:val="14"/>
                <w:szCs w:val="14"/>
                <w:color w:val="auto"/>
              </w:rPr>
              <w:t>$(4.4)-$0.0</w:t>
            </w:r>
          </w:p>
        </w:tc>
        <w:tc>
          <w:tcPr>
            <w:tcW w:w="820" w:type="dxa"/>
            <w:vAlign w:val="bottom"/>
          </w:tcPr>
          <w:p>
            <w:pPr>
              <w:spacing w:after="0"/>
              <w:rPr>
                <w:sz w:val="14"/>
                <w:szCs w:val="14"/>
                <w:color w:val="auto"/>
              </w:rPr>
            </w:pPr>
          </w:p>
        </w:tc>
        <w:tc>
          <w:tcPr>
            <w:tcW w:w="1880" w:type="dxa"/>
            <w:vAlign w:val="bottom"/>
          </w:tcPr>
          <w:p>
            <w:pPr>
              <w:jc w:val="center"/>
              <w:ind w:right="388"/>
              <w:spacing w:after="0"/>
              <w:rPr>
                <w:sz w:val="20"/>
                <w:szCs w:val="20"/>
                <w:color w:val="auto"/>
              </w:rPr>
            </w:pPr>
            <w:r>
              <w:rPr>
                <w:rFonts w:ascii="Arial" w:cs="Arial" w:eastAsia="Arial" w:hAnsi="Arial"/>
                <w:sz w:val="14"/>
                <w:szCs w:val="14"/>
                <w:color w:val="auto"/>
                <w:w w:val="92"/>
              </w:rPr>
              <w:t>$(0.09)-$0.00</w:t>
            </w:r>
          </w:p>
        </w:tc>
      </w:tr>
      <w:tr>
        <w:trPr>
          <w:trHeight w:val="162"/>
        </w:trPr>
        <w:tc>
          <w:tcPr>
            <w:tcW w:w="3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 assuming 40% rate</w:t>
            </w:r>
          </w:p>
        </w:tc>
        <w:tc>
          <w:tcPr>
            <w:tcW w:w="5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820" w:type="dxa"/>
            <w:vAlign w:val="bottom"/>
            <w:shd w:val="clear" w:color="auto" w:fill="CFF0FC"/>
          </w:tcPr>
          <w:p>
            <w:pPr>
              <w:spacing w:after="0"/>
              <w:rPr>
                <w:sz w:val="14"/>
                <w:szCs w:val="14"/>
                <w:color w:val="auto"/>
              </w:rPr>
            </w:pPr>
          </w:p>
        </w:tc>
        <w:tc>
          <w:tcPr>
            <w:tcW w:w="1880" w:type="dxa"/>
            <w:vAlign w:val="bottom"/>
            <w:shd w:val="clear" w:color="auto" w:fill="CFF0FC"/>
          </w:tcPr>
          <w:p>
            <w:pPr>
              <w:jc w:val="center"/>
              <w:ind w:right="388"/>
              <w:spacing w:after="0"/>
              <w:rPr>
                <w:sz w:val="20"/>
                <w:szCs w:val="20"/>
                <w:color w:val="auto"/>
              </w:rPr>
            </w:pPr>
            <w:r>
              <w:rPr>
                <w:rFonts w:ascii="Arial" w:cs="Arial" w:eastAsia="Arial" w:hAnsi="Arial"/>
                <w:sz w:val="14"/>
                <w:szCs w:val="14"/>
                <w:color w:val="auto"/>
                <w:w w:val="92"/>
              </w:rPr>
              <w:t>$(0.04)-$0.00</w:t>
            </w: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Adjusted net income (loss), non-GAAP basis</w:t>
            </w:r>
          </w:p>
        </w:tc>
        <w:tc>
          <w:tcPr>
            <w:tcW w:w="5520" w:type="dxa"/>
            <w:vAlign w:val="bottom"/>
            <w:gridSpan w:val="2"/>
          </w:tcPr>
          <w:p>
            <w:pPr>
              <w:jc w:val="right"/>
              <w:spacing w:after="0"/>
              <w:rPr>
                <w:sz w:val="20"/>
                <w:szCs w:val="20"/>
                <w:color w:val="auto"/>
              </w:rPr>
            </w:pPr>
            <w:r>
              <w:rPr>
                <w:rFonts w:ascii="Arial" w:cs="Arial" w:eastAsia="Arial" w:hAnsi="Arial"/>
                <w:sz w:val="14"/>
                <w:szCs w:val="14"/>
                <w:color w:val="auto"/>
              </w:rPr>
              <w:t>$(2.6)-$0.0</w:t>
            </w:r>
          </w:p>
        </w:tc>
        <w:tc>
          <w:tcPr>
            <w:tcW w:w="820" w:type="dxa"/>
            <w:vAlign w:val="bottom"/>
          </w:tcPr>
          <w:p>
            <w:pPr>
              <w:spacing w:after="0"/>
              <w:rPr>
                <w:sz w:val="14"/>
                <w:szCs w:val="14"/>
                <w:color w:val="auto"/>
              </w:rPr>
            </w:pPr>
          </w:p>
        </w:tc>
        <w:tc>
          <w:tcPr>
            <w:tcW w:w="1880" w:type="dxa"/>
            <w:vAlign w:val="bottom"/>
          </w:tcPr>
          <w:p>
            <w:pPr>
              <w:jc w:val="center"/>
              <w:ind w:right="388"/>
              <w:spacing w:after="0"/>
              <w:rPr>
                <w:sz w:val="20"/>
                <w:szCs w:val="20"/>
                <w:color w:val="auto"/>
              </w:rPr>
            </w:pPr>
            <w:r>
              <w:rPr>
                <w:rFonts w:ascii="Arial" w:cs="Arial" w:eastAsia="Arial" w:hAnsi="Arial"/>
                <w:sz w:val="14"/>
                <w:szCs w:val="14"/>
                <w:color w:val="auto"/>
                <w:w w:val="92"/>
              </w:rPr>
              <w:t>$(0.05)-$0.00</w:t>
            </w:r>
          </w:p>
        </w:tc>
      </w:tr>
      <w:tr>
        <w:trPr>
          <w:trHeight w:val="162"/>
        </w:trPr>
        <w:tc>
          <w:tcPr>
            <w:tcW w:w="320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1"/>
              </w:rPr>
              <w:t>Weighted average common shares outstanding - diluted</w:t>
            </w:r>
          </w:p>
        </w:tc>
        <w:tc>
          <w:tcPr>
            <w:tcW w:w="5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49.9</w:t>
            </w:r>
          </w:p>
        </w:tc>
        <w:tc>
          <w:tcPr>
            <w:tcW w:w="8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2"/>
        </w:trPr>
        <w:tc>
          <w:tcPr>
            <w:tcW w:w="3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5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$34.0-$38.0</w:t>
            </w:r>
          </w:p>
        </w:tc>
        <w:tc>
          <w:tcPr>
            <w:tcW w:w="8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552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55"/>
        </w:trPr>
        <w:tc>
          <w:tcPr>
            <w:tcW w:w="3200" w:type="dxa"/>
            <w:vAlign w:val="bottom"/>
            <w:tcBorders>
              <w:top w:val="single" w:sz="8" w:color="CFF0FC"/>
            </w:tcBorders>
            <w:gridSpan w:val="2"/>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400" w:type="dxa"/>
            <w:vAlign w:val="bottom"/>
            <w:tcBorders>
              <w:top w:val="single" w:sz="8" w:color="CFF0FC"/>
            </w:tcBorders>
            <w:shd w:val="clear" w:color="auto" w:fill="CFF0FC"/>
          </w:tcPr>
          <w:p>
            <w:pPr>
              <w:spacing w:after="0"/>
              <w:rPr>
                <w:sz w:val="13"/>
                <w:szCs w:val="13"/>
                <w:color w:val="auto"/>
              </w:rPr>
            </w:pPr>
          </w:p>
        </w:tc>
        <w:tc>
          <w:tcPr>
            <w:tcW w:w="2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$24.6-$28.6</w:t>
            </w:r>
          </w:p>
        </w:tc>
        <w:tc>
          <w:tcPr>
            <w:tcW w:w="820" w:type="dxa"/>
            <w:vAlign w:val="bottom"/>
            <w:tcBorders>
              <w:top w:val="single" w:sz="8" w:color="CFF0FC"/>
            </w:tcBorders>
            <w:shd w:val="clear" w:color="auto" w:fill="CFF0FC"/>
          </w:tcPr>
          <w:p>
            <w:pPr>
              <w:spacing w:after="0"/>
              <w:rPr>
                <w:sz w:val="13"/>
                <w:szCs w:val="13"/>
                <w:color w:val="auto"/>
              </w:rPr>
            </w:pPr>
          </w:p>
        </w:tc>
        <w:tc>
          <w:tcPr>
            <w:tcW w:w="1880" w:type="dxa"/>
            <w:vAlign w:val="bottom"/>
            <w:tcBorders>
              <w:top w:val="single" w:sz="8" w:color="CFF0FC"/>
            </w:tcBorders>
            <w:shd w:val="clear" w:color="auto" w:fill="CFF0FC"/>
          </w:tcPr>
          <w:p>
            <w:pPr>
              <w:spacing w:after="0"/>
              <w:rPr>
                <w:sz w:val="13"/>
                <w:szCs w:val="13"/>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Capital expenditures for DXL stores</w:t>
            </w:r>
          </w:p>
        </w:tc>
        <w:tc>
          <w:tcPr>
            <w:tcW w:w="5520" w:type="dxa"/>
            <w:vAlign w:val="bottom"/>
            <w:gridSpan w:val="2"/>
          </w:tcPr>
          <w:p>
            <w:pPr>
              <w:jc w:val="right"/>
              <w:spacing w:after="0"/>
              <w:rPr>
                <w:sz w:val="20"/>
                <w:szCs w:val="20"/>
                <w:color w:val="auto"/>
              </w:rPr>
            </w:pPr>
            <w:r>
              <w:rPr>
                <w:rFonts w:ascii="Arial" w:cs="Arial" w:eastAsia="Arial" w:hAnsi="Arial"/>
                <w:sz w:val="14"/>
                <w:szCs w:val="14"/>
                <w:color w:val="auto"/>
              </w:rPr>
              <w:t>(20.6)</w:t>
            </w: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55"/>
        </w:trPr>
        <w:tc>
          <w:tcPr>
            <w:tcW w:w="3200" w:type="dxa"/>
            <w:vAlign w:val="bottom"/>
            <w:tcBorders>
              <w:top w:val="single" w:sz="8" w:color="CFF0FC"/>
              <w:bottom w:val="single" w:sz="8" w:color="CFF0FC"/>
            </w:tcBorders>
            <w:gridSpan w:val="2"/>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Free Cash Flow, non-GAAP basis</w:t>
            </w:r>
          </w:p>
        </w:tc>
        <w:tc>
          <w:tcPr>
            <w:tcW w:w="3400" w:type="dxa"/>
            <w:vAlign w:val="bottom"/>
            <w:tcBorders>
              <w:top w:val="single" w:sz="8" w:color="CFF0FC"/>
              <w:bottom w:val="single" w:sz="8" w:color="CFF0FC"/>
            </w:tcBorders>
            <w:shd w:val="clear" w:color="auto" w:fill="CFF0FC"/>
          </w:tcPr>
          <w:p>
            <w:pPr>
              <w:spacing w:after="0"/>
              <w:rPr>
                <w:sz w:val="13"/>
                <w:szCs w:val="13"/>
                <w:color w:val="auto"/>
              </w:rPr>
            </w:pPr>
          </w:p>
        </w:tc>
        <w:tc>
          <w:tcPr>
            <w:tcW w:w="2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$4.0-$8.0</w:t>
            </w:r>
          </w:p>
        </w:tc>
        <w:tc>
          <w:tcPr>
            <w:tcW w:w="820" w:type="dxa"/>
            <w:vAlign w:val="bottom"/>
            <w:tcBorders>
              <w:top w:val="single" w:sz="8" w:color="CFF0FC"/>
              <w:bottom w:val="single" w:sz="8" w:color="CFF0FC"/>
            </w:tcBorders>
            <w:shd w:val="clear" w:color="auto" w:fill="CFF0FC"/>
          </w:tcPr>
          <w:p>
            <w:pPr>
              <w:spacing w:after="0"/>
              <w:rPr>
                <w:sz w:val="13"/>
                <w:szCs w:val="13"/>
                <w:color w:val="auto"/>
              </w:rPr>
            </w:pP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2019-12-05T19:37:13Z</dcterms:created>
  <dcterms:modified xsi:type="dcterms:W3CDTF">2019-12-05T19:37:13Z</dcterms:modified>
</cp:coreProperties>
</file>