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31" w:lineRule="exact"/>
        <w:rPr>
          <w:sz w:val="24"/>
          <w:szCs w:val="24"/>
          <w:color w:val="auto"/>
        </w:rPr>
      </w:pPr>
    </w:p>
    <w:p>
      <w:pPr>
        <w:ind w:left="460" w:right="1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0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Glenhill Advisors, LLC</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102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18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102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102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Delaware</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4,749,279</w:t>
            </w: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1,413,361</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100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6,162,640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10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6,162,640</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 HC</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02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Glenn J. Krevlin</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102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18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102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102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8"/>
              </w:rPr>
              <w:t>United States</w:t>
            </w:r>
          </w:p>
        </w:tc>
        <w:tc>
          <w:tcPr>
            <w:tcW w:w="9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9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4,749,279</w:t>
            </w: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9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1,413,361</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99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6,162,640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9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6,162,640</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 HC</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0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Glenhill Capital Advisors, LLC</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102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18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102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102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Delaware</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6,162,640</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100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10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6,162,640</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6,162,640</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 HC</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0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Glenhill Capital Management, LLC</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102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18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102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102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Delaware</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4,749,279</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100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10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4,749,279</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4,749,279</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 HC</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0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Glenhill Capital Overseas Master Fund, LP</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102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18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102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102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2,715,369</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100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10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2,715,369</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2,715,369</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Destination XL Group, Inc.</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Canton, MA 02021</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40" w:right="100"/>
        <w:spacing w:after="0" w:line="277" w:lineRule="auto"/>
        <w:rPr>
          <w:sz w:val="20"/>
          <w:szCs w:val="20"/>
          <w:color w:val="auto"/>
        </w:rPr>
      </w:pPr>
      <w:r>
        <w:rPr>
          <w:rFonts w:ascii="Arial" w:cs="Arial" w:eastAsia="Arial" w:hAnsi="Arial"/>
          <w:sz w:val="18"/>
          <w:szCs w:val="18"/>
          <w:color w:val="auto"/>
        </w:rPr>
        <w:t>Glenhill Advisors, LLC, Glenn J. Krevlin, Glenhill Capital Advisors, LLC, Glenhill Capital Management, LLC and Glenhill Capital Overseas Master Fund, LP.</w:t>
      </w:r>
    </w:p>
    <w:p>
      <w:pPr>
        <w:spacing w:after="0" w:line="62" w:lineRule="exact"/>
        <w:rPr>
          <w:sz w:val="20"/>
          <w:szCs w:val="20"/>
          <w:color w:val="auto"/>
        </w:rPr>
      </w:pPr>
    </w:p>
    <w:p>
      <w:pPr>
        <w:ind w:left="1040" w:right="20"/>
        <w:spacing w:after="0" w:line="272" w:lineRule="auto"/>
        <w:rPr>
          <w:sz w:val="20"/>
          <w:szCs w:val="20"/>
          <w:color w:val="auto"/>
        </w:rPr>
      </w:pPr>
      <w:r>
        <w:rPr>
          <w:rFonts w:ascii="Arial" w:cs="Arial" w:eastAsia="Arial" w:hAnsi="Arial"/>
          <w:sz w:val="17"/>
          <w:szCs w:val="17"/>
          <w:color w:val="auto"/>
        </w:rPr>
        <w:t>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Issuer. Glenhill Advisors, LLC is the managing member of Glenhill Capital Management, LLC. Glenhill Capital Management, LLC is the managing member of Glenhill Concentrated Long Master Fund, LLC, and Glenhill Long GP, LLC, and is sole shareholder of Glenhill Capital Overseas GP, Ltd. Glenhill Capital Overseas GP, Ltd. is general partner of Glenhill Capital Overseas Master Fund, LP. Glenhill Long GP, LLC is the general partner of Glenhill Long Fund, LP.</w:t>
      </w:r>
    </w:p>
    <w:p>
      <w:pPr>
        <w:spacing w:after="0" w:line="70" w:lineRule="exact"/>
        <w:rPr>
          <w:sz w:val="20"/>
          <w:szCs w:val="20"/>
          <w:color w:val="auto"/>
        </w:rPr>
      </w:pPr>
    </w:p>
    <w:p>
      <w:pPr>
        <w:ind w:left="1040"/>
        <w:spacing w:after="0" w:line="257" w:lineRule="auto"/>
        <w:rPr>
          <w:sz w:val="20"/>
          <w:szCs w:val="20"/>
          <w:color w:val="auto"/>
        </w:rPr>
      </w:pPr>
      <w:r>
        <w:rPr>
          <w:rFonts w:ascii="Arial" w:cs="Arial" w:eastAsia="Arial" w:hAnsi="Arial"/>
          <w:sz w:val="18"/>
          <w:szCs w:val="18"/>
          <w:color w:val="auto"/>
        </w:rPr>
        <w:t>Glenhill Capital Advisors, LLC is also the investment manager for certain third party accounts for which shares of the Issuer are held and managed by one or more of the Reporting Persons for the benefit of such third parties. Such Reporting Persons have dispositive power and share certain voting power with respect to such shares, and receive management fees and performance-related fees in connection therewith. As of the date of this filing, there are 1,413,361 shares of common stock of the Issuer held in such third party managed accounts, and the securities reported on the attached cover page(s) include such shares.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600 Fifth Avenue, 11th Floor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10020</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See the response(s) to Item 4 on the attached cover page(s).</w:t>
      </w:r>
    </w:p>
    <w:p>
      <w:pPr>
        <w:spacing w:after="0" w:line="370" w:lineRule="exact"/>
        <w:rPr>
          <w:sz w:val="20"/>
          <w:szCs w:val="20"/>
          <w:color w:val="auto"/>
        </w:rPr>
      </w:pPr>
    </w:p>
    <w:p>
      <w:pPr>
        <w:jc w:val="center"/>
        <w:ind w:right="8260"/>
        <w:spacing w:after="0"/>
        <w:tabs>
          <w:tab w:leader="none" w:pos="2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1360"/>
          </w:cols>
          <w:pgMar w:left="240" w:top="270" w:right="29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25065K104</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1600" w:hanging="566"/>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30"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30" w:lineRule="exact"/>
        <w:rPr>
          <w:rFonts w:ascii="Arial" w:cs="Arial" w:eastAsia="Arial" w:hAnsi="Arial"/>
          <w:sz w:val="18"/>
          <w:szCs w:val="18"/>
          <w:color w:val="auto"/>
        </w:rPr>
      </w:pPr>
    </w:p>
    <w:p>
      <w:pPr>
        <w:ind w:left="1600" w:hanging="566"/>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30" w:lineRule="exact"/>
        <w:rPr>
          <w:rFonts w:ascii="Arial" w:cs="Arial" w:eastAsia="Arial" w:hAnsi="Arial"/>
          <w:sz w:val="18"/>
          <w:szCs w:val="18"/>
          <w:color w:val="auto"/>
        </w:rPr>
      </w:pPr>
    </w:p>
    <w:p>
      <w:pPr>
        <w:jc w:val="both"/>
        <w:ind w:left="1600" w:right="60"/>
        <w:spacing w:after="0" w:line="264" w:lineRule="auto"/>
        <w:rPr>
          <w:rFonts w:ascii="Arial" w:cs="Arial" w:eastAsia="Arial" w:hAnsi="Arial"/>
          <w:sz w:val="18"/>
          <w:szCs w:val="18"/>
          <w:color w:val="auto"/>
        </w:rPr>
      </w:pPr>
      <w:r>
        <w:rPr>
          <w:rFonts w:ascii="Arial" w:cs="Arial" w:eastAsia="Arial" w:hAnsi="Arial"/>
          <w:sz w:val="18"/>
          <w:szCs w:val="18"/>
          <w:color w:val="auto"/>
        </w:rPr>
        <w:t>See the response(s) to Item 11 on the attached cover page(s), which was determined by dividing the number of shares beneficially held by the Reporting Person by 48,686,513, the number of shares of common stock issued and outstanding as reported in the Issuer’s Form 10-Q filed with the Securities and Exchange Commission on November 17, 2017.</w:t>
      </w:r>
    </w:p>
    <w:p>
      <w:pPr>
        <w:spacing w:after="0" w:line="86" w:lineRule="exact"/>
        <w:rPr>
          <w:rFonts w:ascii="Arial" w:cs="Arial" w:eastAsia="Arial" w:hAnsi="Arial"/>
          <w:sz w:val="18"/>
          <w:szCs w:val="18"/>
          <w:color w:val="auto"/>
        </w:rPr>
      </w:pPr>
    </w:p>
    <w:p>
      <w:pPr>
        <w:ind w:left="1600" w:hanging="566"/>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2040" w:hanging="438"/>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30"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30" w:lineRule="exact"/>
        <w:rPr>
          <w:rFonts w:ascii="Arial" w:cs="Arial" w:eastAsia="Arial" w:hAnsi="Arial"/>
          <w:sz w:val="18"/>
          <w:szCs w:val="18"/>
          <w:color w:val="auto"/>
        </w:rPr>
      </w:pPr>
    </w:p>
    <w:p>
      <w:pPr>
        <w:ind w:left="2040" w:hanging="438"/>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30" w:lineRule="exact"/>
        <w:rPr>
          <w:rFonts w:ascii="Arial" w:cs="Arial" w:eastAsia="Arial" w:hAnsi="Arial"/>
          <w:sz w:val="18"/>
          <w:szCs w:val="18"/>
          <w:color w:val="auto"/>
        </w:rPr>
      </w:pPr>
    </w:p>
    <w:p>
      <w:pPr>
        <w:ind w:left="2040" w:hanging="438"/>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30" w:lineRule="exact"/>
        <w:rPr>
          <w:rFonts w:ascii="Arial" w:cs="Arial" w:eastAsia="Arial" w:hAnsi="Arial"/>
          <w:sz w:val="18"/>
          <w:szCs w:val="18"/>
          <w:color w:val="auto"/>
        </w:rPr>
      </w:pPr>
    </w:p>
    <w:p>
      <w:pPr>
        <w:ind w:left="2040" w:right="5040" w:hanging="438"/>
        <w:spacing w:after="0" w:line="500" w:lineRule="auto"/>
        <w:tabs>
          <w:tab w:leader="none" w:pos="2040" w:val="left"/>
        </w:tabs>
        <w:numPr>
          <w:ilvl w:val="1"/>
          <w:numId w:val="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1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270" w:right="27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0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60"/>
          </w:cols>
          <w:pgMar w:left="240" w:top="270" w:right="39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14,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ADVISORS,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CAPITAL ADVISORS,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KREVLIN MANAGEMENT, INC.</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CAPITAL MANAGEMENT,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GLENHILL ADVISORS, LLC</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Member</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CAPITAL OVERSEAS MASTER FUND,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GLENHILL CAPITAL OVERSEAS GP, LTD.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GLENHILL CAPITAL MANAGEMENT, LLC</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Sole Shareholder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GLENHILL ADVISORS, LLC</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2019-12-21T01:06:17Z</dcterms:created>
  <dcterms:modified xsi:type="dcterms:W3CDTF">2019-12-21T01:06:17Z</dcterms:modified>
</cp:coreProperties>
</file>