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4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19,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01-34219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6" w:lineRule="exact"/>
        <w:rPr>
          <w:sz w:val="24"/>
          <w:szCs w:val="24"/>
          <w:color w:val="auto"/>
        </w:rPr>
      </w:pPr>
    </w:p>
    <w:p>
      <w:pPr>
        <w:sectPr>
          <w:pgSz w:w="11900" w:h="16838" w:orient="portrait"/>
          <w:cols w:equalWidth="0" w:num="3">
            <w:col w:w="4780" w:space="720"/>
            <w:col w:w="2960" w:space="720"/>
            <w:col w:w="1840"/>
          </w:cols>
          <w:pgMar w:left="240" w:top="314" w:right="639" w:bottom="1440" w:gutter="0" w:footer="0" w:header="0"/>
          <w:type w:val="continuous"/>
        </w:sectPr>
      </w:pPr>
    </w:p>
    <w:p>
      <w:pPr>
        <w:jc w:val="center"/>
        <w:ind w:right="840"/>
        <w:spacing w:after="0"/>
        <w:rPr>
          <w:sz w:val="20"/>
          <w:szCs w:val="20"/>
          <w:color w:val="auto"/>
        </w:rPr>
      </w:pPr>
      <w:r>
        <w:rPr>
          <w:rFonts w:ascii="Arial" w:cs="Arial" w:eastAsia="Arial" w:hAnsi="Arial"/>
          <w:sz w:val="14"/>
          <w:szCs w:val="14"/>
          <w:b w:val="1"/>
          <w:bCs w:val="1"/>
          <w:color w:val="auto"/>
        </w:rPr>
        <w:t>(State of</w:t>
      </w:r>
    </w:p>
    <w:p>
      <w:pPr>
        <w:jc w:val="center"/>
        <w:ind w:right="840"/>
        <w:spacing w:after="0"/>
        <w:rPr>
          <w:sz w:val="20"/>
          <w:szCs w:val="20"/>
          <w:color w:val="auto"/>
        </w:rPr>
      </w:pPr>
      <w:r>
        <w:rPr>
          <w:rFonts w:ascii="Arial" w:cs="Arial" w:eastAsia="Arial" w:hAnsi="Arial"/>
          <w:sz w:val="12"/>
          <w:szCs w:val="12"/>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760"/>
        <w:spacing w:after="0"/>
        <w:rPr>
          <w:sz w:val="20"/>
          <w:szCs w:val="20"/>
          <w:color w:val="auto"/>
        </w:rPr>
      </w:pPr>
      <w:r>
        <w:rPr>
          <w:rFonts w:ascii="Arial" w:cs="Arial" w:eastAsia="Arial" w:hAnsi="Arial"/>
          <w:sz w:val="14"/>
          <w:szCs w:val="14"/>
          <w:b w:val="1"/>
          <w:bCs w:val="1"/>
          <w:color w:val="auto"/>
        </w:rPr>
        <w:t>(IRS Employer</w:t>
      </w:r>
    </w:p>
    <w:p>
      <w:pPr>
        <w:jc w:val="center"/>
        <w:ind w:right="760"/>
        <w:spacing w:after="0"/>
        <w:rPr>
          <w:sz w:val="20"/>
          <w:szCs w:val="20"/>
          <w:color w:val="auto"/>
        </w:rPr>
      </w:pPr>
      <w:r>
        <w:rPr>
          <w:rFonts w:ascii="Arial" w:cs="Arial" w:eastAsia="Arial" w:hAnsi="Arial"/>
          <w:sz w:val="12"/>
          <w:szCs w:val="12"/>
          <w:b w:val="1"/>
          <w:bCs w:val="1"/>
          <w:color w:val="auto"/>
        </w:rPr>
        <w:t>Identification Number)</w:t>
      </w:r>
    </w:p>
    <w:p>
      <w:pPr>
        <w:spacing w:after="0" w:line="200" w:lineRule="exact"/>
        <w:rPr>
          <w:sz w:val="24"/>
          <w:szCs w:val="24"/>
          <w:color w:val="auto"/>
        </w:rPr>
      </w:pPr>
    </w:p>
    <w:p>
      <w:pPr>
        <w:sectPr>
          <w:pgSz w:w="11900" w:h="16838" w:orient="portrait"/>
          <w:cols w:equalWidth="0" w:num="3">
            <w:col w:w="4740" w:space="720"/>
            <w:col w:w="2740" w:space="720"/>
            <w:col w:w="2100"/>
          </w:cols>
          <w:pgMar w:left="240" w:top="314" w:right="639" w:bottom="1440" w:gutter="0" w:footer="0" w:header="0"/>
          <w:type w:val="continuous"/>
        </w:sectPr>
      </w:pPr>
    </w:p>
    <w:p>
      <w:pPr>
        <w:spacing w:after="0" w:line="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555 Turnpike Street,</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Canton, Massachusetts 02021</w:t>
      </w:r>
    </w:p>
    <w:p>
      <w:pPr>
        <w:spacing w:after="0" w:line="12" w:lineRule="exact"/>
        <w:rPr>
          <w:sz w:val="24"/>
          <w:szCs w:val="24"/>
          <w:color w:val="auto"/>
        </w:rPr>
      </w:pPr>
    </w:p>
    <w:p>
      <w:pPr>
        <w:jc w:val="center"/>
        <w:ind w:right="-419"/>
        <w:spacing w:after="0"/>
        <w:rPr>
          <w:sz w:val="20"/>
          <w:szCs w:val="20"/>
          <w:color w:val="auto"/>
        </w:rPr>
      </w:pPr>
      <w:r>
        <w:rPr>
          <w:rFonts w:ascii="Arial" w:cs="Arial" w:eastAsia="Arial" w:hAnsi="Arial"/>
          <w:sz w:val="12"/>
          <w:szCs w:val="12"/>
          <w:b w:val="1"/>
          <w:bCs w:val="1"/>
          <w:color w:val="auto"/>
        </w:rPr>
        <w:t>(Address of registrant’s principal executive office)</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19, 2011, Casual Male Retail Group, Inc. (the “Company”) issued a press release announcing the Company’s operating results for the first quarter of fiscal 2011. A copy of this press release is attached hereto as Exhibit 99.1.</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6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00" w:type="dxa"/>
            <w:vAlign w:val="bottom"/>
          </w:tcPr>
          <w:p>
            <w:pPr>
              <w:spacing w:after="0"/>
              <w:rPr>
                <w:sz w:val="14"/>
                <w:szCs w:val="14"/>
                <w:color w:val="auto"/>
              </w:rPr>
            </w:pPr>
          </w:p>
        </w:tc>
      </w:tr>
      <w:tr>
        <w:trPr>
          <w:trHeight w:val="316"/>
        </w:trPr>
        <w:tc>
          <w:tcPr>
            <w:tcW w:w="700" w:type="dxa"/>
            <w:vAlign w:val="bottom"/>
          </w:tcPr>
          <w:p>
            <w:pPr>
              <w:jc w:val="right"/>
              <w:ind w:right="122"/>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87"/>
              </w:rPr>
              <w:t>Press release announcing operating results for the first quarter of fiscal 2011.</w:t>
            </w:r>
          </w:p>
        </w:tc>
      </w:tr>
    </w:tbl>
    <w:p>
      <w:pPr>
        <w:sectPr>
          <w:pgSz w:w="11900" w:h="16838" w:orient="portrait"/>
          <w:cols w:equalWidth="0" w:num="1">
            <w:col w:w="11060"/>
          </w:cols>
          <w:pgMar w:left="240" w:top="274" w:right="5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19, 2011</w:t>
      </w:r>
    </w:p>
    <w:p>
      <w:pPr>
        <w:sectPr>
          <w:pgSz w:w="11900" w:h="16838" w:orient="portrait"/>
          <w:cols w:equalWidth="0" w:num="1">
            <w:col w:w="10980"/>
          </w:cols>
          <w:pgMar w:left="240" w:top="280"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66675</wp:posOffset>
            </wp:positionV>
            <wp:extent cx="243522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3522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CASUAL MALE RETAIL GROUP,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REPORTS FIRST QUARTER 2011 RESULTS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First Quarter Earnings $0.09 Per Diluted Share on comparable sales increase of 2.2%</w:t>
      </w:r>
    </w:p>
    <w:p>
      <w:pPr>
        <w:spacing w:after="0" w:line="15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 xml:space="preserve">CANTON, MA (May 19, 2011) </w:t>
      </w:r>
      <w:r>
        <w:rPr>
          <w:rFonts w:ascii="Arial" w:cs="Arial" w:eastAsia="Arial" w:hAnsi="Arial"/>
          <w:sz w:val="18"/>
          <w:szCs w:val="18"/>
          <w:color w:val="auto"/>
        </w:rPr>
        <w:t>—</w:t>
      </w:r>
      <w:r>
        <w:rPr>
          <w:rFonts w:ascii="Arial" w:cs="Arial" w:eastAsia="Arial" w:hAnsi="Arial"/>
          <w:sz w:val="18"/>
          <w:szCs w:val="18"/>
          <w:b w:val="1"/>
          <w:bCs w:val="1"/>
          <w:color w:val="auto"/>
        </w:rPr>
        <w:t xml:space="preserve"> Casual Male Retail Group, Inc. (NASDAQ: “CMRG”)</w:t>
      </w:r>
      <w:r>
        <w:rPr>
          <w:rFonts w:ascii="Arial" w:cs="Arial" w:eastAsia="Arial" w:hAnsi="Arial"/>
          <w:sz w:val="18"/>
          <w:szCs w:val="18"/>
          <w:color w:val="auto"/>
        </w:rPr>
        <w:t>, the largest retailer of big &amp; tall men’s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operating results for the first quarter ended April 30,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Highlights (1QFY11 vs. 1QFY10)</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which was flat with the prior year’s first quarter, was $4.2 million, or $0.09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increased 2.2% and total sales increased 0.9% to $95.8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improved 100 basis points to 46.9%.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first quarter of fiscal 2011, total sales increased 0.9% to $95.8 million and comparable sales increased 2.2% as compared to the prior year’s first quarter.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2011, comparable sales for our Retail channel increased 1.6% while comparable sales for our Direct channel increased 4.7%.</w:t>
      </w:r>
    </w:p>
    <w:p>
      <w:pPr>
        <w:spacing w:after="0" w:line="188"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For the first quarter of fiscal 2011, comparable sales for our northeast and midwest regions were over 3% lower than comparable sales for our southern and western regions, principally due to adverse weather in those regions. As a result, comparable sales for the first quarter of fiscal 2011 were 1.5% lower than expected.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Margin</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first quarter of fiscal 2011, gross margin increased 100 basis points to 46.9%. The increase was the result of a 90 basis point improvement in merchandise margin and a 10 basis point improvement in occupancy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a dollar basis, SG&amp;A expenses increased 4.2% to $37.1 million for the first quarter of fiscal 2011. As a percentage of sales, SG&amp;A expenses increased 120 basis points to 38.7% in the first quarter of fiscal 2011 as compared to 37.5% in the first quarter of fiscal 2010.</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planned, our SG&amp;A expenses for the first quarter of fiscal 2011 increased by $1.5 million, primarily due to payroll-related costs, including bonus accruals, modest salary increases, severance payments and 401k matching contributions.</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Expense</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Net interest expense of $0.1 million for the first quarter of fiscal 2011 was flat with the prior year. Net interest expense for the first quarter of fiscal 2011 was primarily unused line fees because the Company had essentially no borrowings during the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Free cash flow from operations (as defined below under Non-GAAP Measures) improved by $1.3 million to $1.2 million in the first quarter of fiscal 2011 as compared to $(0.1) million in the first quarter of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&amp; Liquidity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April 30, 2011, the Company had no outstanding debt as compared to $12.0 million at end of the first quarter of fiscal 2010. In addition, the Company had full availability under its credit facility of $66.9 million.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Inventories decreased 1.1% to $97.6 million at the end of the first quarter of fiscal 2011 from $98.7 million at the end of first quarter of fiscal 2010.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Destination XL</w:t>
      </w:r>
    </w:p>
    <w:p>
      <w:pPr>
        <w:spacing w:after="0" w:line="9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Company now expects to open 14-15 additional Destination XL™ stores during the second half of fiscal 2011. This is an increase from previously discussed 10-14 stores guidance for 2011. In addition, the Company anticipates opening 20–30 Destination XL stores in fiscal 2012. Depending on the real estate and market demographics for each of these store locations, we expect the size of each store to be between 6,000 to 12,000 square feet, to accommodate each market.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2011 Outlook</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fiscal year ending January 28, 2012, the Company’s outlook for the year is unchanged from previous guidance, inclusive of the opening of 14-15 DXL™ stores: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increase of 4.0-4.5% and total sales of $405-$410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margin of 46.6% to 47.1%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SG&amp;A expenses to increase by approximately 3.0%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of $0.40-$0.45</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of approximately $16.0 million, which is based on operating cash flow of approximately $34.0 million and capital expenditures of approximately $18.0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In addition to the financial measures prepared in accordance with generally accepted accounting principles (GAAP), the above discussion also refers to non-GAAP free cash flow of $1.2 million and $(0.1) million for the three months ended April 30, 2011 and May 1, 2010, respectively, and estimated non-GAAP free cash flow of $16.0 million for fiscal 2011. The presentation of non-GAAP free cash flow is not a measure determined by GAAP and should not be considered superior</w:t>
      </w:r>
    </w:p>
    <w:p>
      <w:pPr>
        <w:sectPr>
          <w:pgSz w:w="11900" w:h="16838" w:orient="portrait"/>
          <w:cols w:equalWidth="0" w:num="1">
            <w:col w:w="11360"/>
          </w:cols>
          <w:pgMar w:left="240" w:top="274" w:right="299" w:bottom="1440" w:gutter="0" w:footer="0" w:header="0"/>
        </w:sectPr>
      </w:pPr>
    </w:p>
    <w:bookmarkStart w:id="5" w:name="page6"/>
    <w:bookmarkEnd w:id="5"/>
    <w:p>
      <w:pPr>
        <w:ind w:right="200"/>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w:t>
      </w:r>
    </w:p>
    <w:p>
      <w:pPr>
        <w:spacing w:after="0" w:line="2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620" w:type="dxa"/>
            <w:vAlign w:val="bottom"/>
            <w:gridSpan w:val="3"/>
          </w:tcPr>
          <w:p>
            <w:pPr>
              <w:ind w:left="560"/>
              <w:spacing w:after="0"/>
              <w:rPr>
                <w:sz w:val="20"/>
                <w:szCs w:val="20"/>
                <w:color w:val="auto"/>
              </w:rPr>
            </w:pPr>
            <w:r>
              <w:rPr>
                <w:rFonts w:ascii="Arial" w:cs="Arial" w:eastAsia="Arial" w:hAnsi="Arial"/>
                <w:sz w:val="14"/>
                <w:szCs w:val="14"/>
                <w:i w:val="1"/>
                <w:iCs w:val="1"/>
                <w:color w:val="auto"/>
              </w:rPr>
              <w:t>For the three months ended</w:t>
            </w:r>
          </w:p>
        </w:tc>
        <w:tc>
          <w:tcPr>
            <w:tcW w:w="7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i w:val="1"/>
                <w:iCs w:val="1"/>
                <w:color w:val="auto"/>
                <w:w w:val="88"/>
              </w:rPr>
              <w:t>Projected Cash Flow</w:t>
            </w:r>
          </w:p>
        </w:tc>
      </w:tr>
      <w:tr>
        <w:trPr>
          <w:trHeight w:val="159"/>
        </w:trPr>
        <w:tc>
          <w:tcPr>
            <w:tcW w:w="5120" w:type="dxa"/>
            <w:vAlign w:val="bottom"/>
          </w:tcPr>
          <w:p>
            <w:pPr>
              <w:ind w:left="1880"/>
              <w:spacing w:after="0" w:line="159" w:lineRule="exact"/>
              <w:rPr>
                <w:sz w:val="20"/>
                <w:szCs w:val="20"/>
                <w:color w:val="auto"/>
              </w:rPr>
            </w:pPr>
            <w:r>
              <w:rPr>
                <w:rFonts w:ascii="Arial" w:cs="Arial" w:eastAsia="Arial" w:hAnsi="Arial"/>
                <w:sz w:val="14"/>
                <w:szCs w:val="14"/>
                <w:i w:val="1"/>
                <w:iCs w:val="1"/>
                <w:color w:val="auto"/>
              </w:rPr>
              <w:t>(in millions)</w:t>
            </w:r>
          </w:p>
        </w:tc>
        <w:tc>
          <w:tcPr>
            <w:tcW w:w="960" w:type="dxa"/>
            <w:vAlign w:val="bottom"/>
            <w:tcBorders>
              <w:bottom w:val="single" w:sz="8" w:color="auto"/>
            </w:tcBorders>
          </w:tcPr>
          <w:p>
            <w:pPr>
              <w:ind w:left="100"/>
              <w:spacing w:after="0" w:line="159" w:lineRule="exact"/>
              <w:rPr>
                <w:sz w:val="20"/>
                <w:szCs w:val="20"/>
                <w:color w:val="auto"/>
              </w:rPr>
            </w:pPr>
            <w:r>
              <w:rPr>
                <w:rFonts w:ascii="Arial" w:cs="Arial" w:eastAsia="Arial" w:hAnsi="Arial"/>
                <w:sz w:val="14"/>
                <w:szCs w:val="14"/>
                <w:i w:val="1"/>
                <w:iCs w:val="1"/>
                <w:color w:val="auto"/>
                <w:w w:val="97"/>
              </w:rPr>
              <w:t>April 30, 2011</w:t>
            </w:r>
          </w:p>
        </w:tc>
        <w:tc>
          <w:tcPr>
            <w:tcW w:w="700" w:type="dxa"/>
            <w:vAlign w:val="bottom"/>
          </w:tcPr>
          <w:p>
            <w:pPr>
              <w:spacing w:after="0"/>
              <w:rPr>
                <w:sz w:val="13"/>
                <w:szCs w:val="13"/>
                <w:color w:val="auto"/>
              </w:rPr>
            </w:pPr>
          </w:p>
        </w:tc>
        <w:tc>
          <w:tcPr>
            <w:tcW w:w="960" w:type="dxa"/>
            <w:vAlign w:val="bottom"/>
            <w:tcBorders>
              <w:bottom w:val="single" w:sz="8" w:color="auto"/>
            </w:tcBorders>
          </w:tcPr>
          <w:p>
            <w:pPr>
              <w:ind w:left="140"/>
              <w:spacing w:after="0" w:line="159" w:lineRule="exact"/>
              <w:rPr>
                <w:sz w:val="20"/>
                <w:szCs w:val="20"/>
                <w:color w:val="auto"/>
              </w:rPr>
            </w:pPr>
            <w:r>
              <w:rPr>
                <w:rFonts w:ascii="Arial" w:cs="Arial" w:eastAsia="Arial" w:hAnsi="Arial"/>
                <w:sz w:val="14"/>
                <w:szCs w:val="14"/>
                <w:i w:val="1"/>
                <w:iCs w:val="1"/>
                <w:color w:val="auto"/>
              </w:rPr>
              <w:t>May 1, 2010</w:t>
            </w:r>
          </w:p>
        </w:tc>
        <w:tc>
          <w:tcPr>
            <w:tcW w:w="70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i w:val="1"/>
                <w:iCs w:val="1"/>
                <w:color w:val="auto"/>
                <w:w w:val="86"/>
              </w:rPr>
              <w:t>Fiscal 2011</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from operating activities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1"/>
              </w:rPr>
              <w:t>$3.1</w:t>
            </w:r>
          </w:p>
        </w:tc>
        <w:tc>
          <w:tcPr>
            <w:tcW w:w="166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i w:val="1"/>
                <w:iCs w:val="1"/>
                <w:color w:val="auto"/>
                <w:w w:val="91"/>
              </w:rPr>
              <w:t>$0.6</w:t>
            </w:r>
          </w:p>
        </w:tc>
        <w:tc>
          <w:tcPr>
            <w:tcW w:w="184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i w:val="1"/>
                <w:iCs w:val="1"/>
                <w:color w:val="auto"/>
                <w:w w:val="84"/>
              </w:rPr>
              <w:t>$34.0</w:t>
            </w:r>
          </w:p>
        </w:tc>
      </w:tr>
      <w:tr>
        <w:trPr>
          <w:trHeight w:val="216"/>
        </w:trPr>
        <w:tc>
          <w:tcPr>
            <w:tcW w:w="5120" w:type="dxa"/>
            <w:vAlign w:val="bottom"/>
          </w:tcPr>
          <w:p>
            <w:pPr>
              <w:spacing w:after="0"/>
              <w:rPr>
                <w:sz w:val="20"/>
                <w:szCs w:val="20"/>
                <w:color w:val="auto"/>
              </w:rPr>
            </w:pPr>
            <w:r>
              <w:rPr>
                <w:rFonts w:ascii="Arial" w:cs="Arial" w:eastAsia="Arial" w:hAnsi="Arial"/>
                <w:sz w:val="18"/>
                <w:szCs w:val="18"/>
                <w:i w:val="1"/>
                <w:iCs w:val="1"/>
                <w:color w:val="auto"/>
              </w:rPr>
              <w:t>Less: Capital expenditures</w:t>
            </w:r>
          </w:p>
        </w:tc>
        <w:tc>
          <w:tcPr>
            <w:tcW w:w="960" w:type="dxa"/>
            <w:vAlign w:val="bottom"/>
          </w:tcPr>
          <w:p>
            <w:pPr>
              <w:jc w:val="center"/>
              <w:spacing w:after="0"/>
              <w:rPr>
                <w:sz w:val="20"/>
                <w:szCs w:val="20"/>
                <w:color w:val="auto"/>
              </w:rPr>
            </w:pPr>
            <w:r>
              <w:rPr>
                <w:rFonts w:ascii="Arial" w:cs="Arial" w:eastAsia="Arial" w:hAnsi="Arial"/>
                <w:sz w:val="18"/>
                <w:szCs w:val="18"/>
                <w:i w:val="1"/>
                <w:iCs w:val="1"/>
                <w:color w:val="auto"/>
                <w:w w:val="91"/>
              </w:rPr>
              <w:t>(1.9)</w:t>
            </w:r>
          </w:p>
        </w:tc>
        <w:tc>
          <w:tcPr>
            <w:tcW w:w="1660" w:type="dxa"/>
            <w:vAlign w:val="bottom"/>
            <w:gridSpan w:val="2"/>
          </w:tcPr>
          <w:p>
            <w:pPr>
              <w:jc w:val="center"/>
              <w:ind w:left="612"/>
              <w:spacing w:after="0"/>
              <w:rPr>
                <w:sz w:val="20"/>
                <w:szCs w:val="20"/>
                <w:color w:val="auto"/>
              </w:rPr>
            </w:pPr>
            <w:r>
              <w:rPr>
                <w:rFonts w:ascii="Arial" w:cs="Arial" w:eastAsia="Arial" w:hAnsi="Arial"/>
                <w:sz w:val="18"/>
                <w:szCs w:val="18"/>
                <w:i w:val="1"/>
                <w:iCs w:val="1"/>
                <w:color w:val="auto"/>
                <w:w w:val="86"/>
              </w:rPr>
              <w:t>(0.7)</w:t>
            </w:r>
          </w:p>
        </w:tc>
        <w:tc>
          <w:tcPr>
            <w:tcW w:w="1840" w:type="dxa"/>
            <w:vAlign w:val="bottom"/>
            <w:gridSpan w:val="2"/>
          </w:tcPr>
          <w:p>
            <w:pPr>
              <w:jc w:val="center"/>
              <w:ind w:left="612"/>
              <w:spacing w:after="0"/>
              <w:rPr>
                <w:sz w:val="20"/>
                <w:szCs w:val="20"/>
                <w:color w:val="auto"/>
              </w:rPr>
            </w:pPr>
            <w:r>
              <w:rPr>
                <w:rFonts w:ascii="Arial" w:cs="Arial" w:eastAsia="Arial" w:hAnsi="Arial"/>
                <w:sz w:val="18"/>
                <w:szCs w:val="18"/>
                <w:i w:val="1"/>
                <w:iCs w:val="1"/>
                <w:color w:val="auto"/>
                <w:w w:val="89"/>
              </w:rPr>
              <w:t>(18.0)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Less: Discretionary store asset acquisitions</w:t>
            </w:r>
          </w:p>
        </w:tc>
        <w:tc>
          <w:tcPr>
            <w:tcW w:w="9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w:t>
            </w:r>
          </w:p>
        </w:tc>
        <w:tc>
          <w:tcPr>
            <w:tcW w:w="7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w:t>
            </w:r>
          </w:p>
        </w:tc>
        <w:tc>
          <w:tcPr>
            <w:tcW w:w="7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i w:val="1"/>
                <w:iCs w:val="1"/>
                <w:color w:val="auto"/>
              </w:rPr>
              <w:t>—</w:t>
            </w:r>
          </w:p>
        </w:tc>
      </w:tr>
      <w:tr>
        <w:trPr>
          <w:trHeight w:val="221"/>
        </w:trPr>
        <w:tc>
          <w:tcPr>
            <w:tcW w:w="5120" w:type="dxa"/>
            <w:vAlign w:val="bottom"/>
          </w:tcPr>
          <w:p>
            <w:pPr>
              <w:spacing w:after="0"/>
              <w:rPr>
                <w:sz w:val="20"/>
                <w:szCs w:val="20"/>
                <w:color w:val="auto"/>
              </w:rPr>
            </w:pPr>
            <w:r>
              <w:rPr>
                <w:rFonts w:ascii="Arial" w:cs="Arial" w:eastAsia="Arial" w:hAnsi="Arial"/>
                <w:sz w:val="18"/>
                <w:szCs w:val="18"/>
                <w:i w:val="1"/>
                <w:iCs w:val="1"/>
                <w:color w:val="auto"/>
              </w:rPr>
              <w:t>Estimated Free Cash Flow</w:t>
            </w:r>
          </w:p>
        </w:tc>
        <w:tc>
          <w:tcPr>
            <w:tcW w:w="960" w:type="dxa"/>
            <w:vAlign w:val="bottom"/>
          </w:tcPr>
          <w:p>
            <w:pPr>
              <w:jc w:val="center"/>
              <w:spacing w:after="0"/>
              <w:rPr>
                <w:sz w:val="20"/>
                <w:szCs w:val="20"/>
                <w:color w:val="auto"/>
              </w:rPr>
            </w:pPr>
            <w:r>
              <w:rPr>
                <w:rFonts w:ascii="Arial" w:cs="Arial" w:eastAsia="Arial" w:hAnsi="Arial"/>
                <w:sz w:val="18"/>
                <w:szCs w:val="18"/>
                <w:i w:val="1"/>
                <w:iCs w:val="1"/>
                <w:color w:val="auto"/>
                <w:w w:val="91"/>
              </w:rPr>
              <w:t>$1.2</w:t>
            </w:r>
          </w:p>
        </w:tc>
        <w:tc>
          <w:tcPr>
            <w:tcW w:w="1660" w:type="dxa"/>
            <w:vAlign w:val="bottom"/>
            <w:gridSpan w:val="2"/>
          </w:tcPr>
          <w:p>
            <w:pPr>
              <w:jc w:val="center"/>
              <w:ind w:left="612"/>
              <w:spacing w:after="0"/>
              <w:rPr>
                <w:sz w:val="20"/>
                <w:szCs w:val="20"/>
                <w:color w:val="auto"/>
              </w:rPr>
            </w:pPr>
            <w:r>
              <w:rPr>
                <w:rFonts w:ascii="Arial" w:cs="Arial" w:eastAsia="Arial" w:hAnsi="Arial"/>
                <w:sz w:val="18"/>
                <w:szCs w:val="18"/>
                <w:i w:val="1"/>
                <w:iCs w:val="1"/>
                <w:color w:val="auto"/>
                <w:w w:val="93"/>
              </w:rPr>
              <w:t>$(0.1)</w:t>
            </w:r>
          </w:p>
        </w:tc>
        <w:tc>
          <w:tcPr>
            <w:tcW w:w="1840" w:type="dxa"/>
            <w:vAlign w:val="bottom"/>
            <w:gridSpan w:val="2"/>
          </w:tcPr>
          <w:p>
            <w:pPr>
              <w:jc w:val="center"/>
              <w:ind w:left="612"/>
              <w:spacing w:after="0"/>
              <w:rPr>
                <w:sz w:val="20"/>
                <w:szCs w:val="20"/>
                <w:color w:val="auto"/>
              </w:rPr>
            </w:pPr>
            <w:r>
              <w:rPr>
                <w:rFonts w:ascii="Arial" w:cs="Arial" w:eastAsia="Arial" w:hAnsi="Arial"/>
                <w:sz w:val="18"/>
                <w:szCs w:val="18"/>
                <w:i w:val="1"/>
                <w:iCs w:val="1"/>
                <w:color w:val="auto"/>
                <w:w w:val="84"/>
              </w:rPr>
              <w:t>$16.0</w:t>
            </w:r>
          </w:p>
        </w:tc>
      </w:tr>
    </w:tbl>
    <w:p>
      <w:pPr>
        <w:spacing w:after="0" w:line="15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Investors are invited to listen to a broadcast of the Company’s conference call to discuss its earnings results for the first quarter of fiscal 2011. The conference call will broadcast live today, Thursday, May 19, 2011 at 9:00 a.m. Eastern Daylight Time and can be accessed at </w:t>
      </w:r>
      <w:r>
        <w:rPr>
          <w:rFonts w:ascii="Arial" w:cs="Arial" w:eastAsia="Arial" w:hAnsi="Arial"/>
          <w:sz w:val="16"/>
          <w:szCs w:val="16"/>
          <w:u w:val="single" w:color="auto"/>
          <w:color w:val="auto"/>
        </w:rPr>
        <w:t>www.casualmalexl.com</w:t>
      </w:r>
      <w:r>
        <w:rPr>
          <w:rFonts w:ascii="Arial" w:cs="Arial" w:eastAsia="Arial" w:hAnsi="Arial"/>
          <w:sz w:val="16"/>
          <w:szCs w:val="16"/>
          <w:color w:val="auto"/>
        </w:rPr>
        <w:t xml:space="preserve"> and then clicking on the investor relations icon.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13"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Casual Male Retail Group, Inc., the largest retailer of big and tall men's apparel with operations throughout the United States, Canada and Europe, operates 439 Casual Male XL retail and outlet stores, 4 Destination XL stores, 16 Rochester Clothing stores, and direct-to-consumer businesses which include several catalogs and e-commerce sites. The Company is headquartered in Canton, Massachusetts, and its common stock is listed on the NASDAQ Global Market under the symbol "CMRG."</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i w:val="1"/>
          <w:iCs w:val="1"/>
          <w:color w:val="auto"/>
        </w:rPr>
        <w:t>Certain information contained in this press release, including the Company's expectations regarding fiscal 2011,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its Annual Report on Form 10-K filed on March 18, 2011, that set forth certain risks and uncertainties that may have an impact on future results and direction of the Company.</w:t>
      </w:r>
    </w:p>
    <w:p>
      <w:pPr>
        <w:spacing w:after="0" w:line="105"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jc w:val="right"/>
        <w:ind w:right="389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0219"/>
          </w:cols>
          <w:pgMar w:left="240" w:top="280"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right"/>
              <w:ind w:right="380"/>
              <w:spacing w:after="0"/>
              <w:rPr>
                <w:sz w:val="20"/>
                <w:szCs w:val="20"/>
                <w:color w:val="auto"/>
              </w:rPr>
            </w:pPr>
            <w:r>
              <w:rPr>
                <w:rFonts w:ascii="Arial" w:cs="Arial" w:eastAsia="Arial" w:hAnsi="Arial"/>
                <w:sz w:val="14"/>
                <w:szCs w:val="14"/>
                <w:color w:val="auto"/>
                <w:w w:val="90"/>
              </w:rPr>
              <w:t>For the 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800" w:type="dxa"/>
            <w:vAlign w:val="bottom"/>
            <w:tcBorders>
              <w:bottom w:val="single" w:sz="8" w:color="auto"/>
            </w:tcBorders>
            <w:gridSpan w:val="2"/>
          </w:tcPr>
          <w:p>
            <w:pPr>
              <w:ind w:left="20"/>
              <w:spacing w:after="0" w:line="159" w:lineRule="exact"/>
              <w:rPr>
                <w:sz w:val="20"/>
                <w:szCs w:val="20"/>
                <w:color w:val="auto"/>
              </w:rPr>
            </w:pPr>
            <w:r>
              <w:rPr>
                <w:rFonts w:ascii="Arial" w:cs="Arial" w:eastAsia="Arial" w:hAnsi="Arial"/>
                <w:sz w:val="14"/>
                <w:szCs w:val="14"/>
                <w:color w:val="auto"/>
                <w:w w:val="87"/>
              </w:rPr>
              <w:t>April 30, 2011</w:t>
            </w:r>
          </w:p>
        </w:tc>
        <w:tc>
          <w:tcPr>
            <w:tcW w:w="540" w:type="dxa"/>
            <w:vAlign w:val="bottom"/>
          </w:tcPr>
          <w:p>
            <w:pPr>
              <w:spacing w:after="0"/>
              <w:rPr>
                <w:sz w:val="13"/>
                <w:szCs w:val="13"/>
                <w:color w:val="auto"/>
              </w:rPr>
            </w:pPr>
          </w:p>
        </w:tc>
        <w:tc>
          <w:tcPr>
            <w:tcW w:w="70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88"/>
              </w:rPr>
              <w:t>May 1, 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95,798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94,984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50,832</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44,966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43,568</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37,110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3,056</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40,166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38,955</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92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4,800</w:t>
            </w:r>
          </w:p>
        </w:tc>
        <w:tc>
          <w:tcPr>
            <w:tcW w:w="1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4,679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80" w:type="dxa"/>
            <w:vAlign w:val="bottom"/>
            <w:gridSpan w:val="2"/>
          </w:tcPr>
          <w:p>
            <w:pPr>
              <w:spacing w:after="0"/>
              <w:rPr>
                <w:sz w:val="20"/>
                <w:szCs w:val="20"/>
                <w:color w:val="auto"/>
              </w:rPr>
            </w:pPr>
            <w:r>
              <w:rPr>
                <w:rFonts w:ascii="Arial" w:cs="Arial" w:eastAsia="Arial" w:hAnsi="Arial"/>
                <w:sz w:val="18"/>
                <w:szCs w:val="18"/>
                <w:color w:val="auto"/>
              </w:rPr>
              <w:t>Net income per share - basic and 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47,146</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48,030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47,267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30, 2011 and January 29,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4"/>
              <w:spacing w:after="0"/>
              <w:rPr>
                <w:sz w:val="20"/>
                <w:szCs w:val="20"/>
                <w:color w:val="auto"/>
              </w:rPr>
            </w:pPr>
            <w:r>
              <w:rPr>
                <w:rFonts w:ascii="Arial" w:cs="Arial" w:eastAsia="Arial" w:hAnsi="Arial"/>
                <w:sz w:val="14"/>
                <w:szCs w:val="14"/>
                <w:color w:val="auto"/>
                <w:w w:val="87"/>
              </w:rPr>
              <w:t>April 30, 2011</w:t>
            </w:r>
          </w:p>
        </w:tc>
        <w:tc>
          <w:tcPr>
            <w:tcW w:w="5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color w:val="auto"/>
                <w:w w:val="94"/>
              </w:rPr>
              <w:t>January 29,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60" w:type="dxa"/>
            <w:vAlign w:val="bottom"/>
            <w:gridSpan w:val="2"/>
          </w:tcPr>
          <w:p>
            <w:pPr>
              <w:spacing w:after="0"/>
              <w:rPr>
                <w:sz w:val="20"/>
                <w:szCs w:val="20"/>
                <w:color w:val="auto"/>
              </w:rPr>
            </w:pPr>
            <w:r>
              <w:rPr>
                <w:rFonts w:ascii="Arial" w:cs="Arial" w:eastAsia="Arial" w:hAnsi="Arial"/>
                <w:sz w:val="18"/>
                <w:szCs w:val="18"/>
                <w:color w:val="auto"/>
              </w:rPr>
              <w:t>Cash and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5,801</w:t>
            </w: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97,575</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14,113</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32,122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188,807</w:t>
            </w: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6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48,876</w:t>
            </w: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47,762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21,615</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116,586</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188,807</w:t>
            </w:r>
          </w:p>
        </w:tc>
        <w:tc>
          <w:tcPr>
            <w:tcW w:w="7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2019-12-10T08:09:16Z</dcterms:created>
  <dcterms:modified xsi:type="dcterms:W3CDTF">2019-12-10T08:09:16Z</dcterms:modified>
</cp:coreProperties>
</file>