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13G</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39"/>
        <w:spacing w:after="0"/>
        <w:tabs>
          <w:tab w:leader="none" w:pos="24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Common Stock, par value $0.01 per share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May 12, 2022</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ind w:left="980" w:hanging="54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52" w:lineRule="exact"/>
        <w:rPr>
          <w:sz w:val="24"/>
          <w:szCs w:val="24"/>
          <w:color w:val="auto"/>
        </w:rPr>
      </w:pPr>
    </w:p>
    <w:p>
      <w:pPr>
        <w:ind w:left="980" w:hanging="544"/>
        <w:spacing w:after="0"/>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07" w:lineRule="exact"/>
        <w:rPr>
          <w:sz w:val="24"/>
          <w:szCs w:val="24"/>
          <w:color w:val="auto"/>
        </w:rPr>
      </w:pPr>
    </w:p>
    <w:p>
      <w:pPr>
        <w:ind w:left="440"/>
        <w:spacing w:after="0" w:line="207" w:lineRule="exact"/>
        <w:rPr>
          <w:sz w:val="24"/>
          <w:szCs w:val="24"/>
          <w:color w:val="auto"/>
        </w:rPr>
      </w:pPr>
      <w:r>
        <w:rPr>
          <w:rFonts w:ascii="MS PGothic" w:cs="MS PGothic" w:eastAsia="MS PGothic" w:hAnsi="MS PGothic"/>
          <w:sz w:val="18"/>
          <w:szCs w:val="18"/>
          <w:color w:val="auto"/>
        </w:rPr>
        <w:t>☐</w:t>
      </w:r>
      <w:r>
        <w:rPr>
          <w:rFonts w:ascii="Arial" w:cs="Arial" w:eastAsia="Arial" w:hAnsi="Arial"/>
          <w:sz w:val="16"/>
          <w:szCs w:val="16"/>
          <w:color w:val="auto"/>
        </w:rPr>
        <w:t>Rule 13d-1(d)</w:t>
      </w:r>
    </w:p>
    <w:p>
      <w:pPr>
        <w:spacing w:after="0" w:line="296" w:lineRule="exact"/>
        <w:rPr>
          <w:sz w:val="24"/>
          <w:szCs w:val="24"/>
          <w:color w:val="auto"/>
        </w:rPr>
      </w:pPr>
    </w:p>
    <w:p>
      <w:pPr>
        <w:ind w:left="440" w:hanging="440"/>
        <w:spacing w:after="0" w:line="308" w:lineRule="auto"/>
        <w:rPr>
          <w:sz w:val="24"/>
          <w:szCs w:val="24"/>
          <w:color w:val="auto"/>
        </w:rPr>
      </w:pPr>
      <w:r>
        <w:rPr>
          <w:rFonts w:ascii="Arial" w:cs="Arial" w:eastAsia="Arial" w:hAnsi="Arial"/>
          <w:sz w:val="18"/>
          <w:szCs w:val="18"/>
          <w:color w:val="auto"/>
        </w:rPr>
        <w:t>*</w:t>
      </w: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46" w:lineRule="exact"/>
        <w:rPr>
          <w:sz w:val="24"/>
          <w:szCs w:val="24"/>
          <w:color w:val="auto"/>
        </w:rPr>
      </w:pPr>
    </w:p>
    <w:p>
      <w:pPr>
        <w:ind w:right="8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as amended (“</w:t>
      </w:r>
      <w:r>
        <w:rPr>
          <w:rFonts w:ascii="Arial" w:cs="Arial" w:eastAsia="Arial" w:hAnsi="Arial"/>
          <w:sz w:val="18"/>
          <w:szCs w:val="18"/>
          <w:b w:val="1"/>
          <w:bCs w:val="1"/>
          <w:i w:val="1"/>
          <w:iCs w:val="1"/>
          <w:color w:val="auto"/>
        </w:rPr>
        <w:t>Act</w:t>
      </w:r>
      <w:r>
        <w:rPr>
          <w:rFonts w:ascii="Arial" w:cs="Arial" w:eastAsia="Arial" w:hAnsi="Arial"/>
          <w:sz w:val="18"/>
          <w:szCs w:val="18"/>
          <w:color w:val="auto"/>
        </w:rPr>
        <w:t xml:space="preserve">”) or otherwise subject to the liabilities of that section of the Act but shall be subject to all other provisions of the Act (however, see the </w:t>
      </w:r>
      <w:r>
        <w:rPr>
          <w:rFonts w:ascii="Arial" w:cs="Arial" w:eastAsia="Arial" w:hAnsi="Arial"/>
          <w:sz w:val="18"/>
          <w:szCs w:val="18"/>
          <w:i w:val="1"/>
          <w:iCs w:val="1"/>
          <w:color w:val="auto"/>
        </w:rPr>
        <w:t>Notes</w:t>
      </w:r>
      <w:r>
        <w:rPr>
          <w:rFonts w:ascii="Arial" w:cs="Arial" w:eastAsia="Arial" w:hAnsi="Arial"/>
          <w:sz w:val="18"/>
          <w:szCs w:val="18"/>
          <w:color w:val="auto"/>
        </w:rPr>
        <w:t>).</w:t>
      </w:r>
    </w:p>
    <w:p>
      <w:pPr>
        <w:spacing w:after="0" w:line="18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117"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Shelley J. Rosensweig, Esq.</w:t>
      </w:r>
    </w:p>
    <w:p>
      <w:pPr>
        <w:spacing w:after="0" w:line="23"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Haynes and Boone, LLP</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30 Rockefeller Plaza, 26th Floor</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New York, New York 10112</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(212) 659-7300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151765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194310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382" w:right="49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40" w:type="dxa"/>
            <w:vAlign w:val="bottom"/>
          </w:tcPr>
          <w:p>
            <w:pPr>
              <w:ind w:left="33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32"/>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25065K104</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Wolf Hill Capital Management, LP</w:t>
            </w:r>
          </w:p>
        </w:tc>
        <w:tc>
          <w:tcPr>
            <w:tcW w:w="0" w:type="dxa"/>
            <w:vAlign w:val="bottom"/>
          </w:tcPr>
          <w:p>
            <w:pPr>
              <w:spacing w:after="0"/>
              <w:rPr>
                <w:sz w:val="1"/>
                <w:szCs w:val="1"/>
                <w:color w:val="auto"/>
              </w:rPr>
            </w:pPr>
          </w:p>
        </w:tc>
      </w:tr>
      <w:tr>
        <w:trPr>
          <w:trHeight w:val="162"/>
        </w:trPr>
        <w:tc>
          <w:tcPr>
            <w:tcW w:w="3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88"/>
              </w:rPr>
              <w:t>☐</w:t>
            </w:r>
          </w:p>
        </w:tc>
        <w:tc>
          <w:tcPr>
            <w:tcW w:w="954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4"/>
              </w:rPr>
              <w:t>Delaware</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4"/>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7.7% (2)</w:t>
            </w:r>
          </w:p>
        </w:tc>
        <w:tc>
          <w:tcPr>
            <w:tcW w:w="10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IA</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14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51435"/>
                    </a:xfrm>
                    <a:prstGeom prst="rect">
                      <a:avLst/>
                    </a:prstGeom>
                    <a:noFill/>
                  </pic:spPr>
                </pic:pic>
              </a:graphicData>
            </a:graphic>
          </wp:anchor>
        </w:drawing>
      </w:r>
    </w:p>
    <w:p>
      <w:pPr>
        <w:ind w:left="444" w:hanging="444"/>
        <w:spacing w:after="0"/>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Includes 1,168,017 shares held by certain separate managed accounts.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2 for more information.</w:t>
      </w:r>
    </w:p>
    <w:p>
      <w:pPr>
        <w:spacing w:after="0" w:line="23" w:lineRule="exact"/>
        <w:rPr>
          <w:rFonts w:ascii="Arial" w:cs="Arial" w:eastAsia="Arial" w:hAnsi="Arial"/>
          <w:sz w:val="18"/>
          <w:szCs w:val="18"/>
          <w:color w:val="auto"/>
        </w:rPr>
      </w:pPr>
    </w:p>
    <w:p>
      <w:pPr>
        <w:jc w:val="both"/>
        <w:ind w:left="444" w:right="260" w:hanging="444"/>
        <w:spacing w:after="0" w:line="255" w:lineRule="auto"/>
        <w:tabs>
          <w:tab w:leader="none" w:pos="444" w:val="left"/>
        </w:tabs>
        <w:numPr>
          <w:ilvl w:val="0"/>
          <w:numId w:val="4"/>
        </w:numPr>
        <w:rPr>
          <w:rFonts w:ascii="Arial" w:cs="Arial" w:eastAsia="Arial" w:hAnsi="Arial"/>
          <w:sz w:val="18"/>
          <w:szCs w:val="18"/>
          <w:color w:val="auto"/>
        </w:rPr>
      </w:pPr>
      <w:r>
        <w:rPr>
          <w:rFonts w:ascii="Arial" w:cs="Arial" w:eastAsia="Arial" w:hAnsi="Arial"/>
          <w:sz w:val="18"/>
          <w:szCs w:val="18"/>
          <w:color w:val="auto"/>
        </w:rPr>
        <w:t>Based upon 62,619,909 shares of Common Stock of the Issuer outstanding as of March 2, 2023, as disclosed in the Issuer’s Annual Report on Form 10-K, for the fiscal year ended January 28, 2023, that was filed on March 16, 2023, by the Issuer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ectPr>
          <w:pgSz w:w="11900" w:h="16838" w:orient="portrait"/>
          <w:cols w:equalWidth="0" w:num="1">
            <w:col w:w="10904"/>
          </w:cols>
          <w:pgMar w:left="436" w:top="490" w:right="559" w:bottom="1440" w:gutter="0" w:footer="0" w:header="0"/>
        </w:sectPr>
      </w:pPr>
    </w:p>
    <w:bookmarkStart w:id="2" w:name="page3"/>
    <w:bookmarkEnd w:id="2"/>
    <w:tbl>
      <w:tblPr>
        <w:tblLayout w:type="fixed"/>
        <w:tblInd w:w="1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440" w:type="dxa"/>
            <w:vAlign w:val="bottom"/>
          </w:tcPr>
          <w:p>
            <w:pPr>
              <w:ind w:left="33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32"/>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25065K104</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Wolf Hill Partners, LP</w:t>
            </w:r>
          </w:p>
        </w:tc>
        <w:tc>
          <w:tcPr>
            <w:tcW w:w="0" w:type="dxa"/>
            <w:vAlign w:val="bottom"/>
          </w:tcPr>
          <w:p>
            <w:pPr>
              <w:spacing w:after="0"/>
              <w:rPr>
                <w:sz w:val="1"/>
                <w:szCs w:val="1"/>
                <w:color w:val="auto"/>
              </w:rPr>
            </w:pPr>
          </w:p>
        </w:tc>
      </w:tr>
      <w:tr>
        <w:trPr>
          <w:trHeight w:val="162"/>
        </w:trPr>
        <w:tc>
          <w:tcPr>
            <w:tcW w:w="3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(a)</w:t>
            </w:r>
          </w:p>
        </w:tc>
        <w:tc>
          <w:tcPr>
            <w:tcW w:w="500" w:type="dxa"/>
            <w:vAlign w:val="bottom"/>
            <w:gridSpan w:val="2"/>
          </w:tcPr>
          <w:p>
            <w:pPr>
              <w:jc w:val="right"/>
              <w:ind w:right="230"/>
              <w:spacing w:after="0" w:line="181" w:lineRule="exact"/>
              <w:rPr>
                <w:sz w:val="20"/>
                <w:szCs w:val="20"/>
                <w:color w:val="auto"/>
              </w:rPr>
            </w:pPr>
            <w:r>
              <w:rPr>
                <w:rFonts w:ascii="MS PGothic" w:cs="MS PGothic" w:eastAsia="MS PGothic" w:hAnsi="MS PGothic"/>
                <w:sz w:val="18"/>
                <w:szCs w:val="18"/>
                <w:color w:val="auto"/>
                <w:w w:val="88"/>
              </w:rPr>
              <w:t>☐</w:t>
            </w:r>
          </w:p>
        </w:tc>
        <w:tc>
          <w:tcPr>
            <w:tcW w:w="9520" w:type="dxa"/>
            <w:vAlign w:val="bottom"/>
            <w:tcBorders>
              <w:right w:val="single" w:sz="8" w:color="auto"/>
            </w:tcBorders>
            <w:gridSpan w:val="2"/>
          </w:tcPr>
          <w:p>
            <w:pPr>
              <w:ind w:left="4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7"/>
              </w:rPr>
              <w:t>Delaware</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2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4"/>
            <w:vMerge w:val="continue"/>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3,663,323</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3"/>
              </w:rPr>
              <w:t>Owned by</w:t>
            </w: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6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8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60" w:type="dxa"/>
            <w:vAlign w:val="bottom"/>
            <w:vMerge w:val="continue"/>
          </w:tcPr>
          <w:p>
            <w:pPr>
              <w:spacing w:after="0"/>
              <w:rPr>
                <w:sz w:val="7"/>
                <w:szCs w:val="7"/>
                <w:color w:val="auto"/>
              </w:rPr>
            </w:pPr>
          </w:p>
        </w:tc>
        <w:tc>
          <w:tcPr>
            <w:tcW w:w="8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3,663,323</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6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2"/>
              </w:rPr>
              <w:t>3,663,323</w:t>
            </w: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60" w:type="dxa"/>
            <w:vAlign w:val="bottom"/>
            <w:gridSpan w:val="3"/>
          </w:tcPr>
          <w:p>
            <w:pPr>
              <w:ind w:left="200"/>
              <w:spacing w:after="0"/>
              <w:rPr>
                <w:sz w:val="20"/>
                <w:szCs w:val="20"/>
                <w:color w:val="auto"/>
              </w:rPr>
            </w:pPr>
            <w:r>
              <w:rPr>
                <w:rFonts w:ascii="Arial" w:cs="Arial" w:eastAsia="Arial" w:hAnsi="Arial"/>
                <w:sz w:val="18"/>
                <w:szCs w:val="18"/>
                <w:color w:val="auto"/>
              </w:rPr>
              <w:t>5.9% (1)</w:t>
            </w:r>
          </w:p>
        </w:tc>
        <w:tc>
          <w:tcPr>
            <w:tcW w:w="8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5"/>
              </w:rPr>
              <w:t>PN</w:t>
            </w:r>
          </w:p>
        </w:tc>
        <w:tc>
          <w:tcPr>
            <w:tcW w:w="2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ind w:left="444" w:right="260" w:hanging="444"/>
        <w:spacing w:after="0" w:line="308" w:lineRule="auto"/>
        <w:tabs>
          <w:tab w:leader="none" w:pos="444"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upon 62,619,909 shares of Common Stock of the Issuer outstanding as of March 2, 2023, as disclosed in the Issuer’s Annual Report on Form 10-K, for the fiscal year ended January 28, 2023, that was filed on March 16, 2023, by the Issuer with the SEC.</w:t>
      </w:r>
    </w:p>
    <w:p>
      <w:pPr>
        <w:sectPr>
          <w:pgSz w:w="11900" w:h="16838" w:orient="portrait"/>
          <w:cols w:equalWidth="0" w:num="1">
            <w:col w:w="10904"/>
          </w:cols>
          <w:pgMar w:left="436" w:top="490" w:right="559" w:bottom="1440" w:gutter="0" w:footer="0" w:header="0"/>
        </w:sectPr>
      </w:pPr>
    </w:p>
    <w:bookmarkStart w:id="3" w:name="page4"/>
    <w:bookmarkEnd w:id="3"/>
    <w:tbl>
      <w:tblPr>
        <w:tblLayout w:type="fixed"/>
        <w:tblInd w:w="14" w:type="dxa"/>
        <w:tblCellMar>
          <w:top w:w="0" w:type="dxa"/>
          <w:left w:w="0" w:type="dxa"/>
          <w:bottom w:w="0" w:type="dxa"/>
          <w:right w:w="0" w:type="dxa"/>
        </w:tblCellMar>
      </w:tblPr>
      <w:tr>
        <w:trPr>
          <w:trHeight w:val="230"/>
        </w:trPr>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40" w:type="dxa"/>
            <w:vAlign w:val="bottom"/>
          </w:tcPr>
          <w:p>
            <w:pPr>
              <w:ind w:left="3380"/>
              <w:spacing w:after="0"/>
              <w:rPr>
                <w:sz w:val="20"/>
                <w:szCs w:val="20"/>
                <w:color w:val="auto"/>
              </w:rPr>
            </w:pPr>
            <w:r>
              <w:rPr>
                <w:rFonts w:ascii="Arial" w:cs="Arial" w:eastAsia="Arial" w:hAnsi="Arial"/>
                <w:sz w:val="18"/>
                <w:szCs w:val="18"/>
                <w:color w:val="auto"/>
              </w:rPr>
              <w:t>SCHEDULE 13G</w:t>
            </w:r>
          </w:p>
        </w:tc>
        <w:tc>
          <w:tcPr>
            <w:tcW w:w="0" w:type="dxa"/>
            <w:vAlign w:val="bottom"/>
          </w:tcPr>
          <w:p>
            <w:pPr>
              <w:spacing w:after="0"/>
              <w:rPr>
                <w:sz w:val="1"/>
                <w:szCs w:val="1"/>
                <w:color w:val="auto"/>
              </w:rPr>
            </w:pPr>
          </w:p>
        </w:tc>
      </w:tr>
      <w:tr>
        <w:trPr>
          <w:trHeight w:val="432"/>
        </w:trPr>
        <w:tc>
          <w:tcPr>
            <w:tcW w:w="10920" w:type="dxa"/>
            <w:vAlign w:val="bottom"/>
            <w:gridSpan w:val="7"/>
          </w:tcPr>
          <w:p>
            <w:pPr>
              <w:spacing w:after="0"/>
              <w:rPr>
                <w:sz w:val="20"/>
                <w:szCs w:val="20"/>
                <w:color w:val="auto"/>
              </w:rPr>
            </w:pPr>
            <w:r>
              <w:rPr>
                <w:rFonts w:ascii="Arial" w:cs="Arial" w:eastAsia="Arial" w:hAnsi="Arial"/>
                <w:sz w:val="18"/>
                <w:szCs w:val="18"/>
                <w:color w:val="auto"/>
              </w:rPr>
              <w:t>CUSIP No. G59665102</w:t>
            </w:r>
          </w:p>
        </w:tc>
        <w:tc>
          <w:tcPr>
            <w:tcW w:w="0" w:type="dxa"/>
            <w:vAlign w:val="bottom"/>
          </w:tcPr>
          <w:p>
            <w:pPr>
              <w:spacing w:after="0"/>
              <w:rPr>
                <w:sz w:val="1"/>
                <w:szCs w:val="1"/>
                <w:color w:val="auto"/>
              </w:rPr>
            </w:pPr>
          </w:p>
        </w:tc>
      </w:tr>
      <w:tr>
        <w:trPr>
          <w:trHeight w:val="148"/>
        </w:trPr>
        <w:tc>
          <w:tcPr>
            <w:tcW w:w="3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gridSpan w:val="2"/>
          </w:tcPr>
          <w:p>
            <w:pPr>
              <w:spacing w:after="0"/>
              <w:rPr>
                <w:sz w:val="12"/>
                <w:szCs w:val="12"/>
                <w:color w:val="auto"/>
              </w:rPr>
            </w:pPr>
          </w:p>
        </w:tc>
        <w:tc>
          <w:tcPr>
            <w:tcW w:w="340" w:type="dxa"/>
            <w:vAlign w:val="bottom"/>
            <w:tcBorders>
              <w:bottom w:val="single" w:sz="8" w:color="auto"/>
            </w:tcBorders>
            <w:gridSpan w:val="2"/>
          </w:tcPr>
          <w:p>
            <w:pPr>
              <w:spacing w:after="0"/>
              <w:rPr>
                <w:sz w:val="12"/>
                <w:szCs w:val="12"/>
                <w:color w:val="auto"/>
              </w:rPr>
            </w:pPr>
          </w:p>
        </w:tc>
        <w:tc>
          <w:tcPr>
            <w:tcW w:w="94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Wolf Hill General Partner, LLC</w:t>
            </w:r>
          </w:p>
        </w:tc>
        <w:tc>
          <w:tcPr>
            <w:tcW w:w="0" w:type="dxa"/>
            <w:vAlign w:val="bottom"/>
          </w:tcPr>
          <w:p>
            <w:pPr>
              <w:spacing w:after="0"/>
              <w:rPr>
                <w:sz w:val="1"/>
                <w:szCs w:val="1"/>
                <w:color w:val="auto"/>
              </w:rPr>
            </w:pPr>
          </w:p>
        </w:tc>
      </w:tr>
      <w:tr>
        <w:trPr>
          <w:trHeight w:val="162"/>
        </w:trPr>
        <w:tc>
          <w:tcPr>
            <w:tcW w:w="3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80" w:type="dxa"/>
            <w:vAlign w:val="bottom"/>
          </w:tcPr>
          <w:p>
            <w:pPr>
              <w:ind w:left="200"/>
              <w:spacing w:after="0"/>
              <w:rPr>
                <w:sz w:val="20"/>
                <w:szCs w:val="20"/>
                <w:color w:val="auto"/>
              </w:rPr>
            </w:pPr>
            <w:r>
              <w:rPr>
                <w:rFonts w:ascii="Arial" w:cs="Arial" w:eastAsia="Arial" w:hAnsi="Arial"/>
                <w:sz w:val="18"/>
                <w:szCs w:val="18"/>
                <w:color w:val="auto"/>
              </w:rPr>
              <w:t>(a)</w:t>
            </w:r>
          </w:p>
        </w:tc>
        <w:tc>
          <w:tcPr>
            <w:tcW w:w="46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77"/>
              </w:rPr>
              <w:t>☐</w:t>
            </w:r>
          </w:p>
        </w:tc>
        <w:tc>
          <w:tcPr>
            <w:tcW w:w="954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w w:val="94"/>
              </w:rPr>
              <w:t>Delaware</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4"/>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2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2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6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2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2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7.7% (2)</w:t>
            </w:r>
          </w:p>
        </w:tc>
        <w:tc>
          <w:tcPr>
            <w:tcW w:w="10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w w:val="92"/>
              </w:rPr>
              <w:t>OO</w:t>
            </w: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0800"/>
                    </a:xfrm>
                    <a:prstGeom prst="rect">
                      <a:avLst/>
                    </a:prstGeom>
                    <a:noFill/>
                  </pic:spPr>
                </pic:pic>
              </a:graphicData>
            </a:graphic>
          </wp:anchor>
        </w:drawing>
      </w:r>
    </w:p>
    <w:p>
      <w:pPr>
        <w:ind w:left="444" w:hanging="444"/>
        <w:spacing w:after="0"/>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Includes 1,168,017 shares held by certain separate managed accounts.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2 for more information.</w:t>
      </w:r>
    </w:p>
    <w:p>
      <w:pPr>
        <w:spacing w:after="0" w:line="23" w:lineRule="exact"/>
        <w:rPr>
          <w:rFonts w:ascii="Arial" w:cs="Arial" w:eastAsia="Arial" w:hAnsi="Arial"/>
          <w:sz w:val="18"/>
          <w:szCs w:val="18"/>
          <w:color w:val="auto"/>
        </w:rPr>
      </w:pPr>
    </w:p>
    <w:p>
      <w:pPr>
        <w:jc w:val="both"/>
        <w:ind w:left="444" w:right="260" w:hanging="444"/>
        <w:spacing w:after="0" w:line="255" w:lineRule="auto"/>
        <w:tabs>
          <w:tab w:leader="none" w:pos="444"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upon 62,619,909 shares of Common Stock of the Issuer outstanding as of March 2, 2023, as disclosed in the Issuer’s Annual Report on Form 10-K, for the fiscal year ended January 28, 2023, that was filed on March 16, 2023, by the Issuer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ectPr>
          <w:pgSz w:w="11900" w:h="16838" w:orient="portrait"/>
          <w:cols w:equalWidth="0" w:num="1">
            <w:col w:w="10904"/>
          </w:cols>
          <w:pgMar w:left="436" w:top="490" w:right="559" w:bottom="1440" w:gutter="0" w:footer="0" w:header="0"/>
        </w:sectPr>
      </w:pPr>
    </w:p>
    <w:bookmarkStart w:id="4" w:name="page5"/>
    <w:bookmarkEnd w:id="4"/>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0800"/>
                    </a:xfrm>
                    <a:prstGeom prst="rect">
                      <a:avLst/>
                    </a:prstGeom>
                    <a:noFill/>
                  </pic:spPr>
                </pic:pic>
              </a:graphicData>
            </a:graphic>
          </wp:anchor>
        </w:drawing>
        <w:t>CUSIP No. G59665102</w:t>
      </w:r>
    </w:p>
    <w:p>
      <w:pPr>
        <w:spacing w:after="0" w:line="152" w:lineRule="exact"/>
        <w:rPr>
          <w:sz w:val="20"/>
          <w:szCs w:val="20"/>
          <w:color w:val="auto"/>
        </w:rPr>
      </w:pPr>
    </w:p>
    <w:tbl>
      <w:tblPr>
        <w:tblLayout w:type="fixed"/>
        <w:tblInd w:w="14" w:type="dxa"/>
        <w:tblCellMar>
          <w:top w:w="0" w:type="dxa"/>
          <w:left w:w="0" w:type="dxa"/>
          <w:bottom w:w="0" w:type="dxa"/>
          <w:right w:w="0" w:type="dxa"/>
        </w:tblCellMar>
      </w:tblPr>
      <w:tr>
        <w:trPr>
          <w:trHeight w:val="244"/>
        </w:trPr>
        <w:tc>
          <w:tcPr>
            <w:tcW w:w="360" w:type="dxa"/>
            <w:vAlign w:val="bottom"/>
            <w:tcBorders>
              <w:top w:val="single" w:sz="8" w:color="auto"/>
              <w:left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right w:val="single" w:sz="8" w:color="auto"/>
            </w:tcBorders>
          </w:tcPr>
          <w:p>
            <w:pPr>
              <w:spacing w:after="0"/>
              <w:rPr>
                <w:sz w:val="21"/>
                <w:szCs w:val="21"/>
                <w:color w:val="auto"/>
              </w:rPr>
            </w:pPr>
          </w:p>
        </w:tc>
        <w:tc>
          <w:tcPr>
            <w:tcW w:w="10480" w:type="dxa"/>
            <w:vAlign w:val="bottom"/>
            <w:tcBorders>
              <w:top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Names of Reporting Persons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Gary Lehrman</w:t>
            </w:r>
          </w:p>
        </w:tc>
        <w:tc>
          <w:tcPr>
            <w:tcW w:w="0" w:type="dxa"/>
            <w:vAlign w:val="bottom"/>
          </w:tcPr>
          <w:p>
            <w:pPr>
              <w:spacing w:after="0"/>
              <w:rPr>
                <w:sz w:val="1"/>
                <w:szCs w:val="1"/>
                <w:color w:val="auto"/>
              </w:rPr>
            </w:pPr>
          </w:p>
        </w:tc>
      </w:tr>
      <w:tr>
        <w:trPr>
          <w:trHeight w:val="162"/>
        </w:trPr>
        <w:tc>
          <w:tcPr>
            <w:tcW w:w="360" w:type="dxa"/>
            <w:vAlign w:val="bottom"/>
            <w:tcBorders>
              <w:left w:val="single" w:sz="8" w:color="auto"/>
            </w:tcBorders>
          </w:tcPr>
          <w:p>
            <w:pPr>
              <w:jc w:val="right"/>
              <w:spacing w:after="0" w:line="162" w:lineRule="exact"/>
              <w:rPr>
                <w:sz w:val="20"/>
                <w:szCs w:val="20"/>
                <w:color w:val="auto"/>
              </w:rPr>
            </w:pPr>
            <w:r>
              <w:rPr>
                <w:rFonts w:ascii="Arial" w:cs="Arial" w:eastAsia="Arial" w:hAnsi="Arial"/>
                <w:sz w:val="18"/>
                <w:szCs w:val="18"/>
                <w:color w:val="auto"/>
              </w:rPr>
              <w:t>2</w:t>
            </w:r>
          </w:p>
        </w:tc>
        <w:tc>
          <w:tcPr>
            <w:tcW w:w="80" w:type="dxa"/>
            <w:vAlign w:val="bottom"/>
            <w:tcBorders>
              <w:right w:val="single" w:sz="8" w:color="auto"/>
            </w:tcBorders>
          </w:tcPr>
          <w:p>
            <w:pPr>
              <w:spacing w:after="0"/>
              <w:rPr>
                <w:sz w:val="14"/>
                <w:szCs w:val="14"/>
                <w:color w:val="auto"/>
              </w:rPr>
            </w:pPr>
          </w:p>
        </w:tc>
        <w:tc>
          <w:tcPr>
            <w:tcW w:w="10480" w:type="dxa"/>
            <w:vAlign w:val="bottom"/>
            <w:tcBorders>
              <w:right w:val="single" w:sz="8" w:color="auto"/>
            </w:tcBorders>
            <w:gridSpan w:val="5"/>
          </w:tcPr>
          <w:p>
            <w:pPr>
              <w:ind w:left="200"/>
              <w:spacing w:after="0" w:line="162"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303"/>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460" w:type="dxa"/>
            <w:vAlign w:val="bottom"/>
          </w:tcPr>
          <w:p>
            <w:pPr>
              <w:ind w:left="200"/>
              <w:spacing w:after="0"/>
              <w:rPr>
                <w:sz w:val="20"/>
                <w:szCs w:val="20"/>
                <w:color w:val="auto"/>
              </w:rPr>
            </w:pPr>
            <w:r>
              <w:rPr>
                <w:rFonts w:ascii="Arial" w:cs="Arial" w:eastAsia="Arial" w:hAnsi="Arial"/>
                <w:sz w:val="18"/>
                <w:szCs w:val="18"/>
                <w:color w:val="auto"/>
              </w:rPr>
              <w:t>(a)</w:t>
            </w:r>
          </w:p>
        </w:tc>
        <w:tc>
          <w:tcPr>
            <w:tcW w:w="480" w:type="dxa"/>
            <w:vAlign w:val="bottom"/>
            <w:gridSpan w:val="2"/>
          </w:tcPr>
          <w:p>
            <w:pPr>
              <w:jc w:val="right"/>
              <w:ind w:right="210"/>
              <w:spacing w:after="0" w:line="181" w:lineRule="exact"/>
              <w:rPr>
                <w:sz w:val="20"/>
                <w:szCs w:val="20"/>
                <w:color w:val="auto"/>
              </w:rPr>
            </w:pPr>
            <w:r>
              <w:rPr>
                <w:rFonts w:ascii="MS PGothic" w:cs="MS PGothic" w:eastAsia="MS PGothic" w:hAnsi="MS PGothic"/>
                <w:sz w:val="18"/>
                <w:szCs w:val="18"/>
                <w:color w:val="auto"/>
                <w:w w:val="88"/>
              </w:rPr>
              <w:t>☐</w:t>
            </w:r>
          </w:p>
        </w:tc>
        <w:tc>
          <w:tcPr>
            <w:tcW w:w="9540" w:type="dxa"/>
            <w:vAlign w:val="bottom"/>
            <w:tcBorders>
              <w:right w:val="single" w:sz="8" w:color="auto"/>
            </w:tcBorders>
            <w:gridSpan w:val="2"/>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left w:val="single" w:sz="8" w:color="auto"/>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70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gridSpan w:val="2"/>
          </w:tcPr>
          <w:p>
            <w:pPr>
              <w:spacing w:after="0"/>
              <w:rPr>
                <w:sz w:val="20"/>
                <w:szCs w:val="20"/>
                <w:color w:val="auto"/>
              </w:rPr>
            </w:pPr>
          </w:p>
        </w:tc>
        <w:tc>
          <w:tcPr>
            <w:tcW w:w="94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360" w:type="dxa"/>
            <w:vAlign w:val="bottom"/>
            <w:tcBorders>
              <w:left w:val="single" w:sz="8" w:color="auto"/>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tcBorders>
            <w:gridSpan w:val="2"/>
          </w:tcPr>
          <w:p>
            <w:pPr>
              <w:spacing w:after="0"/>
              <w:rPr>
                <w:sz w:val="21"/>
                <w:szCs w:val="21"/>
                <w:color w:val="auto"/>
              </w:rPr>
            </w:pPr>
          </w:p>
        </w:tc>
        <w:tc>
          <w:tcPr>
            <w:tcW w:w="340" w:type="dxa"/>
            <w:vAlign w:val="bottom"/>
            <w:tcBorders>
              <w:bottom w:val="single" w:sz="8" w:color="auto"/>
            </w:tcBorders>
            <w:gridSpan w:val="2"/>
          </w:tcPr>
          <w:p>
            <w:pPr>
              <w:spacing w:after="0"/>
              <w:rPr>
                <w:sz w:val="21"/>
                <w:szCs w:val="21"/>
                <w:color w:val="auto"/>
              </w:rPr>
            </w:pPr>
          </w:p>
        </w:tc>
        <w:tc>
          <w:tcPr>
            <w:tcW w:w="94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United States of America</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5"/>
        </w:trPr>
        <w:tc>
          <w:tcPr>
            <w:tcW w:w="1140" w:type="dxa"/>
            <w:vAlign w:val="bottom"/>
            <w:tcBorders>
              <w:left w:val="single" w:sz="8" w:color="auto"/>
              <w:right w:val="single" w:sz="8" w:color="auto"/>
            </w:tcBorders>
            <w:gridSpan w:val="4"/>
            <w:vMerge w:val="restart"/>
          </w:tcPr>
          <w:p>
            <w:pPr>
              <w:jc w:val="center"/>
              <w:ind w:left="50"/>
              <w:spacing w:after="0"/>
              <w:rPr>
                <w:sz w:val="20"/>
                <w:szCs w:val="20"/>
                <w:color w:val="auto"/>
              </w:rPr>
            </w:pPr>
            <w:r>
              <w:rPr>
                <w:rFonts w:ascii="Arial" w:cs="Arial" w:eastAsia="Arial" w:hAnsi="Arial"/>
                <w:sz w:val="18"/>
                <w:szCs w:val="18"/>
                <w:color w:val="auto"/>
                <w:w w:val="95"/>
              </w:rPr>
              <w:t>Number of</w:t>
            </w: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7"/>
        </w:trPr>
        <w:tc>
          <w:tcPr>
            <w:tcW w:w="1140" w:type="dxa"/>
            <w:vAlign w:val="bottom"/>
            <w:tcBorders>
              <w:left w:val="single" w:sz="8" w:color="auto"/>
              <w:right w:val="single" w:sz="8" w:color="auto"/>
            </w:tcBorders>
            <w:gridSpan w:val="4"/>
            <w:vMerge w:val="continue"/>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36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Shares</w:t>
            </w:r>
          </w:p>
        </w:tc>
        <w:tc>
          <w:tcPr>
            <w:tcW w:w="240" w:type="dxa"/>
            <w:vAlign w:val="bottom"/>
            <w:tcBorders>
              <w:right w:val="single" w:sz="8" w:color="auto"/>
            </w:tcBorders>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right w:val="single" w:sz="8" w:color="auto"/>
            </w:tcBorders>
          </w:tcPr>
          <w:p>
            <w:pPr>
              <w:spacing w:after="0"/>
              <w:rPr>
                <w:sz w:val="20"/>
                <w:szCs w:val="20"/>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6"/>
              </w:rPr>
              <w:t>Beneficially</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3"/>
              </w:rPr>
              <w:t>Owned by</w:t>
            </w: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944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360" w:type="dxa"/>
            <w:vAlign w:val="bottom"/>
            <w:tcBorders>
              <w:lef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60" w:type="dxa"/>
            <w:vAlign w:val="bottom"/>
          </w:tcPr>
          <w:p>
            <w:pPr>
              <w:jc w:val="center"/>
              <w:spacing w:after="0" w:line="182" w:lineRule="exact"/>
              <w:rPr>
                <w:sz w:val="20"/>
                <w:szCs w:val="20"/>
                <w:color w:val="auto"/>
              </w:rPr>
            </w:pPr>
            <w:r>
              <w:rPr>
                <w:rFonts w:ascii="Arial" w:cs="Arial" w:eastAsia="Arial" w:hAnsi="Arial"/>
                <w:sz w:val="18"/>
                <w:szCs w:val="18"/>
                <w:color w:val="auto"/>
                <w:w w:val="87"/>
              </w:rPr>
              <w:t>Each</w:t>
            </w:r>
          </w:p>
        </w:tc>
        <w:tc>
          <w:tcPr>
            <w:tcW w:w="240" w:type="dxa"/>
            <w:vAlign w:val="bottom"/>
            <w:tcBorders>
              <w:right w:val="single" w:sz="8" w:color="auto"/>
            </w:tcBorders>
          </w:tcPr>
          <w:p>
            <w:pPr>
              <w:spacing w:after="0"/>
              <w:rPr>
                <w:sz w:val="15"/>
                <w:szCs w:val="15"/>
                <w:color w:val="auto"/>
              </w:rPr>
            </w:pPr>
          </w:p>
        </w:tc>
        <w:tc>
          <w:tcPr>
            <w:tcW w:w="24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100" w:type="dxa"/>
            <w:vAlign w:val="bottom"/>
            <w:tcBorders>
              <w:right w:val="single" w:sz="8" w:color="auto"/>
            </w:tcBorders>
          </w:tcPr>
          <w:p>
            <w:pPr>
              <w:spacing w:after="0"/>
              <w:rPr>
                <w:sz w:val="15"/>
                <w:szCs w:val="15"/>
                <w:color w:val="auto"/>
              </w:rPr>
            </w:pPr>
          </w:p>
        </w:tc>
        <w:tc>
          <w:tcPr>
            <w:tcW w:w="9440" w:type="dxa"/>
            <w:vAlign w:val="bottom"/>
            <w:tcBorders>
              <w:right w:val="single" w:sz="8" w:color="auto"/>
            </w:tcBorders>
          </w:tcPr>
          <w:p>
            <w:pPr>
              <w:ind w:left="18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Arial" w:cs="Arial" w:eastAsia="Arial" w:hAnsi="Arial"/>
                <w:sz w:val="18"/>
                <w:szCs w:val="18"/>
                <w:color w:val="auto"/>
                <w:w w:val="92"/>
              </w:rPr>
              <w:t>Reporting</w:t>
            </w: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60" w:type="dxa"/>
            <w:vAlign w:val="bottom"/>
            <w:tcBorders>
              <w:left w:val="single" w:sz="8" w:color="auto"/>
            </w:tcBorders>
          </w:tcPr>
          <w:p>
            <w:pPr>
              <w:spacing w:after="0"/>
              <w:rPr>
                <w:sz w:val="18"/>
                <w:szCs w:val="18"/>
                <w:color w:val="auto"/>
              </w:rPr>
            </w:pPr>
          </w:p>
        </w:tc>
        <w:tc>
          <w:tcPr>
            <w:tcW w:w="540" w:type="dxa"/>
            <w:vAlign w:val="bottom"/>
            <w:gridSpan w:val="2"/>
          </w:tcPr>
          <w:p>
            <w:pPr>
              <w:jc w:val="center"/>
              <w:spacing w:after="0"/>
              <w:rPr>
                <w:sz w:val="20"/>
                <w:szCs w:val="20"/>
                <w:color w:val="auto"/>
              </w:rPr>
            </w:pPr>
            <w:r>
              <w:rPr>
                <w:rFonts w:ascii="Arial" w:cs="Arial" w:eastAsia="Arial" w:hAnsi="Arial"/>
                <w:sz w:val="18"/>
                <w:szCs w:val="18"/>
                <w:color w:val="auto"/>
                <w:w w:val="84"/>
              </w:rPr>
              <w:t>Person</w:t>
            </w:r>
          </w:p>
        </w:tc>
        <w:tc>
          <w:tcPr>
            <w:tcW w:w="240" w:type="dxa"/>
            <w:vAlign w:val="bottom"/>
            <w:tcBorders>
              <w:right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360" w:type="dxa"/>
            <w:vAlign w:val="bottom"/>
            <w:tcBorders>
              <w:left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vMerge w:val="restart"/>
          </w:tcPr>
          <w:p>
            <w:pPr>
              <w:jc w:val="center"/>
              <w:spacing w:after="0"/>
              <w:rPr>
                <w:sz w:val="20"/>
                <w:szCs w:val="20"/>
                <w:color w:val="auto"/>
              </w:rPr>
            </w:pPr>
            <w:r>
              <w:rPr>
                <w:rFonts w:ascii="Arial" w:cs="Arial" w:eastAsia="Arial" w:hAnsi="Arial"/>
                <w:sz w:val="18"/>
                <w:szCs w:val="18"/>
                <w:color w:val="auto"/>
                <w:w w:val="97"/>
              </w:rPr>
              <w:t>With:</w:t>
            </w:r>
          </w:p>
        </w:tc>
        <w:tc>
          <w:tcPr>
            <w:tcW w:w="240" w:type="dxa"/>
            <w:vAlign w:val="bottom"/>
            <w:tcBorders>
              <w:right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94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360" w:type="dxa"/>
            <w:vAlign w:val="bottom"/>
            <w:tcBorders>
              <w:lef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right w:val="single" w:sz="8" w:color="auto"/>
            </w:tcBorders>
          </w:tcPr>
          <w:p>
            <w:pPr>
              <w:spacing w:after="0"/>
              <w:rPr>
                <w:sz w:val="12"/>
                <w:szCs w:val="12"/>
                <w:color w:val="auto"/>
              </w:rPr>
            </w:pPr>
          </w:p>
        </w:tc>
        <w:tc>
          <w:tcPr>
            <w:tcW w:w="9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360" w:type="dxa"/>
            <w:vAlign w:val="bottom"/>
            <w:tcBorders>
              <w:lef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24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94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Borders>
              <w:right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440" w:type="dxa"/>
            <w:vAlign w:val="bottom"/>
            <w:tcBorders>
              <w:right w:val="single" w:sz="8" w:color="auto"/>
            </w:tcBorders>
          </w:tcPr>
          <w:p>
            <w:pPr>
              <w:ind w:left="18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right w:val="single" w:sz="8" w:color="auto"/>
            </w:tcBorders>
            <w:gridSpan w:val="2"/>
          </w:tcPr>
          <w:p>
            <w:pPr>
              <w:spacing w:after="0"/>
              <w:rPr>
                <w:sz w:val="2"/>
                <w:szCs w:val="2"/>
                <w:color w:val="auto"/>
              </w:rPr>
            </w:pPr>
          </w:p>
        </w:tc>
        <w:tc>
          <w:tcPr>
            <w:tcW w:w="340" w:type="dxa"/>
            <w:vAlign w:val="bottom"/>
            <w:tcBorders>
              <w:bottom w:val="single" w:sz="8" w:color="auto"/>
              <w:right w:val="single" w:sz="8" w:color="auto"/>
            </w:tcBorders>
            <w:gridSpan w:val="2"/>
          </w:tcPr>
          <w:p>
            <w:pPr>
              <w:spacing w:after="0"/>
              <w:rPr>
                <w:sz w:val="2"/>
                <w:szCs w:val="2"/>
                <w:color w:val="auto"/>
              </w:rPr>
            </w:pPr>
          </w:p>
        </w:tc>
        <w:tc>
          <w:tcPr>
            <w:tcW w:w="94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480" w:type="dxa"/>
            <w:vAlign w:val="bottom"/>
            <w:tcBorders>
              <w:bottom w:val="single" w:sz="8" w:color="auto"/>
              <w:right w:val="single" w:sz="8" w:color="auto"/>
            </w:tcBorders>
            <w:gridSpan w:val="5"/>
          </w:tcPr>
          <w:p>
            <w:pPr>
              <w:ind w:left="200"/>
              <w:spacing w:after="0"/>
              <w:rPr>
                <w:sz w:val="20"/>
                <w:szCs w:val="20"/>
                <w:color w:val="auto"/>
              </w:rPr>
            </w:pPr>
            <w:r>
              <w:rPr>
                <w:rFonts w:ascii="Arial" w:cs="Arial" w:eastAsia="Arial" w:hAnsi="Arial"/>
                <w:sz w:val="18"/>
                <w:szCs w:val="18"/>
                <w:color w:val="auto"/>
              </w:rPr>
              <w:t>4,831,340 (1)</w:t>
            </w:r>
          </w:p>
        </w:tc>
        <w:tc>
          <w:tcPr>
            <w:tcW w:w="0" w:type="dxa"/>
            <w:vAlign w:val="bottom"/>
          </w:tcPr>
          <w:p>
            <w:pPr>
              <w:spacing w:after="0"/>
              <w:rPr>
                <w:sz w:val="1"/>
                <w:szCs w:val="1"/>
                <w:color w:val="auto"/>
              </w:rPr>
            </w:pPr>
          </w:p>
        </w:tc>
      </w:tr>
      <w:tr>
        <w:trPr>
          <w:trHeight w:val="230"/>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right w:val="single" w:sz="8" w:color="auto"/>
            </w:tcBorders>
          </w:tcPr>
          <w:p>
            <w:pPr>
              <w:spacing w:after="0"/>
              <w:rPr>
                <w:sz w:val="20"/>
                <w:szCs w:val="20"/>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Check box if the aggregate amount in row (9) excludes certain shares (See Instructions)</w:t>
            </w:r>
          </w:p>
        </w:tc>
        <w:tc>
          <w:tcPr>
            <w:tcW w:w="0" w:type="dxa"/>
            <w:vAlign w:val="bottom"/>
          </w:tcPr>
          <w:p>
            <w:pPr>
              <w:spacing w:after="0"/>
              <w:rPr>
                <w:sz w:val="1"/>
                <w:szCs w:val="1"/>
                <w:color w:val="auto"/>
              </w:rPr>
            </w:pPr>
          </w:p>
        </w:tc>
      </w:tr>
      <w:tr>
        <w:trPr>
          <w:trHeight w:val="458"/>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460" w:type="dxa"/>
            <w:vAlign w:val="bottom"/>
            <w:tcBorders>
              <w:bottom w:val="single" w:sz="8" w:color="auto"/>
            </w:tcBorders>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2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45"/>
        </w:trPr>
        <w:tc>
          <w:tcPr>
            <w:tcW w:w="360" w:type="dxa"/>
            <w:vAlign w:val="bottom"/>
            <w:tcBorders>
              <w:left w:val="single" w:sz="8" w:color="auto"/>
            </w:tcBorders>
          </w:tcPr>
          <w:p>
            <w:pPr>
              <w:spacing w:after="0"/>
              <w:rPr>
                <w:sz w:val="24"/>
                <w:szCs w:val="24"/>
                <w:color w:val="auto"/>
              </w:rPr>
            </w:pPr>
          </w:p>
        </w:tc>
        <w:tc>
          <w:tcPr>
            <w:tcW w:w="80" w:type="dxa"/>
            <w:vAlign w:val="bottom"/>
            <w:tcBorders>
              <w:right w:val="single" w:sz="8" w:color="auto"/>
            </w:tcBorders>
          </w:tcPr>
          <w:p>
            <w:pPr>
              <w:spacing w:after="0"/>
              <w:rPr>
                <w:sz w:val="24"/>
                <w:szCs w:val="24"/>
                <w:color w:val="auto"/>
              </w:rPr>
            </w:pPr>
          </w:p>
        </w:tc>
        <w:tc>
          <w:tcPr>
            <w:tcW w:w="940" w:type="dxa"/>
            <w:vAlign w:val="bottom"/>
            <w:gridSpan w:val="3"/>
          </w:tcPr>
          <w:p>
            <w:pPr>
              <w:ind w:left="200"/>
              <w:spacing w:after="0"/>
              <w:rPr>
                <w:sz w:val="20"/>
                <w:szCs w:val="20"/>
                <w:color w:val="auto"/>
              </w:rPr>
            </w:pPr>
            <w:r>
              <w:rPr>
                <w:rFonts w:ascii="Arial" w:cs="Arial" w:eastAsia="Arial" w:hAnsi="Arial"/>
                <w:sz w:val="18"/>
                <w:szCs w:val="18"/>
                <w:color w:val="auto"/>
              </w:rPr>
              <w:t>7.7% (2)</w:t>
            </w:r>
          </w:p>
        </w:tc>
        <w:tc>
          <w:tcPr>
            <w:tcW w:w="100" w:type="dxa"/>
            <w:vAlign w:val="bottom"/>
          </w:tcPr>
          <w:p>
            <w:pPr>
              <w:spacing w:after="0"/>
              <w:rPr>
                <w:sz w:val="24"/>
                <w:szCs w:val="24"/>
                <w:color w:val="auto"/>
              </w:rPr>
            </w:pPr>
          </w:p>
        </w:tc>
        <w:tc>
          <w:tcPr>
            <w:tcW w:w="94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60" w:type="dxa"/>
            <w:vAlign w:val="bottom"/>
            <w:tcBorders>
              <w:left w:val="single" w:sz="8" w:color="auto"/>
              <w:bottom w:val="single" w:sz="8" w:color="auto"/>
            </w:tcBorders>
          </w:tcPr>
          <w:p>
            <w:pPr>
              <w:spacing w:after="0"/>
              <w:rPr>
                <w:sz w:val="2"/>
                <w:szCs w:val="2"/>
                <w:color w:val="auto"/>
              </w:rPr>
            </w:pPr>
          </w:p>
        </w:tc>
        <w:tc>
          <w:tcPr>
            <w:tcW w:w="80" w:type="dxa"/>
            <w:vAlign w:val="bottom"/>
            <w:tcBorders>
              <w:bottom w:val="single" w:sz="8" w:color="auto"/>
              <w:right w:val="single" w:sz="8" w:color="auto"/>
            </w:tcBorders>
          </w:tcPr>
          <w:p>
            <w:pPr>
              <w:spacing w:after="0"/>
              <w:rPr>
                <w:sz w:val="2"/>
                <w:szCs w:val="2"/>
                <w:color w:val="auto"/>
              </w:rPr>
            </w:pPr>
          </w:p>
        </w:tc>
        <w:tc>
          <w:tcPr>
            <w:tcW w:w="10480" w:type="dxa"/>
            <w:vAlign w:val="bottom"/>
            <w:tcBorders>
              <w:bottom w:val="single" w:sz="8" w:color="auto"/>
              <w:right w:val="single" w:sz="8" w:color="auto"/>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224"/>
        </w:trPr>
        <w:tc>
          <w:tcPr>
            <w:tcW w:w="360" w:type="dxa"/>
            <w:vAlign w:val="bottom"/>
            <w:tcBorders>
              <w:left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480" w:type="dxa"/>
            <w:vAlign w:val="bottom"/>
            <w:tcBorders>
              <w:right w:val="single" w:sz="8" w:color="auto"/>
            </w:tcBorders>
            <w:gridSpan w:val="5"/>
          </w:tcPr>
          <w:p>
            <w:pPr>
              <w:ind w:left="20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52"/>
        </w:trPr>
        <w:tc>
          <w:tcPr>
            <w:tcW w:w="360" w:type="dxa"/>
            <w:vAlign w:val="bottom"/>
            <w:tcBorders>
              <w:left w:val="single" w:sz="8" w:color="auto"/>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94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IN, HC</w:t>
            </w:r>
          </w:p>
        </w:tc>
        <w:tc>
          <w:tcPr>
            <w:tcW w:w="100" w:type="dxa"/>
            <w:vAlign w:val="bottom"/>
            <w:tcBorders>
              <w:bottom w:val="single" w:sz="8" w:color="auto"/>
            </w:tcBorders>
          </w:tcPr>
          <w:p>
            <w:pPr>
              <w:spacing w:after="0"/>
              <w:rPr>
                <w:sz w:val="24"/>
                <w:szCs w:val="24"/>
                <w:color w:val="auto"/>
              </w:rPr>
            </w:pPr>
          </w:p>
        </w:tc>
        <w:tc>
          <w:tcPr>
            <w:tcW w:w="944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44" w:hanging="444"/>
        <w:spacing w:after="0"/>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Includes 1,168,017 shares held by certain separate managed accounts. </w:t>
      </w:r>
      <w:r>
        <w:rPr>
          <w:rFonts w:ascii="Arial" w:cs="Arial" w:eastAsia="Arial" w:hAnsi="Arial"/>
          <w:sz w:val="18"/>
          <w:szCs w:val="18"/>
          <w:i w:val="1"/>
          <w:iCs w:val="1"/>
          <w:color w:val="auto"/>
        </w:rPr>
        <w:t>See</w:t>
      </w:r>
      <w:r>
        <w:rPr>
          <w:rFonts w:ascii="Arial" w:cs="Arial" w:eastAsia="Arial" w:hAnsi="Arial"/>
          <w:sz w:val="18"/>
          <w:szCs w:val="18"/>
          <w:color w:val="auto"/>
        </w:rPr>
        <w:t xml:space="preserve"> Item 2 for more information.</w:t>
      </w:r>
    </w:p>
    <w:p>
      <w:pPr>
        <w:spacing w:after="0" w:line="23" w:lineRule="exact"/>
        <w:rPr>
          <w:rFonts w:ascii="Arial" w:cs="Arial" w:eastAsia="Arial" w:hAnsi="Arial"/>
          <w:sz w:val="18"/>
          <w:szCs w:val="18"/>
          <w:color w:val="auto"/>
        </w:rPr>
      </w:pPr>
    </w:p>
    <w:p>
      <w:pPr>
        <w:jc w:val="both"/>
        <w:ind w:left="444" w:right="260" w:hanging="444"/>
        <w:spacing w:after="0" w:line="255" w:lineRule="auto"/>
        <w:tabs>
          <w:tab w:leader="none" w:pos="444"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upon 62,619,909 shares of Common Stock of the Issuer outstanding as of March 2, 2023, as disclosed in the Issuer’s Annual Report on Form 10-K, for the fiscal year ended January 28, 2023, that was filed on March 16, 2023, by the Issuer with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w:t>
      </w:r>
    </w:p>
    <w:p>
      <w:pPr>
        <w:sectPr>
          <w:pgSz w:w="11900" w:h="16838" w:orient="portrait"/>
          <w:cols w:equalWidth="0" w:num="1">
            <w:col w:w="10904"/>
          </w:cols>
          <w:pgMar w:left="436" w:top="490" w:right="559" w:bottom="1440" w:gutter="0" w:footer="0" w:header="0"/>
        </w:sectPr>
      </w:pPr>
    </w:p>
    <w:bookmarkStart w:id="5" w:name="page6"/>
    <w:bookmarkEnd w:id="5"/>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1.</w:t>
      </w:r>
    </w:p>
    <w:p>
      <w:pPr>
        <w:spacing w:after="0" w:line="131" w:lineRule="exact"/>
        <w:rPr>
          <w:sz w:val="20"/>
          <w:szCs w:val="20"/>
          <w:color w:val="auto"/>
        </w:rPr>
      </w:pPr>
    </w:p>
    <w:p>
      <w:pPr>
        <w:ind w:left="444" w:hanging="444"/>
        <w:spacing w:after="0"/>
        <w:tabs>
          <w:tab w:leader="none" w:pos="4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Name of Issuer:</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Destination XL Group Inc. (the “</w:t>
      </w:r>
      <w:r>
        <w:rPr>
          <w:rFonts w:ascii="Arial" w:cs="Arial" w:eastAsia="Arial" w:hAnsi="Arial"/>
          <w:sz w:val="18"/>
          <w:szCs w:val="18"/>
          <w:b w:val="1"/>
          <w:bCs w:val="1"/>
          <w:i w:val="1"/>
          <w:iCs w:val="1"/>
          <w:color w:val="auto"/>
        </w:rPr>
        <w:t>Issuer</w:t>
      </w:r>
      <w:r>
        <w:rPr>
          <w:rFonts w:ascii="Arial" w:cs="Arial" w:eastAsia="Arial" w:hAnsi="Arial"/>
          <w:sz w:val="18"/>
          <w:szCs w:val="18"/>
          <w:color w:val="auto"/>
        </w:rPr>
        <w:t>”)</w:t>
      </w:r>
    </w:p>
    <w:p>
      <w:pPr>
        <w:spacing w:after="0" w:line="126" w:lineRule="exact"/>
        <w:rPr>
          <w:rFonts w:ascii="Arial" w:cs="Arial" w:eastAsia="Arial" w:hAnsi="Arial"/>
          <w:sz w:val="18"/>
          <w:szCs w:val="18"/>
          <w:b w:val="1"/>
          <w:bCs w:val="1"/>
          <w:color w:val="auto"/>
        </w:rPr>
      </w:pPr>
    </w:p>
    <w:p>
      <w:pPr>
        <w:ind w:left="444" w:hanging="444"/>
        <w:spacing w:after="0"/>
        <w:tabs>
          <w:tab w:leader="none" w:pos="444"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Issuer’s Principal Executive Offices: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555 Turnpike Street</w:t>
      </w:r>
    </w:p>
    <w:p>
      <w:pPr>
        <w:spacing w:after="0" w:line="2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Canton, Massachusetts 02021</w:t>
      </w:r>
    </w:p>
    <w:p>
      <w:pPr>
        <w:spacing w:after="0" w:line="1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Item 2.</w:t>
      </w:r>
    </w:p>
    <w:p>
      <w:pPr>
        <w:spacing w:after="0" w:line="131" w:lineRule="exact"/>
        <w:rPr>
          <w:sz w:val="20"/>
          <w:szCs w:val="20"/>
          <w:color w:val="auto"/>
        </w:rPr>
      </w:pPr>
    </w:p>
    <w:p>
      <w:pPr>
        <w:ind w:left="444" w:hanging="444"/>
        <w:spacing w:after="0"/>
        <w:tabs>
          <w:tab w:leader="none" w:pos="4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Name of Person Filing:</w:t>
      </w:r>
    </w:p>
    <w:p>
      <w:pPr>
        <w:spacing w:after="0" w:line="121" w:lineRule="exact"/>
        <w:rPr>
          <w:rFonts w:ascii="Arial" w:cs="Arial" w:eastAsia="Arial" w:hAnsi="Arial"/>
          <w:sz w:val="18"/>
          <w:szCs w:val="18"/>
          <w:b w:val="1"/>
          <w:bCs w:val="1"/>
          <w:color w:val="auto"/>
        </w:rPr>
      </w:pPr>
    </w:p>
    <w:p>
      <w:pPr>
        <w:ind w:left="444" w:right="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This statement is jointly filed by and on behalf of each of Wolf Hill Capital Management, LP, a Delaware limited partnership (“</w:t>
      </w:r>
      <w:r>
        <w:rPr>
          <w:rFonts w:ascii="Arial" w:cs="Arial" w:eastAsia="Arial" w:hAnsi="Arial"/>
          <w:sz w:val="17"/>
          <w:szCs w:val="17"/>
          <w:b w:val="1"/>
          <w:bCs w:val="1"/>
          <w:i w:val="1"/>
          <w:iCs w:val="1"/>
          <w:color w:val="auto"/>
        </w:rPr>
        <w:t>Wolf Hill</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Capital</w:t>
      </w:r>
      <w:r>
        <w:rPr>
          <w:rFonts w:ascii="Arial" w:cs="Arial" w:eastAsia="Arial" w:hAnsi="Arial"/>
          <w:sz w:val="17"/>
          <w:szCs w:val="17"/>
          <w:color w:val="auto"/>
        </w:rPr>
        <w:t>”), Wolf Hill Partners, LP, a Delaware limited partnership (the “</w:t>
      </w:r>
      <w:r>
        <w:rPr>
          <w:rFonts w:ascii="Arial" w:cs="Arial" w:eastAsia="Arial" w:hAnsi="Arial"/>
          <w:sz w:val="17"/>
          <w:szCs w:val="17"/>
          <w:b w:val="1"/>
          <w:bCs w:val="1"/>
          <w:i w:val="1"/>
          <w:iCs w:val="1"/>
          <w:color w:val="auto"/>
        </w:rPr>
        <w:t>Fund</w:t>
      </w:r>
      <w:r>
        <w:rPr>
          <w:rFonts w:ascii="Arial" w:cs="Arial" w:eastAsia="Arial" w:hAnsi="Arial"/>
          <w:sz w:val="17"/>
          <w:szCs w:val="17"/>
          <w:color w:val="auto"/>
        </w:rPr>
        <w:t>”), Wolf Hill General Partner, LLC, a Delaware limited liability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company (the “</w:t>
      </w:r>
      <w:r>
        <w:rPr>
          <w:rFonts w:ascii="Arial" w:cs="Arial" w:eastAsia="Arial" w:hAnsi="Arial"/>
          <w:sz w:val="17"/>
          <w:szCs w:val="17"/>
          <w:b w:val="1"/>
          <w:bCs w:val="1"/>
          <w:i w:val="1"/>
          <w:iCs w:val="1"/>
          <w:color w:val="auto"/>
        </w:rPr>
        <w:t>General Partner</w:t>
      </w:r>
      <w:r>
        <w:rPr>
          <w:rFonts w:ascii="Arial" w:cs="Arial" w:eastAsia="Arial" w:hAnsi="Arial"/>
          <w:sz w:val="17"/>
          <w:szCs w:val="17"/>
          <w:color w:val="auto"/>
        </w:rPr>
        <w:t>”), and Gary Lehrman (collectively referred to herein as “</w:t>
      </w:r>
      <w:r>
        <w:rPr>
          <w:rFonts w:ascii="Arial" w:cs="Arial" w:eastAsia="Arial" w:hAnsi="Arial"/>
          <w:sz w:val="17"/>
          <w:szCs w:val="17"/>
          <w:b w:val="1"/>
          <w:bCs w:val="1"/>
          <w:i w:val="1"/>
          <w:iCs w:val="1"/>
          <w:color w:val="auto"/>
        </w:rPr>
        <w:t>Reporting Persons</w:t>
      </w:r>
      <w:r>
        <w:rPr>
          <w:rFonts w:ascii="Arial" w:cs="Arial" w:eastAsia="Arial" w:hAnsi="Arial"/>
          <w:sz w:val="17"/>
          <w:szCs w:val="17"/>
          <w:color w:val="auto"/>
        </w:rPr>
        <w:t>”). Wolf Hill Capital is the investment manager of, and may be deemed to indirectly beneficially own securities owned by, the Fund. Wolf Hill Capital is a sub-advisor for certain separate managed accounts (collectively, the “</w:t>
      </w:r>
      <w:r>
        <w:rPr>
          <w:rFonts w:ascii="Arial" w:cs="Arial" w:eastAsia="Arial" w:hAnsi="Arial"/>
          <w:sz w:val="17"/>
          <w:szCs w:val="17"/>
          <w:b w:val="1"/>
          <w:bCs w:val="1"/>
          <w:i w:val="1"/>
          <w:iCs w:val="1"/>
          <w:color w:val="auto"/>
        </w:rPr>
        <w:t>Managed Accounts</w:t>
      </w:r>
      <w:r>
        <w:rPr>
          <w:rFonts w:ascii="Arial" w:cs="Arial" w:eastAsia="Arial" w:hAnsi="Arial"/>
          <w:sz w:val="17"/>
          <w:szCs w:val="17"/>
          <w:color w:val="auto"/>
        </w:rPr>
        <w:t>”) and may be deemed to indirectly beneficially own securities owned by the Managed Accounts. The General Partner is the general partner of both Wolf Hill Capital and the Fund, and may be deemed to beneficially own securities owned by, each of Wolf Hill Capital and the Fund. Mr. Lehrman is the managing member of, and may be deemed to beneficially own securities beneficially owned by, the General Partner. The Fund and the Managed Accounts are the record and direct beneficial owners of the securities covered by this statement. The Fund disclaims beneficial ownership of the shares of Common Stock held by each of the Managed Accounts. The Managed Accounts disclaim beneficial ownership of the shares held by the Fund.</w:t>
      </w:r>
    </w:p>
    <w:p>
      <w:pPr>
        <w:spacing w:after="0" w:line="77" w:lineRule="exact"/>
        <w:rPr>
          <w:rFonts w:ascii="Arial" w:cs="Arial" w:eastAsia="Arial" w:hAnsi="Arial"/>
          <w:sz w:val="18"/>
          <w:szCs w:val="18"/>
          <w:b w:val="1"/>
          <w:bCs w:val="1"/>
          <w:color w:val="auto"/>
        </w:rPr>
      </w:pPr>
    </w:p>
    <w:p>
      <w:pPr>
        <w:ind w:left="444" w:right="8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Each Reporting Person declares that neither the filing of this statement nor anything herein shall be construed as an admission that such person is, for the purposes of Section 13(d) or 13(g) of the Act or any other purpose, the beneficial owner of any securities covered by this statement.</w:t>
      </w:r>
    </w:p>
    <w:p>
      <w:pPr>
        <w:spacing w:after="0" w:line="15" w:lineRule="exact"/>
        <w:rPr>
          <w:rFonts w:ascii="Arial" w:cs="Arial" w:eastAsia="Arial" w:hAnsi="Arial"/>
          <w:sz w:val="18"/>
          <w:szCs w:val="18"/>
          <w:b w:val="1"/>
          <w:bCs w:val="1"/>
          <w:color w:val="auto"/>
        </w:rPr>
      </w:pPr>
    </w:p>
    <w:p>
      <w:pPr>
        <w:ind w:left="444"/>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Each Reporting Person may be deemed to be a member of a group with respect to the Issuer or securities of the Issuer for the purpose of Section 13(d) or 13(g) of the Act. Each of the Reporting Persons declares that neither the filing of this statement nor anything herein shall be construed as an admission that such person is, for the purpose of Section 13(d) or 13(g) of the Act or any other purpose, (i) acting (or has agreed or is agreeing to act together with any other person) as a partnership, limited partnership, syndicate, or other group for the purpose of acquiring, holding, or disposing of securities of the Issuer or otherwise with respect to the Issuer or any securities of the Issuer or (ii) a member of any group with respect to the Issuer or any securities of the Issuer.</w:t>
      </w:r>
    </w:p>
    <w:p>
      <w:pPr>
        <w:spacing w:after="0" w:line="93" w:lineRule="exact"/>
        <w:rPr>
          <w:rFonts w:ascii="Arial" w:cs="Arial" w:eastAsia="Arial" w:hAnsi="Arial"/>
          <w:sz w:val="18"/>
          <w:szCs w:val="18"/>
          <w:b w:val="1"/>
          <w:bCs w:val="1"/>
          <w:color w:val="auto"/>
        </w:rPr>
      </w:pPr>
    </w:p>
    <w:p>
      <w:pPr>
        <w:ind w:left="444" w:hanging="444"/>
        <w:spacing w:after="0"/>
        <w:tabs>
          <w:tab w:leader="none" w:pos="4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Address of Principal Business Office or, if None, Residence:</w:t>
      </w:r>
    </w:p>
    <w:p>
      <w:pPr>
        <w:spacing w:after="0" w:line="121" w:lineRule="exact"/>
        <w:rPr>
          <w:rFonts w:ascii="Arial" w:cs="Arial" w:eastAsia="Arial" w:hAnsi="Arial"/>
          <w:sz w:val="18"/>
          <w:szCs w:val="18"/>
          <w:b w:val="1"/>
          <w:bCs w:val="1"/>
          <w:color w:val="auto"/>
        </w:rPr>
      </w:pPr>
    </w:p>
    <w:p>
      <w:pPr>
        <w:ind w:left="444" w:right="44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address of the principal business office of each of the Reporting Persons is c/o Wolf Hill Capital Management, LP, 35 Mason Street, 2nd Floor, Greenwich, Connecticut 06830.</w:t>
      </w:r>
    </w:p>
    <w:p>
      <w:pPr>
        <w:spacing w:after="0" w:line="71" w:lineRule="exact"/>
        <w:rPr>
          <w:rFonts w:ascii="Arial" w:cs="Arial" w:eastAsia="Arial" w:hAnsi="Arial"/>
          <w:sz w:val="18"/>
          <w:szCs w:val="18"/>
          <w:b w:val="1"/>
          <w:bCs w:val="1"/>
          <w:color w:val="auto"/>
        </w:rPr>
      </w:pPr>
    </w:p>
    <w:p>
      <w:pPr>
        <w:ind w:left="444" w:hanging="444"/>
        <w:spacing w:after="0"/>
        <w:tabs>
          <w:tab w:leader="none" w:pos="444"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See Item 4 on the cover page(s) hereto.</w:t>
      </w:r>
    </w:p>
    <w:p>
      <w:pPr>
        <w:sectPr>
          <w:pgSz w:w="11900" w:h="16838" w:orient="portrait"/>
          <w:cols w:equalWidth="0" w:num="1">
            <w:col w:w="11004"/>
          </w:cols>
          <w:pgMar w:left="436" w:top="486" w:right="459" w:bottom="1440" w:gutter="0" w:footer="0" w:header="0"/>
        </w:sectPr>
      </w:pPr>
    </w:p>
    <w:bookmarkStart w:id="6" w:name="page7"/>
    <w:bookmarkEnd w:id="6"/>
    <w:p>
      <w:pPr>
        <w:ind w:left="444" w:hanging="444"/>
        <w:spacing w:after="0"/>
        <w:tabs>
          <w:tab w:leader="none" w:pos="444"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0800"/>
                    </a:xfrm>
                    <a:prstGeom prst="rect">
                      <a:avLst/>
                    </a:prstGeom>
                    <a:noFill/>
                  </pic:spPr>
                </pic:pic>
              </a:graphicData>
            </a:graphic>
          </wp:anchor>
        </w:drawing>
        <w:t>Title and Class of Securities:</w:t>
      </w:r>
    </w:p>
    <w:p>
      <w:pPr>
        <w:spacing w:after="0" w:line="121"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Common Stock, par value $0.01 per share (“</w:t>
      </w:r>
      <w:r>
        <w:rPr>
          <w:rFonts w:ascii="Arial" w:cs="Arial" w:eastAsia="Arial" w:hAnsi="Arial"/>
          <w:sz w:val="18"/>
          <w:szCs w:val="18"/>
          <w:b w:val="1"/>
          <w:bCs w:val="1"/>
          <w:i w:val="1"/>
          <w:iCs w:val="1"/>
          <w:color w:val="auto"/>
        </w:rPr>
        <w:t>Common Stock</w:t>
      </w:r>
      <w:r>
        <w:rPr>
          <w:rFonts w:ascii="Arial" w:cs="Arial" w:eastAsia="Arial" w:hAnsi="Arial"/>
          <w:sz w:val="18"/>
          <w:szCs w:val="18"/>
          <w:color w:val="auto"/>
        </w:rPr>
        <w:t>”)</w:t>
      </w:r>
    </w:p>
    <w:p>
      <w:pPr>
        <w:spacing w:after="0" w:line="126" w:lineRule="exact"/>
        <w:rPr>
          <w:rFonts w:ascii="Arial" w:cs="Arial" w:eastAsia="Arial" w:hAnsi="Arial"/>
          <w:sz w:val="18"/>
          <w:szCs w:val="18"/>
          <w:b w:val="1"/>
          <w:bCs w:val="1"/>
          <w:color w:val="auto"/>
        </w:rPr>
      </w:pPr>
    </w:p>
    <w:p>
      <w:pPr>
        <w:jc w:val="both"/>
        <w:ind w:left="444" w:right="9560" w:hanging="444"/>
        <w:spacing w:after="0" w:line="578" w:lineRule="auto"/>
        <w:tabs>
          <w:tab w:leader="none" w:pos="444"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CUSIP No.: </w:t>
      </w:r>
      <w:r>
        <w:rPr>
          <w:rFonts w:ascii="Arial" w:cs="Arial" w:eastAsia="Arial" w:hAnsi="Arial"/>
          <w:sz w:val="17"/>
          <w:szCs w:val="17"/>
          <w:color w:val="auto"/>
        </w:rPr>
        <w:t>25065K104</w:t>
      </w:r>
    </w:p>
    <w:p>
      <w:pPr>
        <w:spacing w:after="0" w:line="71"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 240.13d-1(b) or 240.13d-2(b) or (c), check whether the person filing is a:</w:t>
      </w:r>
    </w:p>
    <w:p>
      <w:pPr>
        <w:spacing w:after="0" w:line="211" w:lineRule="exact"/>
        <w:rPr>
          <w:sz w:val="20"/>
          <w:szCs w:val="20"/>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Rule 13d-1(b)(1)(ii)(E);</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Rule 13d-1(b)(1)(ii)(F);</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Rule 13d-1(b)(1)(ii)(G);</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184" w:hanging="633"/>
        <w:spacing w:after="0" w:line="245" w:lineRule="exact"/>
        <w:tabs>
          <w:tab w:leader="none" w:pos="87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w:t>
      </w:r>
    </w:p>
    <w:p>
      <w:pPr>
        <w:spacing w:after="0" w:line="50"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Rule 240.13d-1(b)(1)(ii)(J);</w:t>
      </w:r>
    </w:p>
    <w:p>
      <w:pPr>
        <w:spacing w:after="0" w:line="117" w:lineRule="exact"/>
        <w:rPr>
          <w:rFonts w:ascii="Arial" w:cs="Arial" w:eastAsia="Arial" w:hAnsi="Arial"/>
          <w:sz w:val="18"/>
          <w:szCs w:val="18"/>
          <w:color w:val="auto"/>
        </w:rPr>
      </w:pPr>
    </w:p>
    <w:p>
      <w:pPr>
        <w:ind w:left="864" w:hanging="313"/>
        <w:spacing w:after="0" w:line="207" w:lineRule="exact"/>
        <w:tabs>
          <w:tab w:leader="none" w:pos="864"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Rule 240.13d-1(b)(1)(ii)(K). If filing as a non-U.S. institution in accordance with Rule</w:t>
      </w:r>
    </w:p>
    <w:p>
      <w:pPr>
        <w:spacing w:after="0" w:line="70" w:lineRule="exact"/>
        <w:rPr>
          <w:sz w:val="20"/>
          <w:szCs w:val="20"/>
          <w:color w:val="auto"/>
        </w:rPr>
      </w:pPr>
    </w:p>
    <w:p>
      <w:pPr>
        <w:ind w:left="1184"/>
        <w:spacing w:after="0"/>
        <w:rPr>
          <w:sz w:val="20"/>
          <w:szCs w:val="20"/>
          <w:color w:val="auto"/>
        </w:rPr>
      </w:pPr>
      <w:r>
        <w:rPr>
          <w:rFonts w:ascii="Arial" w:cs="Arial" w:eastAsia="Arial" w:hAnsi="Arial"/>
          <w:sz w:val="18"/>
          <w:szCs w:val="18"/>
          <w:color w:val="auto"/>
        </w:rPr>
        <w:t>240.13d-1(b)(1)(ii)(J), please specify the type of institution: ____</w:t>
      </w:r>
    </w:p>
    <w:p>
      <w:pPr>
        <w:spacing w:after="0" w:line="354" w:lineRule="exact"/>
        <w:rPr>
          <w:sz w:val="20"/>
          <w:szCs w:val="20"/>
          <w:color w:val="auto"/>
        </w:rPr>
      </w:pPr>
    </w:p>
    <w:p>
      <w:pPr>
        <w:ind w:left="4"/>
        <w:spacing w:after="0"/>
        <w:tabs>
          <w:tab w:leader="none" w:pos="1084"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1" w:lineRule="exact"/>
        <w:rPr>
          <w:sz w:val="20"/>
          <w:szCs w:val="20"/>
          <w:color w:val="auto"/>
        </w:rPr>
      </w:pPr>
    </w:p>
    <w:p>
      <w:pPr>
        <w:ind w:left="444" w:hanging="444"/>
        <w:spacing w:after="0"/>
        <w:tabs>
          <w:tab w:leader="none" w:pos="44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Amount Beneficially Owned as of the time of filing: </w:t>
      </w:r>
      <w:r>
        <w:rPr>
          <w:rFonts w:ascii="Arial" w:cs="Arial" w:eastAsia="Arial" w:hAnsi="Arial"/>
          <w:sz w:val="18"/>
          <w:szCs w:val="18"/>
          <w:color w:val="auto"/>
        </w:rPr>
        <w:t>See Item 9 on the cover pages(s) hereto.</w:t>
      </w:r>
    </w:p>
    <w:p>
      <w:pPr>
        <w:spacing w:after="0" w:line="130" w:lineRule="exact"/>
        <w:rPr>
          <w:rFonts w:ascii="Arial" w:cs="Arial" w:eastAsia="Arial" w:hAnsi="Arial"/>
          <w:sz w:val="18"/>
          <w:szCs w:val="18"/>
          <w:b w:val="1"/>
          <w:bCs w:val="1"/>
          <w:color w:val="auto"/>
        </w:rPr>
      </w:pPr>
    </w:p>
    <w:p>
      <w:pPr>
        <w:ind w:left="444" w:hanging="444"/>
        <w:spacing w:after="0"/>
        <w:tabs>
          <w:tab w:leader="none" w:pos="44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as of the time of filing: </w:t>
      </w:r>
      <w:r>
        <w:rPr>
          <w:rFonts w:ascii="Arial" w:cs="Arial" w:eastAsia="Arial" w:hAnsi="Arial"/>
          <w:sz w:val="18"/>
          <w:szCs w:val="18"/>
          <w:color w:val="auto"/>
        </w:rPr>
        <w:t>See Item 11 on the cover page(s) hereto.</w:t>
      </w:r>
    </w:p>
    <w:p>
      <w:pPr>
        <w:spacing w:after="0" w:line="130" w:lineRule="exact"/>
        <w:rPr>
          <w:rFonts w:ascii="Arial" w:cs="Arial" w:eastAsia="Arial" w:hAnsi="Arial"/>
          <w:sz w:val="18"/>
          <w:szCs w:val="18"/>
          <w:b w:val="1"/>
          <w:bCs w:val="1"/>
          <w:color w:val="auto"/>
        </w:rPr>
      </w:pPr>
    </w:p>
    <w:p>
      <w:pPr>
        <w:ind w:left="444" w:hanging="444"/>
        <w:spacing w:after="0"/>
        <w:tabs>
          <w:tab w:leader="none" w:pos="444"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As of the time of filing, number of shares as to which such person has:</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vote or to direct the vote: </w:t>
      </w:r>
      <w:r>
        <w:rPr>
          <w:rFonts w:ascii="Arial" w:cs="Arial" w:eastAsia="Arial" w:hAnsi="Arial"/>
          <w:sz w:val="18"/>
          <w:szCs w:val="18"/>
          <w:color w:val="auto"/>
        </w:rPr>
        <w:t>See Item 5 on the cover pages hereto.</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vote or to direct the vote: </w:t>
      </w:r>
      <w:r>
        <w:rPr>
          <w:rFonts w:ascii="Arial" w:cs="Arial" w:eastAsia="Arial" w:hAnsi="Arial"/>
          <w:sz w:val="18"/>
          <w:szCs w:val="18"/>
          <w:color w:val="auto"/>
        </w:rPr>
        <w:t>See Item 6 on the cover pages hereto.</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power to dispose or to direct the disposition of: </w:t>
      </w:r>
      <w:r>
        <w:rPr>
          <w:rFonts w:ascii="Arial" w:cs="Arial" w:eastAsia="Arial" w:hAnsi="Arial"/>
          <w:sz w:val="18"/>
          <w:szCs w:val="18"/>
          <w:color w:val="auto"/>
        </w:rPr>
        <w:t>See Item 7 on the cover pages hereto.</w:t>
      </w:r>
    </w:p>
    <w:p>
      <w:pPr>
        <w:spacing w:after="0" w:line="130" w:lineRule="exact"/>
        <w:rPr>
          <w:rFonts w:ascii="Arial" w:cs="Arial" w:eastAsia="Arial" w:hAnsi="Arial"/>
          <w:sz w:val="18"/>
          <w:szCs w:val="18"/>
          <w:b w:val="1"/>
          <w:bCs w:val="1"/>
          <w:color w:val="auto"/>
        </w:rPr>
      </w:pPr>
    </w:p>
    <w:p>
      <w:pPr>
        <w:ind w:left="984" w:hanging="544"/>
        <w:spacing w:after="0"/>
        <w:tabs>
          <w:tab w:leader="none" w:pos="984" w:val="left"/>
        </w:tabs>
        <w:numPr>
          <w:ilvl w:val="1"/>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power to dispose or to direct the disposition of: </w:t>
      </w:r>
      <w:r>
        <w:rPr>
          <w:rFonts w:ascii="Arial" w:cs="Arial" w:eastAsia="Arial" w:hAnsi="Arial"/>
          <w:sz w:val="18"/>
          <w:szCs w:val="18"/>
          <w:color w:val="auto"/>
        </w:rPr>
        <w:t>See Item 8 on the cover pages hereto.</w:t>
      </w:r>
    </w:p>
    <w:p>
      <w:pPr>
        <w:sectPr>
          <w:pgSz w:w="11900" w:h="16838" w:orient="portrait"/>
          <w:cols w:equalWidth="0" w:num="1">
            <w:col w:w="10904"/>
          </w:cols>
          <w:pgMar w:left="436" w:top="486" w:right="559" w:bottom="1440" w:gutter="0" w:footer="0" w:header="0"/>
        </w:sectPr>
      </w:pPr>
    </w:p>
    <w:bookmarkStart w:id="7" w:name="page8"/>
    <w:bookmarkEnd w:id="7"/>
    <w:p>
      <w:pPr>
        <w:spacing w:after="0"/>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0800"/>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440" w:right="100"/>
        <w:spacing w:after="0" w:line="237"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Persons have ceased to be the beneficial owners of 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32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ind w:left="1100" w:right="40" w:hanging="1101"/>
        <w:spacing w:after="0" w:line="282" w:lineRule="auto"/>
        <w:tabs>
          <w:tab w:leader="none" w:pos="10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Identification and classification of the subsidiary which acquired the security being reported on by the parent holding company or control person.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10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Certifications.</w:t>
      </w:r>
    </w:p>
    <w:p>
      <w:pPr>
        <w:spacing w:after="0" w:line="121"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ectPr>
          <w:pgSz w:w="11900" w:h="16838" w:orient="portrait"/>
          <w:cols w:equalWidth="0" w:num="1">
            <w:col w:w="10880"/>
          </w:cols>
          <w:pgMar w:left="440" w:top="486" w:right="5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0800"/>
                    </a:xfrm>
                    <a:prstGeom prst="rect">
                      <a:avLst/>
                    </a:prstGeom>
                    <a:noFill/>
                  </pic:spPr>
                </pic:pic>
              </a:graphicData>
            </a:graphic>
          </wp:anchor>
        </w:drawing>
        <w:t>SIGNATURE</w:t>
      </w:r>
    </w:p>
    <w:p>
      <w:pPr>
        <w:spacing w:after="0" w:line="121"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May 23,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WOLF HILL CAPITAL MANAGEMENT, LP</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Wolf Hill General Partner,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Lehrman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Gary Lehrman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WOLF HILL PARTNERS,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Wolf Hill General Partner,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Lehrman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Gary Lehrman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WOLF HILL GENERAL PARTNER, LLC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Lehrman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Gary Lehrman</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GARY LEHRMAN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Gary Lehrman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ectPr>
          <w:pgSz w:w="11900" w:h="16838" w:orient="portrait"/>
          <w:cols w:equalWidth="0" w:num="1">
            <w:col w:w="11020"/>
          </w:cols>
          <w:pgMar w:left="440" w:top="486" w:right="439" w:bottom="1440" w:gutter="0" w:footer="0" w:header="0"/>
        </w:sectPr>
      </w:pPr>
    </w:p>
    <w:bookmarkStart w:id="9" w:name="page10"/>
    <w:bookmarkEnd w:id="9"/>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508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0800"/>
                    </a:xfrm>
                    <a:prstGeom prst="rect">
                      <a:avLst/>
                    </a:prstGeom>
                    <a:noFill/>
                  </pic:spPr>
                </pic:pic>
              </a:graphicData>
            </a:graphic>
          </wp:anchor>
        </w:drawing>
        <w:t>EXHIBIT INDEX</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Exhibit</w:t>
            </w:r>
          </w:p>
        </w:tc>
        <w:tc>
          <w:tcPr>
            <w:tcW w:w="420" w:type="dxa"/>
            <w:vAlign w:val="bottom"/>
          </w:tcPr>
          <w:p>
            <w:pPr>
              <w:spacing w:after="0"/>
              <w:rPr>
                <w:sz w:val="14"/>
                <w:szCs w:val="14"/>
                <w:color w:val="auto"/>
              </w:rPr>
            </w:pPr>
          </w:p>
        </w:tc>
        <w:tc>
          <w:tcPr>
            <w:tcW w:w="1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Description of Exhibit</w:t>
            </w:r>
          </w:p>
        </w:tc>
        <w:tc>
          <w:tcPr>
            <w:tcW w:w="1500" w:type="dxa"/>
            <w:vAlign w:val="bottom"/>
          </w:tcPr>
          <w:p>
            <w:pPr>
              <w:spacing w:after="0"/>
              <w:rPr>
                <w:sz w:val="14"/>
                <w:szCs w:val="14"/>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420" w:type="dxa"/>
            <w:vAlign w:val="bottom"/>
          </w:tcPr>
          <w:p>
            <w:pPr>
              <w:spacing w:after="0"/>
              <w:rPr>
                <w:sz w:val="24"/>
                <w:szCs w:val="24"/>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w w:val="93"/>
              </w:rPr>
              <w:t>Joint Filing Agreement (filed herewith).</w:t>
            </w:r>
          </w:p>
        </w:tc>
      </w:tr>
    </w:tbl>
    <w:p>
      <w:pPr>
        <w:sectPr>
          <w:pgSz w:w="11900" w:h="16838" w:orient="portrait"/>
          <w:cols w:equalWidth="0" w:num="1">
            <w:col w:w="10019"/>
          </w:cols>
          <w:pgMar w:left="440" w:top="486" w:right="1440"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JOINT FILING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May 23, 2023</w:t>
      </w:r>
    </w:p>
    <w:p>
      <w:pPr>
        <w:spacing w:after="0" w:line="229" w:lineRule="exact"/>
        <w:rPr>
          <w:sz w:val="20"/>
          <w:szCs w:val="20"/>
          <w:color w:val="auto"/>
        </w:rPr>
      </w:pPr>
    </w:p>
    <w:p>
      <w:pPr>
        <w:ind w:right="80" w:firstLine="440"/>
        <w:spacing w:after="0" w:line="293" w:lineRule="auto"/>
        <w:rPr>
          <w:sz w:val="20"/>
          <w:szCs w:val="20"/>
          <w:color w:val="auto"/>
        </w:rPr>
      </w:pPr>
      <w:r>
        <w:rPr>
          <w:rFonts w:ascii="Arial" w:cs="Arial" w:eastAsia="Arial" w:hAnsi="Arial"/>
          <w:sz w:val="16"/>
          <w:szCs w:val="16"/>
          <w:color w:val="auto"/>
        </w:rPr>
        <w:t>Pursuant to and in accordance with the Securities Exchange Act of 1934, as amended (the “</w:t>
      </w:r>
      <w:r>
        <w:rPr>
          <w:rFonts w:ascii="Arial" w:cs="Arial" w:eastAsia="Arial" w:hAnsi="Arial"/>
          <w:sz w:val="16"/>
          <w:szCs w:val="16"/>
          <w:b w:val="1"/>
          <w:bCs w:val="1"/>
          <w:i w:val="1"/>
          <w:iCs w:val="1"/>
          <w:color w:val="auto"/>
        </w:rPr>
        <w:t>Act</w:t>
      </w:r>
      <w:r>
        <w:rPr>
          <w:rFonts w:ascii="Arial" w:cs="Arial" w:eastAsia="Arial" w:hAnsi="Arial"/>
          <w:sz w:val="16"/>
          <w:szCs w:val="16"/>
          <w:color w:val="auto"/>
        </w:rPr>
        <w:t>”), and the rules and regulations thereunder, each party hereto hereby agrees to the joint filing, on behalf of each of them, of any filing required by such party under Section 13 or Section 16 of the Act or any rule or regulation thereunder (including any amendment, restatement, supplement, and/or exhibit thereto) with the U.S. Securities and Exchange Commission (and, if such security is registered on a national securities exchange, also with the exchange), and further agrees to the filing, furnishing, and/or incorporation by reference of this agreement as an exhibit thereto. This agreement shall remain in full force and effect until revoked by any party hereto in a signed writing provided to each other party hereto, and then only with respect to such revoking party.</w:t>
      </w:r>
    </w:p>
    <w:p>
      <w:pPr>
        <w:spacing w:after="0" w:line="164" w:lineRule="exact"/>
        <w:rPr>
          <w:sz w:val="20"/>
          <w:szCs w:val="20"/>
          <w:color w:val="auto"/>
        </w:rPr>
      </w:pPr>
    </w:p>
    <w:p>
      <w:pPr>
        <w:ind w:right="340" w:firstLine="440"/>
        <w:spacing w:after="0" w:line="277" w:lineRule="auto"/>
        <w:rPr>
          <w:sz w:val="20"/>
          <w:szCs w:val="20"/>
          <w:color w:val="auto"/>
        </w:rPr>
      </w:pPr>
      <w:r>
        <w:rPr>
          <w:rFonts w:ascii="Arial" w:cs="Arial" w:eastAsia="Arial" w:hAnsi="Arial"/>
          <w:sz w:val="18"/>
          <w:szCs w:val="18"/>
          <w:color w:val="auto"/>
        </w:rPr>
        <w:t>IN WITNESS WHEREOF, each party hereto, being duly authorized, has caused this agreement to be executed and effective as of the date first written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23, 2023</w:t>
      </w:r>
    </w:p>
    <w:p>
      <w:pPr>
        <w:spacing w:after="0" w:line="24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WOLF HILL CAPITAL MANAGEMENT, LP</w:t>
      </w:r>
    </w:p>
    <w:p>
      <w:pPr>
        <w:spacing w:after="0" w:line="229" w:lineRule="exact"/>
        <w:rPr>
          <w:sz w:val="20"/>
          <w:szCs w:val="20"/>
          <w:color w:val="auto"/>
        </w:rPr>
      </w:pPr>
    </w:p>
    <w:tbl>
      <w:tblPr>
        <w:tblLayout w:type="fixed"/>
        <w:tblInd w:w="660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Wolf Hill General Partner,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Lehrman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Gary Lehrman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4420" w:type="dxa"/>
            <w:vAlign w:val="bottom"/>
            <w:gridSpan w:val="2"/>
          </w:tcPr>
          <w:p>
            <w:pPr>
              <w:spacing w:after="0"/>
              <w:rPr>
                <w:sz w:val="20"/>
                <w:szCs w:val="20"/>
                <w:color w:val="auto"/>
              </w:rPr>
            </w:pPr>
            <w:r>
              <w:rPr>
                <w:rFonts w:ascii="Arial" w:cs="Arial" w:eastAsia="Arial" w:hAnsi="Arial"/>
                <w:sz w:val="18"/>
                <w:szCs w:val="18"/>
                <w:b w:val="1"/>
                <w:bCs w:val="1"/>
                <w:color w:val="auto"/>
              </w:rPr>
              <w:t>WOLF HILL PARTNERS, LP</w:t>
            </w:r>
          </w:p>
        </w:tc>
      </w:tr>
      <w:tr>
        <w:trPr>
          <w:trHeight w:val="418"/>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Pr>
          <w:p>
            <w:pPr>
              <w:spacing w:after="0"/>
              <w:rPr>
                <w:sz w:val="20"/>
                <w:szCs w:val="20"/>
                <w:color w:val="auto"/>
              </w:rPr>
            </w:pPr>
            <w:r>
              <w:rPr>
                <w:rFonts w:ascii="Arial" w:cs="Arial" w:eastAsia="Arial" w:hAnsi="Arial"/>
                <w:sz w:val="18"/>
                <w:szCs w:val="18"/>
                <w:color w:val="auto"/>
              </w:rPr>
              <w:t>Wolf Hill General Partner, LLC</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38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Lehrman</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Gary Lehrman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198"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WOLF HILL GENERAL PARTNER, LLC</w:t>
      </w:r>
    </w:p>
    <w:p>
      <w:pPr>
        <w:spacing w:after="0" w:line="229"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Lehrman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24345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Name: Gary Lehrman</w:t>
      </w:r>
    </w:p>
    <w:p>
      <w:pPr>
        <w:spacing w:after="0" w:line="23" w:lineRule="exact"/>
        <w:rPr>
          <w:sz w:val="20"/>
          <w:szCs w:val="20"/>
          <w:color w:val="auto"/>
        </w:rPr>
      </w:pPr>
    </w:p>
    <w:p>
      <w:pPr>
        <w:ind w:left="6600"/>
        <w:spacing w:after="0"/>
        <w:tabs>
          <w:tab w:leader="none" w:pos="7160" w:val="left"/>
        </w:tabs>
        <w:rPr>
          <w:sz w:val="20"/>
          <w:szCs w:val="20"/>
          <w:color w:val="auto"/>
        </w:rPr>
      </w:pPr>
      <w:r>
        <w:rPr>
          <w:rFonts w:ascii="Arial" w:cs="Arial" w:eastAsia="Arial" w:hAnsi="Arial"/>
          <w:sz w:val="18"/>
          <w:szCs w:val="18"/>
          <w:color w:val="auto"/>
        </w:rPr>
        <w:t>Title:</w:t>
        <w:tab/>
        <w:t>Managing Member</w:t>
      </w:r>
    </w:p>
    <w:p>
      <w:pPr>
        <w:spacing w:after="0" w:line="207"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GARY LEHRMAN</w:t>
      </w:r>
    </w:p>
    <w:p>
      <w:pPr>
        <w:spacing w:after="0" w:line="229"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/s/ Gary Lehrman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1)"/>
      <w:numFmt w:val="decimal"/>
      <w:start w:val="1"/>
    </w:lvl>
  </w:abstractNum>
  <w:abstractNum w:abstractNumId="4">
    <w:nsid w:val="515F007C"/>
    <w:multiLevelType w:val="hybridMultilevel"/>
    <w:lvl w:ilvl="0">
      <w:lvlJc w:val="left"/>
      <w:lvlText w:val="(%1)"/>
      <w:numFmt w:val="decimal"/>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1)"/>
      <w:numFmt w:val="lowerLetter"/>
      <w:start w:val="1"/>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4"/>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2023-05-23T15:15:45Z</dcterms:created>
  <dcterms:modified xsi:type="dcterms:W3CDTF">2023-05-23T15:15:45Z</dcterms:modified>
</cp:coreProperties>
</file>