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44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5411470</wp:posOffset>
            </wp:positionH>
            <wp:positionV relativeFrom="paragraph">
              <wp:posOffset>-625475</wp:posOffset>
            </wp:positionV>
            <wp:extent cx="58420" cy="638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4070350</wp:posOffset>
            </wp:positionH>
            <wp:positionV relativeFrom="paragraph">
              <wp:posOffset>-625475</wp:posOffset>
            </wp:positionV>
            <wp:extent cx="58420" cy="638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-1775460</wp:posOffset>
            </wp:positionH>
            <wp:positionV relativeFrom="paragraph">
              <wp:posOffset>15240</wp:posOffset>
            </wp:positionV>
            <wp:extent cx="7325995" cy="4187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187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20"/>
            <w:col w:w="8740"/>
          </w:cols>
          <w:pgMar w:left="240" w:top="221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LEVIN DAVID A</w:t>
        </w:r>
      </w:hyperlink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37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CMRG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05/06/2008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2" w:right="760" w:hanging="2"/>
        <w:spacing w:after="0" w:line="237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14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CEO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500" w:space="478"/>
            <w:col w:w="3482"/>
          </w:cols>
          <w:pgMar w:left="240" w:top="221" w:right="139" w:bottom="1440" w:gutter="0" w:footer="0" w:header="0"/>
          <w:type w:val="continuous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6. Individual or Joint/Group Filing (Check Applicable Line)</w:t>
            </w:r>
          </w:p>
        </w:tc>
      </w:tr>
      <w:tr>
        <w:trPr>
          <w:trHeight w:val="252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05/08/2008</w:t>
            </w:r>
          </w:p>
        </w:tc>
        <w:tc>
          <w:tcPr>
            <w:tcW w:w="36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</w:tr>
      <w:tr>
        <w:trPr>
          <w:trHeight w:val="207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Form filed by More than One Reporting Person</w:t>
            </w:r>
          </w:p>
        </w:tc>
      </w:tr>
    </w:tbl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40" w:space="720"/>
            <w:col w:w="7460"/>
          </w:cols>
          <w:pgMar w:left="240" w:top="221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9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9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05/06/2011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05/06/2012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200,000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4.55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05/06/2008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6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The Option is for 200,000 shares, not 500,000 shares as previously reported on May 8, 2008.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78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2. The Option vests in one installment on May 6, 2011 and expires on May 6, 2012, not May 6, 2018 as previously reported on May 8, 2008.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David A. Levin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05/15/2008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8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 Instruction 4 (b)(v).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404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798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2019-12-16T05:13:24Z</dcterms:created>
  <dcterms:modified xsi:type="dcterms:W3CDTF">2019-12-16T05:13:24Z</dcterms:modified>
</cp:coreProperties>
</file>