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8-K/A</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CURRENT REPORT PURSUANT TO SECTION 13 OR 15(d)</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50" w:lineRule="exact"/>
        <w:rPr>
          <w:sz w:val="24"/>
          <w:szCs w:val="24"/>
          <w:color w:val="auto"/>
        </w:rPr>
      </w:pPr>
    </w:p>
    <w:p>
      <w:pPr>
        <w:spacing w:after="0"/>
        <w:tabs>
          <w:tab w:leader="none" w:pos="1500" w:val="left"/>
          <w:tab w:leader="none" w:pos="4480" w:val="left"/>
        </w:tabs>
        <w:rPr>
          <w:sz w:val="20"/>
          <w:szCs w:val="20"/>
          <w:color w:val="auto"/>
        </w:rPr>
      </w:pPr>
      <w:r>
        <w:rPr>
          <w:rFonts w:ascii="Courier New" w:cs="Courier New" w:eastAsia="Courier New" w:hAnsi="Courier New"/>
          <w:sz w:val="15"/>
          <w:szCs w:val="15"/>
          <w:color w:val="auto"/>
        </w:rPr>
        <w:t>Date of Report:</w:t>
        <w:tab/>
        <w:t>May 14, 2002</w:t>
      </w:r>
      <w:r>
        <w:rPr>
          <w:sz w:val="20"/>
          <w:szCs w:val="20"/>
          <w:color w:val="auto"/>
        </w:rPr>
        <w:tab/>
      </w:r>
      <w:r>
        <w:rPr>
          <w:rFonts w:ascii="Courier New" w:cs="Courier New" w:eastAsia="Courier New" w:hAnsi="Courier New"/>
          <w:sz w:val="14"/>
          <w:szCs w:val="14"/>
          <w:color w:val="auto"/>
        </w:rPr>
        <w:t>Commission File Number 0-15898</w:t>
      </w:r>
    </w:p>
    <w:p>
      <w:pPr>
        <w:spacing w:after="0" w:line="350"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CASUAL MALE RETAIL GROUP, INC.</w:t>
      </w:r>
    </w:p>
    <w:p>
      <w:pPr>
        <w:spacing w:after="0" w:line="3" w:lineRule="exact"/>
        <w:rPr>
          <w:sz w:val="24"/>
          <w:szCs w:val="24"/>
          <w:color w:val="auto"/>
        </w:rPr>
      </w:pPr>
    </w:p>
    <w:p>
      <w:pPr>
        <w:ind w:left="2160"/>
        <w:spacing w:after="0"/>
        <w:rPr>
          <w:sz w:val="20"/>
          <w:szCs w:val="20"/>
          <w:color w:val="auto"/>
        </w:rPr>
      </w:pPr>
      <w:r>
        <w:rPr>
          <w:rFonts w:ascii="Courier New" w:cs="Courier New" w:eastAsia="Courier New" w:hAnsi="Courier New"/>
          <w:sz w:val="15"/>
          <w:szCs w:val="15"/>
          <w:color w:val="auto"/>
        </w:rPr>
        <w:t>(formerly known as Designs, Inc.)</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0" w:orient="portrait"/>
          <w:cols w:equalWidth="0" w:num="1">
            <w:col w:w="10219"/>
          </w:cols>
          <w:pgMar w:left="240" w:top="233" w:right="1440" w:bottom="0" w:gutter="0" w:footer="0" w:header="0"/>
        </w:sectPr>
      </w:pPr>
    </w:p>
    <w:p>
      <w:pPr>
        <w:spacing w:after="0" w:line="177"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(State or other jurisdiction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04-2623104</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80" w:orient="portrait"/>
          <w:cols w:equalWidth="0" w:num="2">
            <w:col w:w="4680" w:space="720"/>
            <w:col w:w="4819"/>
          </w:cols>
          <w:pgMar w:left="240" w:top="233" w:right="1440" w:bottom="0" w:gutter="0" w:footer="0" w:header="0"/>
          <w:type w:val="continuous"/>
        </w:sectPr>
      </w:pPr>
    </w:p>
    <w:p>
      <w:pPr>
        <w:spacing w:after="0" w:line="151" w:lineRule="exact"/>
        <w:rPr>
          <w:sz w:val="24"/>
          <w:szCs w:val="24"/>
          <w:color w:val="auto"/>
        </w:rPr>
      </w:pPr>
    </w:p>
    <w:p>
      <w:pPr>
        <w:ind w:right="1620" w:firstLine="271"/>
        <w:spacing w:after="0" w:line="278" w:lineRule="auto"/>
        <w:rPr>
          <w:sz w:val="20"/>
          <w:szCs w:val="20"/>
          <w:color w:val="auto"/>
        </w:rPr>
      </w:pPr>
      <w:r>
        <w:rPr>
          <w:rFonts w:ascii="Courier New" w:cs="Courier New" w:eastAsia="Courier New" w:hAnsi="Courier New"/>
          <w:sz w:val="14"/>
          <w:szCs w:val="14"/>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02021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35" w:lineRule="exact"/>
        <w:rPr>
          <w:sz w:val="24"/>
          <w:szCs w:val="24"/>
          <w:color w:val="auto"/>
        </w:rPr>
      </w:pPr>
    </w:p>
    <w:p>
      <w:pPr>
        <w:sectPr>
          <w:pgSz w:w="11900" w:h="16880" w:orient="portrait"/>
          <w:cols w:equalWidth="0" w:num="2">
            <w:col w:w="5220" w:space="720"/>
            <w:col w:w="4279"/>
          </w:cols>
          <w:pgMar w:left="240" w:top="233" w:right="1440" w:bottom="0" w:gutter="0" w:footer="0" w:header="0"/>
          <w:type w:val="continuous"/>
        </w:sectPr>
      </w:pPr>
    </w:p>
    <w:p>
      <w:pPr>
        <w:spacing w:after="0" w:line="126"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(781) 828-9300</w:t>
      </w:r>
    </w:p>
    <w:p>
      <w:pPr>
        <w:sectPr>
          <w:pgSz w:w="11900" w:h="16880" w:orient="portrait"/>
          <w:cols w:equalWidth="0" w:num="1">
            <w:col w:w="10219"/>
          </w:cols>
          <w:pgMar w:left="240" w:top="233" w:right="1440" w:bottom="0" w:gutter="0" w:footer="0" w:header="0"/>
          <w:type w:val="continuous"/>
        </w:sectPr>
      </w:pPr>
    </w:p>
    <w:p>
      <w:pPr>
        <w:spacing w:after="0" w:line="14"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Common Stock, $0.01 par value</w:t>
      </w:r>
    </w:p>
    <w:p>
      <w:pPr>
        <w:spacing w:after="0" w:line="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(Title of each Class)</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Item 7(b) of the Current Report on Form 8-K filed by Designs, Inc. (now known as Casual Male Retail Group, Inc.) on May 23, 2002 and amended on May 23, 2002 and June 14, 2002 is hereby amended to read in its entirety as follows:</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tab/>
        <w:t>Financial Statements, Pro Forma Financial Information and Exhibits</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 Pro Forma Financial Information</w:t>
      </w:r>
    </w:p>
    <w:p>
      <w:pPr>
        <w:spacing w:after="0" w:line="178" w:lineRule="exact"/>
        <w:rPr>
          <w:sz w:val="24"/>
          <w:szCs w:val="24"/>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pro forma financial information is subject to revision, which could have a significant impact on total assets, total liabilities and stockholders' equity (deficit), depreciation and amortization, interest expense and income taxes:</w:t>
      </w:r>
    </w:p>
    <w:p>
      <w:pPr>
        <w:spacing w:after="0" w:line="176" w:lineRule="exact"/>
        <w:rPr>
          <w:sz w:val="24"/>
          <w:szCs w:val="24"/>
          <w:color w:val="auto"/>
        </w:rPr>
      </w:pPr>
    </w:p>
    <w:p>
      <w:pPr>
        <w:ind w:left="440" w:right="3019"/>
        <w:spacing w:after="0" w:line="243" w:lineRule="auto"/>
        <w:rPr>
          <w:sz w:val="20"/>
          <w:szCs w:val="20"/>
          <w:color w:val="auto"/>
        </w:rPr>
      </w:pPr>
      <w:r>
        <w:rPr>
          <w:rFonts w:ascii="Courier New" w:cs="Courier New" w:eastAsia="Courier New" w:hAnsi="Courier New"/>
          <w:sz w:val="15"/>
          <w:szCs w:val="15"/>
          <w:color w:val="auto"/>
        </w:rPr>
        <w:t>Unaudited Pro Forma Condensed Consolidated Balance Sheet as of May 4, 2002 Unaudited Pro Forma Condensed Consolidated Statements of Operations for the</w:t>
      </w:r>
    </w:p>
    <w:p>
      <w:pPr>
        <w:spacing w:after="0" w:line="2"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three months ended May 4, 2002</w:t>
      </w:r>
    </w:p>
    <w:p>
      <w:pPr>
        <w:spacing w:after="0" w:line="4" w:lineRule="exact"/>
        <w:rPr>
          <w:sz w:val="24"/>
          <w:szCs w:val="24"/>
          <w:color w:val="auto"/>
        </w:rPr>
      </w:pPr>
    </w:p>
    <w:p>
      <w:pPr>
        <w:ind w:left="900" w:right="3019" w:hanging="450"/>
        <w:spacing w:after="0" w:line="243" w:lineRule="auto"/>
        <w:rPr>
          <w:sz w:val="20"/>
          <w:szCs w:val="20"/>
          <w:color w:val="auto"/>
        </w:rPr>
      </w:pPr>
      <w:r>
        <w:rPr>
          <w:rFonts w:ascii="Courier New" w:cs="Courier New" w:eastAsia="Courier New" w:hAnsi="Courier New"/>
          <w:sz w:val="15"/>
          <w:szCs w:val="15"/>
          <w:color w:val="auto"/>
        </w:rPr>
        <w:t>Unaudited Pro Forma Condensed Consolidated Statements of Operations for the year ended February 2, 2002</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Consolidated Financial Information</w:t>
      </w:r>
    </w:p>
    <w:p>
      <w:pPr>
        <w:spacing w:after="0" w:line="351" w:lineRule="exact"/>
        <w:rPr>
          <w:sz w:val="24"/>
          <w:szCs w:val="24"/>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unaudited pro forma financial information included herein gives effect to the Company's acquisition of Casual Male and to the financing transactions completed by the Company as of May 14, 2002. The Unaudited Pro Forma Condensed Consolidated Statements of Operations for the three months ended May 4, 2002 and the year ended February 2, 2002 are based on historical data as reported by the separate companies, and reflect adjustments prepared as if the acquisition had occurred on February 4, 2001. The Unaudited Pro Forma Condensed Consolidated Balance Sheet is based on historical data as reported by the separate companies, and reflects adjustments prepared as if the acquisition had occurred on May 4, 2002.</w:t>
      </w:r>
    </w:p>
    <w:p>
      <w:pPr>
        <w:spacing w:after="0" w:line="180" w:lineRule="exact"/>
        <w:rPr>
          <w:sz w:val="24"/>
          <w:szCs w:val="24"/>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acquisition of Casual Male has been accounted for using the purchase method of accounting. Accordingly, the assets acquired and liabilities assumed have been recorded at their estimated fair values, with appropriate recognition given to the Company's borrowing rates, accounting policies, and income taxes. The Company's management does not expect that the final allocation of the purchase price for the acquisition of Casual Male will differ materially from the allocations used to prepare the unaudited pro forma financial information presented herein.</w:t>
      </w:r>
    </w:p>
    <w:p>
      <w:pPr>
        <w:spacing w:after="0" w:line="178" w:lineRule="exact"/>
        <w:rPr>
          <w:sz w:val="24"/>
          <w:szCs w:val="24"/>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Unaudited Pro Forma Condensed Consolidated Financial Statements contained herein (the "Statements") have been prepared based on available information, using assumptions that the Company's management believes are reasonable. The Statements do not purport to represent the actual financial position or results of operations that would have occurred if the acquisition had occurred on the dates specified. The Statements are not necessarily indicative of the results that may be achieved in the future. The Statements do not reflect any adjustments for the effect of certain operating synergies or expected cost reductions that the Company may realize as a result of the acquisition. No assurances can be given as to the amount of financial benefits, if any, that may actually be realized as the result of the acquisition.</w:t>
      </w:r>
    </w:p>
    <w:p>
      <w:pPr>
        <w:spacing w:after="0" w:line="180" w:lineRule="exact"/>
        <w:rPr>
          <w:sz w:val="24"/>
          <w:szCs w:val="24"/>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The assumptions used and adjustments made in preparing the Statements are described in the Notes to the Unaudited Pro Forma Condensed Consolidated</w:t>
      </w:r>
    </w:p>
    <w:p>
      <w:pPr>
        <w:sectPr>
          <w:pgSz w:w="11900" w:h="16880" w:orient="portrait"/>
          <w:cols w:equalWidth="0" w:num="1">
            <w:col w:w="10219"/>
          </w:cols>
          <w:pgMar w:left="240" w:top="233" w:right="1440" w:bottom="0" w:gutter="0" w:footer="0" w:header="0"/>
          <w:type w:val="continuous"/>
        </w:sectPr>
      </w:pPr>
    </w:p>
    <w:bookmarkStart w:id="1" w:name="page2"/>
    <w:bookmarkEnd w:id="1"/>
    <w:p>
      <w:pPr>
        <w:ind w:right="3379"/>
        <w:spacing w:after="0" w:line="244" w:lineRule="auto"/>
        <w:rPr>
          <w:sz w:val="20"/>
          <w:szCs w:val="20"/>
          <w:color w:val="auto"/>
        </w:rPr>
      </w:pPr>
      <w:r>
        <w:rPr>
          <w:rFonts w:ascii="Courier New" w:cs="Courier New" w:eastAsia="Courier New" w:hAnsi="Courier New"/>
          <w:sz w:val="15"/>
          <w:szCs w:val="15"/>
          <w:color w:val="auto"/>
        </w:rPr>
        <w:t>Financial Statements contained herein (the "Notes"), which should be read in conjunction with the Statements contained herein. The Statements and related Notes contained herein should be read in conjunction with the consolidated financial statements and related notes of the Company included in its Annual Report on Form 10-K for the year ended February 2, 2002 and the Company's Quarterly Report on Form 10-Q for the period ended May 4, 2002, and the consolidated financial statements and related notes of Casual Male included above.</w:t>
      </w:r>
    </w:p>
    <w:p>
      <w:pPr>
        <w:sectPr>
          <w:pgSz w:w="11900" w:h="16838" w:orient="portrait"/>
          <w:cols w:equalWidth="0" w:num="1">
            <w:col w:w="10219"/>
          </w:cols>
          <w:pgMar w:left="240" w:top="141" w:right="1440" w:bottom="1440" w:gutter="0" w:footer="0" w:header="0"/>
        </w:sectPr>
      </w:pPr>
    </w:p>
    <w:bookmarkStart w:id="2" w:name="page3"/>
    <w:bookmarkEnd w:id="2"/>
    <w:p>
      <w:pPr>
        <w:ind w:left="5400"/>
        <w:spacing w:after="0"/>
        <w:rPr>
          <w:sz w:val="20"/>
          <w:szCs w:val="20"/>
          <w:color w:val="auto"/>
        </w:rPr>
      </w:pPr>
      <w:r>
        <w:rPr>
          <w:rFonts w:ascii="Courier New" w:cs="Courier New" w:eastAsia="Courier New" w:hAnsi="Courier New"/>
          <w:sz w:val="15"/>
          <w:szCs w:val="15"/>
          <w:color w:val="auto"/>
        </w:rPr>
        <w:t>DESIGNS, INC.</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May 4, 2002</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7"/>
        </w:trPr>
        <w:tc>
          <w:tcPr>
            <w:tcW w:w="5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Historical</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260" w:type="dxa"/>
            <w:vAlign w:val="bottom"/>
          </w:tcPr>
          <w:p>
            <w:pPr>
              <w:spacing w:after="0"/>
              <w:rPr>
                <w:sz w:val="15"/>
                <w:szCs w:val="15"/>
                <w:color w:val="auto"/>
              </w:rPr>
            </w:pPr>
          </w:p>
        </w:tc>
        <w:tc>
          <w:tcPr>
            <w:tcW w:w="31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Casual</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Designs, Inc.</w:t>
            </w:r>
          </w:p>
        </w:tc>
        <w:tc>
          <w:tcPr>
            <w:tcW w:w="1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Male Corp.</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Adjustments</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Note 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Combined</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4,974</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$ 161,004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(161,004)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278</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1,870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2,148</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69,273</w:t>
            </w:r>
          </w:p>
        </w:tc>
        <w:tc>
          <w:tcPr>
            <w:tcW w:w="1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77,848</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147,121</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1,082</w:t>
            </w:r>
          </w:p>
        </w:tc>
        <w:tc>
          <w:tcPr>
            <w:tcW w:w="1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3,012</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778</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5,887</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8,899</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(778)</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Assets held for sale</w:t>
            </w:r>
          </w:p>
        </w:tc>
        <w:tc>
          <w:tcPr>
            <w:tcW w:w="114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124,996</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(124,996)</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73,645</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135,248</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(49,453)</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159,440</w:t>
            </w: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accumulated depreciation and amortization</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20,052</w:t>
            </w:r>
          </w:p>
        </w:tc>
        <w:tc>
          <w:tcPr>
            <w:tcW w:w="1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65,474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85,526</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7,326</w:t>
            </w:r>
          </w:p>
        </w:tc>
        <w:tc>
          <w:tcPr>
            <w:tcW w:w="1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7,326</w:t>
            </w: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1,072</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57,987</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61,259</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Total assets</w:t>
            </w: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$ 102,095</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$ 135,259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76,197</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$ 313,551</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 long-term debt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35,263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820</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(35,263)</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15,367</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1,155</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25,797</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41,164</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(1,155)</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12,420</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4,132</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8,750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24,659</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3,489</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(4,132)</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Borrowings under revolver</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33,641</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45,268</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30,155</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63,796</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(45,268)</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61,428</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85,818</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(16,807)</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130,439</w:t>
            </w: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Long-term debt, net of current portion (Note 5)</w:t>
            </w:r>
          </w:p>
        </w:tc>
        <w:tc>
          <w:tcPr>
            <w:tcW w:w="114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40,911</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52,307</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11,396</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20"/>
                <w:szCs w:val="20"/>
                <w:color w:val="auto"/>
              </w:rPr>
            </w:pPr>
            <w:r>
              <w:rPr>
                <w:rFonts w:ascii="Courier New" w:cs="Courier New" w:eastAsia="Courier New" w:hAnsi="Courier New"/>
                <w:sz w:val="15"/>
                <w:szCs w:val="15"/>
                <w:color w:val="auto"/>
              </w:rPr>
              <w:t>Liabilities subject to compromise</w:t>
            </w:r>
          </w:p>
        </w:tc>
        <w:tc>
          <w:tcPr>
            <w:tcW w:w="114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148,244</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(148,244)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Total liabilities</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61,428</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234,062</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(112,744)</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182,746</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7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Preferred stock, $0.01 par value, 1,000,000 shares authorized, on a histroical</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basis none issued, on a pro forma basis 180,162</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Series B preferred issued and assumed converted to Common Stock</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ind w:left="36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ind w:left="360"/>
              <w:spacing w:after="0"/>
              <w:rPr>
                <w:sz w:val="20"/>
                <w:szCs w:val="20"/>
                <w:color w:val="auto"/>
              </w:rPr>
            </w:pPr>
            <w:r>
              <w:rPr>
                <w:rFonts w:ascii="Courier New" w:cs="Courier New" w:eastAsia="Courier New" w:hAnsi="Courier New"/>
                <w:sz w:val="15"/>
                <w:szCs w:val="15"/>
                <w:color w:val="auto"/>
              </w:rPr>
              <w:t>d</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360"/>
              <w:spacing w:after="0"/>
              <w:rPr>
                <w:sz w:val="20"/>
                <w:szCs w:val="20"/>
                <w:color w:val="auto"/>
              </w:rPr>
            </w:pPr>
            <w:r>
              <w:rPr>
                <w:rFonts w:ascii="Courier New" w:cs="Courier New" w:eastAsia="Courier New" w:hAnsi="Courier New"/>
                <w:sz w:val="15"/>
                <w:szCs w:val="15"/>
                <w:color w:val="auto"/>
              </w:rPr>
              <w:t>Common stock, $0.01 par value, 50,000,000 shares</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620"/>
              <w:spacing w:after="0"/>
              <w:rPr>
                <w:sz w:val="20"/>
                <w:szCs w:val="20"/>
                <w:color w:val="auto"/>
              </w:rPr>
            </w:pPr>
            <w:r>
              <w:rPr>
                <w:rFonts w:ascii="Courier New" w:cs="Courier New" w:eastAsia="Courier New" w:hAnsi="Courier New"/>
                <w:sz w:val="15"/>
                <w:szCs w:val="15"/>
                <w:color w:val="auto"/>
              </w:rPr>
              <w:t>authorized, 17,622,000 historical shares and</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620"/>
              <w:spacing w:after="0"/>
              <w:rPr>
                <w:sz w:val="20"/>
                <w:szCs w:val="20"/>
                <w:color w:val="auto"/>
              </w:rPr>
            </w:pPr>
            <w:r>
              <w:rPr>
                <w:rFonts w:ascii="Courier New" w:cs="Courier New" w:eastAsia="Courier New" w:hAnsi="Courier New"/>
                <w:sz w:val="15"/>
                <w:szCs w:val="15"/>
                <w:color w:val="auto"/>
              </w:rPr>
              <w:t>37,018,000 pro forma shares issued at May 4, 2002</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176</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d</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56,237</w:t>
            </w:r>
          </w:p>
        </w:tc>
        <w:tc>
          <w:tcPr>
            <w:tcW w:w="1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121,534</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92,122</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146,181</w:t>
            </w: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(121,534)</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d</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 retained earnings</w:t>
            </w:r>
          </w:p>
        </w:tc>
        <w:tc>
          <w:tcPr>
            <w:tcW w:w="11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(7,099)</w:t>
            </w: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(227,441)</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227,441</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(7,099)</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Treasury stock, 3,040,000 shares at May 4, 2002 on</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5260" w:type="dxa"/>
            <w:vAlign w:val="bottom"/>
          </w:tcPr>
          <w:p>
            <w:pPr>
              <w:ind w:left="620"/>
              <w:spacing w:after="0"/>
              <w:rPr>
                <w:sz w:val="20"/>
                <w:szCs w:val="20"/>
                <w:color w:val="auto"/>
              </w:rPr>
            </w:pPr>
            <w:r>
              <w:rPr>
                <w:rFonts w:ascii="Courier New" w:cs="Courier New" w:eastAsia="Courier New" w:hAnsi="Courier New"/>
                <w:sz w:val="15"/>
                <w:szCs w:val="15"/>
                <w:color w:val="auto"/>
              </w:rPr>
              <w:t>both a historical and pro forma basis</w:t>
            </w:r>
          </w:p>
        </w:tc>
        <w:tc>
          <w:tcPr>
            <w:tcW w:w="11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(8,450)</w:t>
            </w:r>
          </w:p>
        </w:tc>
        <w:tc>
          <w:tcPr>
            <w:tcW w:w="1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(8,450)</w:t>
            </w:r>
          </w:p>
        </w:tc>
      </w:tr>
      <w:tr>
        <w:trPr>
          <w:trHeight w:val="173"/>
        </w:trPr>
        <w:tc>
          <w:tcPr>
            <w:tcW w:w="5260" w:type="dxa"/>
            <w:vAlign w:val="bottom"/>
          </w:tcPr>
          <w:p>
            <w:pPr>
              <w:ind w:left="440"/>
              <w:spacing w:after="0"/>
              <w:rPr>
                <w:sz w:val="20"/>
                <w:szCs w:val="20"/>
                <w:color w:val="auto"/>
              </w:rPr>
            </w:pPr>
            <w:r>
              <w:rPr>
                <w:rFonts w:ascii="Courier New" w:cs="Courier New" w:eastAsia="Courier New" w:hAnsi="Courier New"/>
                <w:sz w:val="15"/>
                <w:szCs w:val="15"/>
                <w:color w:val="auto"/>
              </w:rPr>
              <w:t>Note receivable from officer</w:t>
            </w:r>
          </w:p>
        </w:tc>
        <w:tc>
          <w:tcPr>
            <w:tcW w:w="11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w:t>
            </w:r>
          </w:p>
        </w:tc>
        <w:tc>
          <w:tcPr>
            <w:tcW w:w="1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ind w:left="900"/>
              <w:spacing w:after="0"/>
              <w:rPr>
                <w:sz w:val="20"/>
                <w:szCs w:val="20"/>
                <w:color w:val="auto"/>
              </w:rPr>
            </w:pPr>
            <w:r>
              <w:rPr>
                <w:rFonts w:ascii="Courier New" w:cs="Courier New" w:eastAsia="Courier New" w:hAnsi="Courier New"/>
                <w:sz w:val="15"/>
                <w:szCs w:val="15"/>
                <w:color w:val="auto"/>
              </w:rPr>
              <w:t>Total stockholders' equity</w:t>
            </w:r>
          </w:p>
        </w:tc>
        <w:tc>
          <w:tcPr>
            <w:tcW w:w="11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40,667</w:t>
            </w:r>
          </w:p>
        </w:tc>
        <w:tc>
          <w:tcPr>
            <w:tcW w:w="1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(98,803)</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188,941</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130,805</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260" w:type="dxa"/>
            <w:vAlign w:val="bottom"/>
          </w:tcPr>
          <w:p>
            <w:pPr>
              <w:ind w:left="13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$ 102,095</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$ 135,259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76,197</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$ 313,551</w:t>
            </w:r>
          </w:p>
        </w:tc>
      </w:tr>
      <w:tr>
        <w:trPr>
          <w:trHeight w:val="173"/>
        </w:trPr>
        <w:tc>
          <w:tcPr>
            <w:tcW w:w="5260" w:type="dxa"/>
            <w:vAlign w:val="bottom"/>
          </w:tcPr>
          <w:p>
            <w:pPr>
              <w:spacing w:after="0"/>
              <w:rPr>
                <w:sz w:val="15"/>
                <w:szCs w:val="15"/>
                <w:color w:val="auto"/>
              </w:rPr>
            </w:pPr>
          </w:p>
        </w:tc>
        <w:tc>
          <w:tcPr>
            <w:tcW w:w="20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ectPr>
          <w:pgSz w:w="11900" w:h="16838" w:orient="portrait"/>
          <w:cols w:equalWidth="0" w:num="1">
            <w:col w:w="11520"/>
          </w:cols>
          <w:pgMar w:left="240" w:top="1158" w:right="139" w:bottom="382" w:gutter="0" w:footer="0" w:header="0"/>
        </w:sectPr>
      </w:pPr>
    </w:p>
    <w:bookmarkStart w:id="3" w:name="page4"/>
    <w:bookmarkEnd w:id="3"/>
    <w:p>
      <w:pPr>
        <w:ind w:left="2700"/>
        <w:spacing w:after="0"/>
        <w:rPr>
          <w:sz w:val="20"/>
          <w:szCs w:val="20"/>
          <w:color w:val="auto"/>
        </w:rPr>
      </w:pPr>
      <w:r>
        <w:rPr>
          <w:rFonts w:ascii="Courier New" w:cs="Courier New" w:eastAsia="Courier New" w:hAnsi="Courier New"/>
          <w:sz w:val="15"/>
          <w:szCs w:val="15"/>
          <w:color w:val="auto"/>
        </w:rPr>
        <w:t>UNAUDITED PRO FORMA CONDENSED CONSOLIDATED STATEMENTS OF OPERATIONS</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For the three months ended May 4, 2002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4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Historical</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4680" w:type="dxa"/>
            <w:vAlign w:val="bottom"/>
          </w:tcPr>
          <w:p>
            <w:pPr>
              <w:spacing w:after="0"/>
              <w:rPr>
                <w:sz w:val="15"/>
                <w:szCs w:val="15"/>
                <w:color w:val="auto"/>
              </w:rPr>
            </w:pPr>
          </w:p>
        </w:tc>
        <w:tc>
          <w:tcPr>
            <w:tcW w:w="3380" w:type="dxa"/>
            <w:vAlign w:val="bottom"/>
            <w:gridSpan w:val="4"/>
          </w:tcPr>
          <w:p>
            <w:pPr>
              <w:ind w:left="10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Casual</w:t>
            </w: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Designs, Inc.</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Male Corp.</w:t>
            </w: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Note 4</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680" w:type="dxa"/>
            <w:vAlign w:val="bottom"/>
          </w:tcPr>
          <w:p>
            <w:pPr>
              <w:spacing w:after="0"/>
              <w:rPr>
                <w:sz w:val="15"/>
                <w:szCs w:val="15"/>
                <w:color w:val="auto"/>
              </w:rPr>
            </w:pPr>
          </w:p>
        </w:tc>
        <w:tc>
          <w:tcPr>
            <w:tcW w:w="230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4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36,441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78,371</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4"/>
                <w:szCs w:val="2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$ 114,812</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goods sold including occupancy</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28,448</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35,494</w:t>
            </w:r>
          </w:p>
        </w:tc>
        <w:tc>
          <w:tcPr>
            <w:tcW w:w="280" w:type="dxa"/>
            <w:vAlign w:val="bottom"/>
          </w:tcPr>
          <w:p>
            <w:pPr>
              <w:spacing w:after="0"/>
              <w:rPr>
                <w:sz w:val="15"/>
                <w:szCs w:val="15"/>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9,715</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a</w:t>
            </w: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73,657</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7,993</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42,877</w:t>
            </w:r>
          </w:p>
        </w:tc>
        <w:tc>
          <w:tcPr>
            <w:tcW w:w="2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(9,715)</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41,155</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9,077</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37,904</w:t>
            </w:r>
          </w:p>
        </w:tc>
        <w:tc>
          <w:tcPr>
            <w:tcW w:w="2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(9,715)</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a</w:t>
            </w: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37,266</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Reorganization costs</w:t>
            </w:r>
          </w:p>
        </w:tc>
        <w:tc>
          <w:tcPr>
            <w:tcW w:w="144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2,098</w:t>
            </w:r>
          </w:p>
        </w:tc>
        <w:tc>
          <w:tcPr>
            <w:tcW w:w="2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(2,098)</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b</w:t>
            </w:r>
          </w:p>
        </w:tc>
        <w:tc>
          <w:tcPr>
            <w:tcW w:w="30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1,411</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2,254</w:t>
            </w:r>
          </w:p>
        </w:tc>
        <w:tc>
          <w:tcPr>
            <w:tcW w:w="2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(554)</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c</w:t>
            </w: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3,111</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10,488</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42,256</w:t>
            </w:r>
          </w:p>
        </w:tc>
        <w:tc>
          <w:tcPr>
            <w:tcW w:w="2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(12,367)</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40,377</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44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(2,495)</w:t>
            </w:r>
          </w:p>
        </w:tc>
        <w:tc>
          <w:tcPr>
            <w:tcW w:w="22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621</w:t>
            </w:r>
          </w:p>
        </w:tc>
        <w:tc>
          <w:tcPr>
            <w:tcW w:w="280" w:type="dxa"/>
            <w:vAlign w:val="bottom"/>
          </w:tcPr>
          <w:p>
            <w:pPr>
              <w:spacing w:after="0"/>
              <w:rPr>
                <w:sz w:val="24"/>
                <w:szCs w:val="2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2,652</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778</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440" w:type="dxa"/>
            <w:vAlign w:val="bottom"/>
          </w:tcPr>
          <w:p>
            <w:pPr>
              <w:spacing w:after="0"/>
              <w:rPr>
                <w:sz w:val="24"/>
                <w:szCs w:val="2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353</w:t>
            </w:r>
          </w:p>
        </w:tc>
        <w:tc>
          <w:tcPr>
            <w:tcW w:w="22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2,546</w:t>
            </w:r>
          </w:p>
        </w:tc>
        <w:tc>
          <w:tcPr>
            <w:tcW w:w="280" w:type="dxa"/>
            <w:vAlign w:val="bottom"/>
          </w:tcPr>
          <w:p>
            <w:pPr>
              <w:spacing w:after="0"/>
              <w:rPr>
                <w:sz w:val="24"/>
                <w:szCs w:val="2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158</w:t>
            </w:r>
          </w:p>
        </w:tc>
        <w:tc>
          <w:tcPr>
            <w:tcW w:w="960" w:type="dxa"/>
            <w:vAlign w:val="bottom"/>
          </w:tcPr>
          <w:p>
            <w:pPr>
              <w:ind w:left="600"/>
              <w:spacing w:after="0"/>
              <w:rPr>
                <w:sz w:val="20"/>
                <w:szCs w:val="20"/>
                <w:color w:val="auto"/>
              </w:rPr>
            </w:pPr>
            <w:r>
              <w:rPr>
                <w:rFonts w:ascii="Courier New" w:cs="Courier New" w:eastAsia="Courier New" w:hAnsi="Courier New"/>
                <w:sz w:val="15"/>
                <w:szCs w:val="15"/>
                <w:color w:val="auto"/>
              </w:rPr>
              <w:t>d</w:t>
            </w:r>
          </w:p>
        </w:tc>
        <w:tc>
          <w:tcPr>
            <w:tcW w:w="30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3,057</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44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(2,848)</w:t>
            </w:r>
          </w:p>
        </w:tc>
        <w:tc>
          <w:tcPr>
            <w:tcW w:w="22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(1,925)</w:t>
            </w:r>
          </w:p>
        </w:tc>
        <w:tc>
          <w:tcPr>
            <w:tcW w:w="280" w:type="dxa"/>
            <w:vAlign w:val="bottom"/>
          </w:tcPr>
          <w:p>
            <w:pPr>
              <w:spacing w:after="0"/>
              <w:rPr>
                <w:sz w:val="24"/>
                <w:szCs w:val="2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2,494</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(2,279)</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44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(1,053)</w:t>
            </w:r>
          </w:p>
        </w:tc>
        <w:tc>
          <w:tcPr>
            <w:tcW w:w="22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1,053</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4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(1,795)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(1,925)</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1,441</w:t>
            </w:r>
          </w:p>
        </w:tc>
        <w:tc>
          <w:tcPr>
            <w:tcW w:w="9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(2,279)</w:t>
            </w:r>
          </w:p>
        </w:tc>
      </w:tr>
      <w:tr>
        <w:trPr>
          <w:trHeight w:val="173"/>
        </w:trPr>
        <w:tc>
          <w:tcPr>
            <w:tcW w:w="4680" w:type="dxa"/>
            <w:vAlign w:val="bottom"/>
          </w:tcPr>
          <w:p>
            <w:pPr>
              <w:spacing w:after="0"/>
              <w:rPr>
                <w:sz w:val="15"/>
                <w:szCs w:val="15"/>
                <w:color w:val="auto"/>
              </w:rPr>
            </w:pPr>
          </w:p>
        </w:tc>
        <w:tc>
          <w:tcPr>
            <w:tcW w:w="23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loss per share - basic</w:t>
            </w:r>
          </w:p>
        </w:tc>
        <w:tc>
          <w:tcPr>
            <w:tcW w:w="14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loss per share - diluted</w:t>
            </w:r>
          </w:p>
        </w:tc>
        <w:tc>
          <w:tcPr>
            <w:tcW w:w="14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0.14)</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347"/>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 preferred shares outstanding:</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14,576</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14,206</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36,187</w:t>
            </w:r>
          </w:p>
        </w:tc>
      </w:tr>
      <w:tr>
        <w:trPr>
          <w:trHeight w:val="173"/>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44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14,576</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14,206</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36,187</w:t>
            </w:r>
          </w:p>
        </w:tc>
      </w:tr>
    </w:tbl>
    <w:p>
      <w:pPr>
        <w:spacing w:after="0" w:line="17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ectPr>
          <w:pgSz w:w="11900" w:h="16838" w:orient="portrait"/>
          <w:cols w:equalWidth="0" w:num="1">
            <w:col w:w="11440"/>
          </w:cols>
          <w:pgMar w:left="240" w:top="1158" w:right="219" w:bottom="1440" w:gutter="0" w:footer="0" w:header="0"/>
        </w:sectPr>
      </w:pPr>
    </w:p>
    <w:bookmarkStart w:id="4" w:name="page5"/>
    <w:bookmarkEnd w:id="4"/>
    <w:p>
      <w:pPr>
        <w:jc w:val="center"/>
        <w:ind w:right="1880"/>
        <w:spacing w:after="0"/>
        <w:rPr>
          <w:sz w:val="20"/>
          <w:szCs w:val="20"/>
          <w:color w:val="auto"/>
        </w:rPr>
      </w:pPr>
      <w:r>
        <w:rPr>
          <w:rFonts w:ascii="Courier New" w:cs="Courier New" w:eastAsia="Courier New" w:hAnsi="Courier New"/>
          <w:sz w:val="15"/>
          <w:szCs w:val="15"/>
          <w:color w:val="auto"/>
        </w:rPr>
        <w:t>DESIGNS, INC.</w:t>
      </w:r>
    </w:p>
    <w:p>
      <w:pPr>
        <w:spacing w:after="0" w:line="3" w:lineRule="exact"/>
        <w:rPr>
          <w:sz w:val="20"/>
          <w:szCs w:val="20"/>
          <w:color w:val="auto"/>
        </w:rPr>
      </w:pPr>
    </w:p>
    <w:p>
      <w:pPr>
        <w:jc w:val="center"/>
        <w:ind w:right="1700"/>
        <w:spacing w:after="0"/>
        <w:rPr>
          <w:sz w:val="20"/>
          <w:szCs w:val="20"/>
          <w:color w:val="auto"/>
        </w:rPr>
      </w:pPr>
      <w:r>
        <w:rPr>
          <w:rFonts w:ascii="Courier New" w:cs="Courier New" w:eastAsia="Courier New" w:hAnsi="Courier New"/>
          <w:sz w:val="15"/>
          <w:szCs w:val="15"/>
          <w:color w:val="auto"/>
        </w:rPr>
        <w:t>UNAUDITED PRO FORMA CONDENSED CONSOLIDATED STATEMENTS OF OPERATIONS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For the fiscal year ended February 2, 2002</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7"/>
        </w:trPr>
        <w:tc>
          <w:tcPr>
            <w:tcW w:w="5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gridSpan w:val="3"/>
          </w:tcPr>
          <w:p>
            <w:pPr>
              <w:jc w:val="right"/>
              <w:ind w:right="705"/>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284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Casual</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Pro Forma</w:t>
            </w:r>
          </w:p>
        </w:tc>
        <w:tc>
          <w:tcPr>
            <w:tcW w:w="920" w:type="dxa"/>
            <w:vAlign w:val="bottom"/>
          </w:tcPr>
          <w:p>
            <w:pPr>
              <w:spacing w:after="0"/>
              <w:rPr>
                <w:sz w:val="15"/>
                <w:szCs w:val="15"/>
                <w:color w:val="auto"/>
              </w:rPr>
            </w:pP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Designs, Inc.</w:t>
            </w:r>
          </w:p>
        </w:tc>
        <w:tc>
          <w:tcPr>
            <w:tcW w:w="180" w:type="dxa"/>
            <w:vAlign w:val="bottom"/>
          </w:tcPr>
          <w:p>
            <w:pPr>
              <w:spacing w:after="0"/>
              <w:rPr>
                <w:sz w:val="15"/>
                <w:szCs w:val="15"/>
                <w:color w:val="auto"/>
              </w:rPr>
            </w:pPr>
          </w:p>
        </w:tc>
        <w:tc>
          <w:tcPr>
            <w:tcW w:w="23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Male Corp. Adjustments</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Note 4</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20" w:type="dxa"/>
            <w:vAlign w:val="bottom"/>
          </w:tcPr>
          <w:p>
            <w:pPr>
              <w:spacing w:after="0"/>
              <w:rPr>
                <w:sz w:val="15"/>
                <w:szCs w:val="15"/>
                <w:color w:val="auto"/>
              </w:rPr>
            </w:pPr>
          </w:p>
        </w:tc>
        <w:tc>
          <w:tcPr>
            <w:tcW w:w="17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53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$ 195,119</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$ 430,807</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(98,275)</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a</w:t>
            </w: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$ 527,651</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 of goods sold including occupancy</w:t>
            </w:r>
          </w:p>
        </w:tc>
        <w:tc>
          <w:tcPr>
            <w:tcW w:w="7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147,898</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246,468</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(48,693)</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a</w:t>
            </w: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345,673</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7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47,221</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184,339</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(49,582)</w:t>
            </w:r>
          </w:p>
        </w:tc>
        <w:tc>
          <w:tcPr>
            <w:tcW w:w="920" w:type="dxa"/>
            <w:vAlign w:val="bottom"/>
          </w:tcPr>
          <w:p>
            <w:pPr>
              <w:spacing w:after="0"/>
              <w:rPr>
                <w:sz w:val="15"/>
                <w:szCs w:val="15"/>
                <w:color w:val="auto"/>
              </w:rPr>
            </w:pP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181,978</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72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39,743</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190,585</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(72,111)</w:t>
            </w:r>
          </w:p>
        </w:tc>
        <w:tc>
          <w:tcPr>
            <w:tcW w:w="920" w:type="dxa"/>
            <w:vAlign w:val="bottom"/>
          </w:tcPr>
          <w:p>
            <w:pPr>
              <w:ind w:left="640"/>
              <w:spacing w:after="0"/>
              <w:rPr>
                <w:sz w:val="20"/>
                <w:szCs w:val="20"/>
                <w:color w:val="auto"/>
              </w:rPr>
            </w:pPr>
            <w:r>
              <w:rPr>
                <w:rFonts w:ascii="Courier New" w:cs="Courier New" w:eastAsia="Courier New" w:hAnsi="Courier New"/>
                <w:sz w:val="15"/>
                <w:szCs w:val="15"/>
                <w:color w:val="auto"/>
              </w:rPr>
              <w:t>a</w:t>
            </w: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158,217</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Reorganization costs</w:t>
            </w:r>
          </w:p>
        </w:tc>
        <w:tc>
          <w:tcPr>
            <w:tcW w:w="720" w:type="dxa"/>
            <w:vAlign w:val="bottom"/>
          </w:tcPr>
          <w:p>
            <w:pPr>
              <w:spacing w:after="0"/>
              <w:rPr>
                <w:sz w:val="15"/>
                <w:szCs w:val="15"/>
                <w:color w:val="auto"/>
              </w:rPr>
            </w:pP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37,974</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(35,574)</w:t>
            </w:r>
          </w:p>
        </w:tc>
        <w:tc>
          <w:tcPr>
            <w:tcW w:w="920" w:type="dxa"/>
            <w:vAlign w:val="bottom"/>
          </w:tcPr>
          <w:p>
            <w:pPr>
              <w:ind w:left="64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Provision for impairment of assets</w:t>
            </w:r>
          </w:p>
        </w:tc>
        <w:tc>
          <w:tcPr>
            <w:tcW w:w="720" w:type="dxa"/>
            <w:vAlign w:val="bottom"/>
          </w:tcPr>
          <w:p>
            <w:pPr>
              <w:spacing w:after="0"/>
              <w:rPr>
                <w:sz w:val="15"/>
                <w:szCs w:val="15"/>
                <w:color w:val="auto"/>
              </w:rPr>
            </w:pP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12,292</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(12,292)</w:t>
            </w:r>
          </w:p>
        </w:tc>
        <w:tc>
          <w:tcPr>
            <w:tcW w:w="920" w:type="dxa"/>
            <w:vAlign w:val="bottom"/>
          </w:tcPr>
          <w:p>
            <w:pPr>
              <w:ind w:left="640"/>
              <w:spacing w:after="0"/>
              <w:rPr>
                <w:sz w:val="20"/>
                <w:szCs w:val="20"/>
                <w:color w:val="auto"/>
              </w:rPr>
            </w:pPr>
            <w:r>
              <w:rPr>
                <w:rFonts w:ascii="Courier New" w:cs="Courier New" w:eastAsia="Courier New" w:hAnsi="Courier New"/>
                <w:sz w:val="15"/>
                <w:szCs w:val="15"/>
                <w:color w:val="auto"/>
              </w:rPr>
              <w:t>b</w:t>
            </w: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72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5,398</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12,633</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(5,832)</w:t>
            </w:r>
          </w:p>
        </w:tc>
        <w:tc>
          <w:tcPr>
            <w:tcW w:w="920" w:type="dxa"/>
            <w:vAlign w:val="bottom"/>
          </w:tcPr>
          <w:p>
            <w:pPr>
              <w:ind w:left="640"/>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12,199</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720" w:type="dxa"/>
            <w:vAlign w:val="bottom"/>
          </w:tcPr>
          <w:p>
            <w:pPr>
              <w:spacing w:after="0"/>
              <w:rPr>
                <w:sz w:val="24"/>
                <w:szCs w:val="2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45,141</w:t>
            </w:r>
          </w:p>
        </w:tc>
        <w:tc>
          <w:tcPr>
            <w:tcW w:w="180" w:type="dxa"/>
            <w:vAlign w:val="bottom"/>
          </w:tcPr>
          <w:p>
            <w:pPr>
              <w:spacing w:after="0"/>
              <w:rPr>
                <w:sz w:val="24"/>
                <w:szCs w:val="2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253,484</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(125,809)</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172,816</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720" w:type="dxa"/>
            <w:vAlign w:val="bottom"/>
          </w:tcPr>
          <w:p>
            <w:pPr>
              <w:spacing w:after="0"/>
              <w:rPr>
                <w:sz w:val="24"/>
                <w:szCs w:val="2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w:t>
            </w:r>
          </w:p>
        </w:tc>
        <w:tc>
          <w:tcPr>
            <w:tcW w:w="180" w:type="dxa"/>
            <w:vAlign w:val="bottom"/>
          </w:tcPr>
          <w:p>
            <w:pPr>
              <w:spacing w:after="0"/>
              <w:rPr>
                <w:sz w:val="24"/>
                <w:szCs w:val="24"/>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(69,145)</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76,227</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9,162</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720" w:type="dxa"/>
            <w:vAlign w:val="bottom"/>
          </w:tcPr>
          <w:p>
            <w:pPr>
              <w:spacing w:after="0"/>
              <w:rPr>
                <w:sz w:val="24"/>
                <w:szCs w:val="2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1,905</w:t>
            </w:r>
          </w:p>
        </w:tc>
        <w:tc>
          <w:tcPr>
            <w:tcW w:w="180" w:type="dxa"/>
            <w:vAlign w:val="bottom"/>
          </w:tcPr>
          <w:p>
            <w:pPr>
              <w:spacing w:after="0"/>
              <w:rPr>
                <w:sz w:val="24"/>
                <w:szCs w:val="24"/>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13,671</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(1,363)</w:t>
            </w:r>
          </w:p>
        </w:tc>
        <w:tc>
          <w:tcPr>
            <w:tcW w:w="920" w:type="dxa"/>
            <w:vAlign w:val="bottom"/>
          </w:tcPr>
          <w:p>
            <w:pPr>
              <w:ind w:left="640"/>
              <w:spacing w:after="0"/>
              <w:rPr>
                <w:sz w:val="20"/>
                <w:szCs w:val="20"/>
                <w:color w:val="auto"/>
              </w:rPr>
            </w:pPr>
            <w:r>
              <w:rPr>
                <w:rFonts w:ascii="Courier New" w:cs="Courier New" w:eastAsia="Courier New" w:hAnsi="Courier New"/>
                <w:sz w:val="15"/>
                <w:szCs w:val="15"/>
                <w:color w:val="auto"/>
              </w:rPr>
              <w:t>d</w:t>
            </w:r>
          </w:p>
        </w:tc>
        <w:tc>
          <w:tcPr>
            <w:tcW w:w="36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14,213</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720" w:type="dxa"/>
            <w:vAlign w:val="bottom"/>
          </w:tcPr>
          <w:p>
            <w:pPr>
              <w:spacing w:after="0"/>
              <w:rPr>
                <w:sz w:val="24"/>
                <w:szCs w:val="2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24"/>
                <w:szCs w:val="24"/>
                <w:color w:val="auto"/>
              </w:rPr>
            </w:pP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(82,816)</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77,590</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(5,051)</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5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8,056</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304</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(304)</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8,056</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(7,881)</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7"/>
              </w:rPr>
              <w:t>$ (83,120)</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77,894</w:t>
            </w:r>
          </w:p>
        </w:tc>
        <w:tc>
          <w:tcPr>
            <w:tcW w:w="9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(13,107)</w:t>
            </w:r>
          </w:p>
        </w:tc>
      </w:tr>
      <w:tr>
        <w:trPr>
          <w:trHeight w:val="173"/>
        </w:trPr>
        <w:tc>
          <w:tcPr>
            <w:tcW w:w="5320" w:type="dxa"/>
            <w:vAlign w:val="bottom"/>
          </w:tcPr>
          <w:p>
            <w:pPr>
              <w:spacing w:after="0"/>
              <w:rPr>
                <w:sz w:val="15"/>
                <w:szCs w:val="15"/>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(loss) income per share - basic</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5.85)</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(loss) income per share - diluted</w:t>
            </w:r>
          </w:p>
        </w:tc>
        <w:tc>
          <w:tcPr>
            <w:tcW w:w="720" w:type="dxa"/>
            <w:vAlign w:val="bottom"/>
          </w:tcPr>
          <w:p>
            <w:pPr>
              <w:ind w:left="5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5.85)</w:t>
            </w: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0.36)</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preferred shares</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7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14,486</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14,206</w:t>
            </w: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36,096</w:t>
            </w:r>
          </w:p>
        </w:tc>
      </w:tr>
      <w:tr>
        <w:trPr>
          <w:trHeight w:val="173"/>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7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14,486</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14,206</w:t>
            </w: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36,674</w:t>
            </w:r>
          </w:p>
        </w:tc>
      </w:tr>
    </w:tbl>
    <w:p>
      <w:pPr>
        <w:spacing w:after="0" w:line="177"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ectPr>
          <w:pgSz w:w="11900" w:h="16838" w:orient="portrait"/>
          <w:cols w:equalWidth="0" w:num="1">
            <w:col w:w="11520"/>
          </w:cols>
          <w:pgMar w:left="240" w:top="1158" w:right="139" w:bottom="1440" w:gutter="0" w:footer="0" w:header="0"/>
        </w:sectPr>
      </w:pPr>
    </w:p>
    <w:bookmarkStart w:id="5" w:name="page6"/>
    <w:bookmarkEnd w:id="5"/>
    <w:p>
      <w:pPr>
        <w:jc w:val="center"/>
        <w:ind w:right="2932"/>
        <w:spacing w:after="0"/>
        <w:rPr>
          <w:sz w:val="20"/>
          <w:szCs w:val="20"/>
          <w:color w:val="auto"/>
        </w:rPr>
      </w:pPr>
      <w:r>
        <w:rPr>
          <w:rFonts w:ascii="Courier New" w:cs="Courier New" w:eastAsia="Courier New" w:hAnsi="Courier New"/>
          <w:sz w:val="15"/>
          <w:szCs w:val="15"/>
          <w:color w:val="auto"/>
        </w:rPr>
        <w:t>DESIGNS, INC.</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Notes to Unaudited Pro Forma Condensed Consolidated Financial Information</w:t>
      </w:r>
    </w:p>
    <w:p>
      <w:pPr>
        <w:spacing w:after="0" w:line="177" w:lineRule="exact"/>
        <w:rPr>
          <w:sz w:val="20"/>
          <w:szCs w:val="20"/>
          <w:color w:val="auto"/>
        </w:rPr>
      </w:pPr>
    </w:p>
    <w:p>
      <w:pPr>
        <w:ind w:left="728" w:hanging="728"/>
        <w:spacing w:after="0"/>
        <w:tabs>
          <w:tab w:leader="none" w:pos="7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4"/>
          <w:szCs w:val="14"/>
          <w:color w:val="auto"/>
        </w:rPr>
        <w:t>The unaudited pro forma financial information included herein gives effect to the acquisition by Designs, Inc. (now known as Casual Male Retail Group, Inc) (the "Company") of substantially all the assets Casual Male Corp. and certain of its subsidiaries ("Casual Male"). The Unaudited Pro Forma Condensed Consolidated Statements of Operations for the three months ended May 4, 2002 and the year ended February 2, 2002 are based on historical data as reported by the separate companies, and reflect adjustments prepared as if the acquisition had occurred on February 4, 2001. The Unaudited Pro Forma Condensed Consolidated Balance Sheet is based on historical data as reported by the separate companies, and reflects adjustments prepared as if the acquisition had occurred on May 4, 2002.</w:t>
      </w:r>
    </w:p>
    <w:p>
      <w:pPr>
        <w:spacing w:after="0" w:line="16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acquisition of Casual Male has been accounted for using the purchase method of accounting. Accordingly, the assets acquired and liabilities assumed have been recorded at their estimated fair values, with appropriate recognition given to the Company's borrowing rates, accounting policies, and income taxes. The Company's management does not expect that the final allocation of the purchase price for the acquisition of Casual Male will differ materially from the allocations used to prepare the unaudited pro forma financial information presented herein.</w:t>
      </w:r>
    </w:p>
    <w:p>
      <w:pPr>
        <w:spacing w:after="0" w:line="178" w:lineRule="exact"/>
        <w:rPr>
          <w:sz w:val="20"/>
          <w:szCs w:val="20"/>
          <w:color w:val="auto"/>
        </w:rPr>
      </w:pPr>
    </w:p>
    <w:p>
      <w:pPr>
        <w:ind w:left="728" w:hanging="728"/>
        <w:spacing w:after="0"/>
        <w:tabs>
          <w:tab w:leader="none" w:pos="72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Acquisition</w:t>
      </w:r>
    </w:p>
    <w:p>
      <w:pPr>
        <w:spacing w:after="0" w:line="178"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4"/>
          <w:szCs w:val="14"/>
          <w:color w:val="auto"/>
        </w:rPr>
        <w:t>On May 14, 2002, the Company completed the acquisition of substantially all of the operating assets of Casual Male, including the retail stores and the catalog and e-commerce business, for a purchase price of approximately $170 million plus the assumption of certain operating liabilities. The acquisition was pursuant to an Asset Purchase Agreement entered into as of May 2, 2002 (the "Asset Purchase Agreement") by and among Designs, Inc. and Casual Male. The Company was selected as the highest and best bidder for the Casual Male assets at a bankruptcy court ordered auction commencing May 1, 2002 and concluded on May 2, 2002. The U.S. Bankruptcy Court for the Southern District of New York subsequently granted its approval for the acquisition of Casual Male by the Company on May 7, 2002.</w:t>
      </w:r>
    </w:p>
    <w:p>
      <w:pPr>
        <w:spacing w:after="0" w:line="16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Casual Male acquisition, along with the payment of certain related fees and expenses, was completed with funds provided by: (i) approximately $30.2 million in additional borrowings from the Company's amended three year $120.0 million senior secured credit facility with the Company's bank, Fleet Retail Finance, Inc. ("FRFI"), (ii) $15.0 million in a three year term loan with a subsidiary of FRFI, (iii) proceeds from the private placement of $24.5 million principal amount of 12% senior subordinated notes due 2007 together with detachable warrants to acquire 1,715,000 shares of the Company's Common Stock, par value $.01 per share ("Common Stock"), at an exercise price of $.01 per share, and additional detachable warrants to acquire 1,176,471 shares of Common Stock at an exercise price of $8.50 per share, (iv) $11.0 million principal amount of 5% senior subordinated notes due 2007, (v) approximately $82.5 million of proceeds from the private placement of approximately 1.4 million shares of Common Stock and 180,162 shares of newly designated Series B Convertible Preferred Stock, par value $0.01 per share ("Series B Preferred Stock") (equivalent to approximately 18.0 million shares of Common Stock, conditioned upon shareholder approval for conversion), and (vi) the assumption of a mortgage note in the principal amount of approximately $12.2 million.</w:t>
      </w:r>
    </w:p>
    <w:p>
      <w:pPr>
        <w:spacing w:after="0" w:line="18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On August 8, 2002, at the Company's Annual Meeting of Stockholders, the stockholders approved the convertibility of the Series B Preferred Stock and the exercisability of certain such warrants. Accordingly, on August 8, 2002, the 180,162 shares of Series B Preferred Stock was automatically converted into 18,016,200 shares of Common Stock and the warrants became immediately exercisable, subject to certain rights to require registration under the Securities Act of 1933, as amended.</w:t>
      </w:r>
    </w:p>
    <w:p>
      <w:pPr>
        <w:sectPr>
          <w:pgSz w:w="11900" w:h="16838" w:orient="portrait"/>
          <w:cols w:equalWidth="0" w:num="1">
            <w:col w:w="10227"/>
          </w:cols>
          <w:pgMar w:left="232" w:top="638" w:right="1440" w:bottom="1440" w:gutter="0" w:footer="0" w:header="0"/>
        </w:sectPr>
      </w:pPr>
    </w:p>
    <w:bookmarkStart w:id="6" w:name="page7"/>
    <w:bookmarkEnd w:id="6"/>
    <w:p>
      <w:pPr>
        <w:ind w:left="728" w:hanging="728"/>
        <w:spacing w:after="0"/>
        <w:tabs>
          <w:tab w:leader="none" w:pos="7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as of May 4, 2002</w:t>
      </w:r>
    </w:p>
    <w:p>
      <w:pPr>
        <w:spacing w:after="0" w:line="178" w:lineRule="exact"/>
        <w:rPr>
          <w:sz w:val="20"/>
          <w:szCs w:val="20"/>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The pro forma adjustments to the unaudited pro forma condensed consolidated balance sheet reflect the purchase of Casual Male and the allocation of the pro forma purchase price to the acquired assets and the assumed liabilities based on the preliminary estimate of their fair market value at the date of acquisition.</w:t>
      </w:r>
    </w:p>
    <w:p>
      <w:pPr>
        <w:spacing w:after="0" w:line="161" w:lineRule="exact"/>
        <w:rPr>
          <w:sz w:val="20"/>
          <w:szCs w:val="20"/>
          <w:color w:val="auto"/>
        </w:rPr>
      </w:pPr>
    </w:p>
    <w:p>
      <w:pPr>
        <w:ind w:left="728" w:right="3199" w:hanging="728"/>
        <w:spacing w:after="0" w:line="243" w:lineRule="auto"/>
        <w:tabs>
          <w:tab w:leader="none" w:pos="7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reflects the funds raised in connection with the Casual Male acquisition, as follows (in thousands):</w:t>
      </w:r>
    </w:p>
    <w:p>
      <w:pPr>
        <w:spacing w:after="0" w:line="175" w:lineRule="exact"/>
        <w:rPr>
          <w:sz w:val="20"/>
          <w:szCs w:val="20"/>
          <w:color w:val="auto"/>
        </w:rPr>
      </w:pPr>
    </w:p>
    <w:p>
      <w:pPr>
        <w:ind w:left="988" w:hanging="447"/>
        <w:spacing w:after="0"/>
        <w:tabs>
          <w:tab w:leader="none" w:pos="9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30,155Borrowings under a senior secured credit facility with</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FRFI.</w:t>
      </w:r>
    </w:p>
    <w:p>
      <w:pPr>
        <w:spacing w:after="0" w:line="3" w:lineRule="exact"/>
        <w:rPr>
          <w:sz w:val="20"/>
          <w:szCs w:val="20"/>
          <w:color w:val="auto"/>
        </w:rPr>
      </w:pPr>
    </w:p>
    <w:p>
      <w:pPr>
        <w:ind w:left="988"/>
        <w:spacing w:after="0"/>
        <w:tabs>
          <w:tab w:leader="none" w:pos="2227" w:val="left"/>
        </w:tabs>
        <w:rPr>
          <w:sz w:val="20"/>
          <w:szCs w:val="20"/>
          <w:color w:val="auto"/>
        </w:rPr>
      </w:pPr>
      <w:r>
        <w:rPr>
          <w:rFonts w:ascii="Courier New" w:cs="Courier New" w:eastAsia="Courier New" w:hAnsi="Courier New"/>
          <w:sz w:val="15"/>
          <w:szCs w:val="15"/>
          <w:color w:val="auto"/>
        </w:rPr>
        <w:t>15,000</w:t>
      </w:r>
      <w:r>
        <w:rPr>
          <w:sz w:val="20"/>
          <w:szCs w:val="20"/>
          <w:color w:val="auto"/>
        </w:rPr>
        <w:tab/>
      </w:r>
      <w:r>
        <w:rPr>
          <w:rFonts w:ascii="Courier New" w:cs="Courier New" w:eastAsia="Courier New" w:hAnsi="Courier New"/>
          <w:sz w:val="15"/>
          <w:szCs w:val="15"/>
          <w:color w:val="auto"/>
        </w:rPr>
        <w:t>Term loan with a subsidiary of FRFI, Back Bay Capital.</w:t>
      </w:r>
    </w:p>
    <w:p>
      <w:pPr>
        <w:spacing w:after="0" w:line="3" w:lineRule="exact"/>
        <w:rPr>
          <w:sz w:val="20"/>
          <w:szCs w:val="20"/>
          <w:color w:val="auto"/>
        </w:rPr>
      </w:pPr>
    </w:p>
    <w:p>
      <w:pPr>
        <w:ind w:left="988"/>
        <w:spacing w:after="0"/>
        <w:tabs>
          <w:tab w:leader="none" w:pos="2227" w:val="left"/>
        </w:tabs>
        <w:rPr>
          <w:sz w:val="20"/>
          <w:szCs w:val="20"/>
          <w:color w:val="auto"/>
        </w:rPr>
      </w:pPr>
      <w:r>
        <w:rPr>
          <w:rFonts w:ascii="Courier New" w:cs="Courier New" w:eastAsia="Courier New" w:hAnsi="Courier New"/>
          <w:sz w:val="15"/>
          <w:szCs w:val="15"/>
          <w:color w:val="auto"/>
        </w:rPr>
        <w:t>11,000</w:t>
      </w:r>
      <w:r>
        <w:rPr>
          <w:sz w:val="20"/>
          <w:szCs w:val="20"/>
          <w:color w:val="auto"/>
        </w:rPr>
        <w:tab/>
      </w:r>
      <w:r>
        <w:rPr>
          <w:rFonts w:ascii="Courier New" w:cs="Courier New" w:eastAsia="Courier New" w:hAnsi="Courier New"/>
          <w:sz w:val="15"/>
          <w:szCs w:val="15"/>
          <w:color w:val="auto"/>
        </w:rPr>
        <w:t>Principal amount of 5% senior subordinated notes.</w:t>
      </w:r>
    </w:p>
    <w:p>
      <w:pPr>
        <w:spacing w:after="0" w:line="4" w:lineRule="exact"/>
        <w:rPr>
          <w:sz w:val="20"/>
          <w:szCs w:val="20"/>
          <w:color w:val="auto"/>
        </w:rPr>
      </w:pPr>
    </w:p>
    <w:p>
      <w:pPr>
        <w:ind w:left="2248" w:right="3019" w:hanging="1259"/>
        <w:spacing w:after="0" w:line="244" w:lineRule="auto"/>
        <w:tabs>
          <w:tab w:leader="none" w:pos="2227" w:val="left"/>
        </w:tabs>
        <w:rPr>
          <w:sz w:val="20"/>
          <w:szCs w:val="20"/>
          <w:color w:val="auto"/>
        </w:rPr>
      </w:pPr>
      <w:r>
        <w:rPr>
          <w:rFonts w:ascii="Courier New" w:cs="Courier New" w:eastAsia="Courier New" w:hAnsi="Courier New"/>
          <w:sz w:val="15"/>
          <w:szCs w:val="15"/>
          <w:color w:val="auto"/>
        </w:rPr>
        <w:t>24,500</w:t>
      </w:r>
      <w:r>
        <w:rPr>
          <w:sz w:val="20"/>
          <w:szCs w:val="20"/>
          <w:color w:val="auto"/>
        </w:rPr>
        <w:tab/>
      </w:r>
      <w:r>
        <w:rPr>
          <w:rFonts w:ascii="Courier New" w:cs="Courier New" w:eastAsia="Courier New" w:hAnsi="Courier New"/>
          <w:sz w:val="15"/>
          <w:szCs w:val="15"/>
          <w:color w:val="auto"/>
        </w:rPr>
        <w:t>Principal amount of 12% senior subordinated notes, and the issuance of warrants to purchase 1,715,000 shares of Common Stock at an exercise price of $.01 per share. In addition, $10.0 million of the $24.5 million senior subordinated notes were issued together with additional detachable warrants to acquire 1,176,471 shares at an exercise price of $8.50 per share. Of the total funds of $24.5 million, approximately $9.6 million has been assigned to the value of the warrants and accordingly are reflected in additional paid in capital. See note 5 below for additional discussion regarding the valuation.</w:t>
      </w:r>
    </w:p>
    <w:p>
      <w:pPr>
        <w:spacing w:after="0" w:line="8" w:lineRule="exact"/>
        <w:rPr>
          <w:sz w:val="20"/>
          <w:szCs w:val="20"/>
          <w:color w:val="auto"/>
        </w:rPr>
      </w:pPr>
    </w:p>
    <w:p>
      <w:pPr>
        <w:ind w:left="2248" w:right="3279" w:hanging="1159"/>
        <w:spacing w:after="0" w:line="244" w:lineRule="auto"/>
        <w:tabs>
          <w:tab w:leader="none" w:pos="2227" w:val="left"/>
        </w:tabs>
        <w:rPr>
          <w:sz w:val="20"/>
          <w:szCs w:val="20"/>
          <w:color w:val="auto"/>
        </w:rPr>
      </w:pPr>
      <w:r>
        <w:rPr>
          <w:rFonts w:ascii="Courier New" w:cs="Courier New" w:eastAsia="Courier New" w:hAnsi="Courier New"/>
          <w:sz w:val="15"/>
          <w:szCs w:val="15"/>
          <w:color w:val="auto"/>
        </w:rPr>
        <w:t>82,549</w:t>
      </w:r>
      <w:r>
        <w:rPr>
          <w:sz w:val="20"/>
          <w:szCs w:val="20"/>
          <w:color w:val="auto"/>
        </w:rPr>
        <w:tab/>
      </w:r>
      <w:r>
        <w:rPr>
          <w:rFonts w:ascii="Courier New" w:cs="Courier New" w:eastAsia="Courier New" w:hAnsi="Courier New"/>
          <w:sz w:val="15"/>
          <w:szCs w:val="15"/>
          <w:color w:val="auto"/>
        </w:rPr>
        <w:t>Gross proceeds from the private placement of approximately 1.4 million shares of Common Stock and 180,162 shares of Series B Preferred Stock.</w:t>
      </w:r>
    </w:p>
    <w:p>
      <w:pPr>
        <w:spacing w:after="0" w:line="2" w:lineRule="exact"/>
        <w:rPr>
          <w:sz w:val="20"/>
          <w:szCs w:val="20"/>
          <w:color w:val="auto"/>
        </w:rPr>
      </w:pPr>
    </w:p>
    <w:p>
      <w:pPr>
        <w:ind w:left="2248" w:right="3739" w:hanging="1256"/>
        <w:spacing w:after="0" w:line="243" w:lineRule="auto"/>
        <w:tabs>
          <w:tab w:leader="none" w:pos="11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2,200 )Deferred financing fees paid in connection with financing</w:t>
      </w:r>
    </w:p>
    <w:p>
      <w:pPr>
        <w:spacing w:after="0" w:line="2"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988" w:hanging="266"/>
        <w:spacing w:after="0"/>
        <w:tabs>
          <w:tab w:leader="none" w:pos="98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161,004Total funds raised in connection with Acquisition</w:t>
      </w:r>
    </w:p>
    <w:p>
      <w:pPr>
        <w:spacing w:after="0" w:line="3" w:lineRule="exact"/>
        <w:rPr>
          <w:rFonts w:ascii="Courier New" w:cs="Courier New" w:eastAsia="Courier New" w:hAnsi="Courier New"/>
          <w:sz w:val="15"/>
          <w:szCs w:val="15"/>
          <w:color w:val="auto"/>
        </w:rPr>
      </w:pPr>
    </w:p>
    <w:p>
      <w:pPr>
        <w:ind w:left="9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rFonts w:ascii="Courier New" w:cs="Courier New" w:eastAsia="Courier New" w:hAnsi="Courier New"/>
          <w:sz w:val="15"/>
          <w:szCs w:val="15"/>
          <w:color w:val="auto"/>
        </w:rPr>
      </w:pPr>
    </w:p>
    <w:p>
      <w:pPr>
        <w:ind w:left="728" w:right="3199" w:hanging="728"/>
        <w:spacing w:after="0" w:line="267" w:lineRule="auto"/>
        <w:tabs>
          <w:tab w:leader="none" w:pos="72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adjustment reflects the consummation of the acquisition, including payment to the Casual Male Corp. for certain assets held for sale and the accrual for estimated transaction costs. The adjustment also reflects the allocation of the purchase price, as follows:</w:t>
      </w:r>
    </w:p>
    <w:p>
      <w:pPr>
        <w:spacing w:after="0" w:line="160"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paid to Casual Male Corp.</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161,004</w:t>
            </w:r>
          </w:p>
        </w:tc>
      </w:tr>
      <w:tr>
        <w:trPr>
          <w:trHeight w:val="347"/>
        </w:trPr>
        <w:tc>
          <w:tcPr>
            <w:tcW w:w="49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Debit (Credit)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1,870</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Merchandise inventory</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77,848</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5,887</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65,474</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6,659</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Casual Male trademark</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29,544</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Customer lists</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1,600</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20,184</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(25,797)</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(3,489)</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Accrual for estimated  transaction and severance costs</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(8,750)</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Additional paid in capital for offering costs (1)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Mortgage note</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(12,216)</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ind w:left="440"/>
              <w:spacing w:after="0"/>
              <w:rPr>
                <w:sz w:val="20"/>
                <w:szCs w:val="20"/>
                <w:color w:val="auto"/>
              </w:rPr>
            </w:pPr>
            <w:r>
              <w:rPr>
                <w:rFonts w:ascii="Courier New" w:cs="Courier New" w:eastAsia="Courier New" w:hAnsi="Courier New"/>
                <w:sz w:val="15"/>
                <w:szCs w:val="15"/>
                <w:color w:val="auto"/>
              </w:rPr>
              <w:t>Estimated fair value of net assets acquired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161,004</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bl>
    <w:p>
      <w:pPr>
        <w:sectPr>
          <w:pgSz w:w="11900" w:h="16838" w:orient="portrait"/>
          <w:cols w:equalWidth="0" w:num="1">
            <w:col w:w="10227"/>
          </w:cols>
          <w:pgMar w:left="232" w:top="638" w:right="1440" w:bottom="1440" w:gutter="0" w:footer="0" w:header="0"/>
        </w:sectPr>
      </w:pPr>
    </w:p>
    <w:bookmarkStart w:id="7" w:name="page8"/>
    <w:bookmarkEnd w:id="7"/>
    <w:p>
      <w:pPr>
        <w:ind w:left="368" w:right="3019" w:hanging="7"/>
        <w:spacing w:after="0" w:line="244" w:lineRule="auto"/>
        <w:tabs>
          <w:tab w:leader="none" w:pos="72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accrual for transaction costs is offering costs of $2.0 million, which are reflected as a reduction of equity. In connection with the equity financing, the Company also issued warrants to purchase 500,000 shares of the Company's common stock at an exercise price of $4.25 per share. The Company has recorded the fair value of these warrants of $1.3 million, which was calculated utilizing the Black Scholes model, as a equity financing cost and therefore the impact of these warrants in stockholder's equity is net zero.</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reflect the elimination of the assets and liabilities which were on Casual Male Corp.'s balance sheet at historical cost, including the assets held for sale which were then reclassed based on the allocation of purchase price as shown above.</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180,162 shares of Series B Convertible Preferred Stock was converted to 18,016,200 shares of Common Stock. The Series B Convertible Preferred Stock automatically converted to Common Stock on August 8, 2002 at the Company's Annual Meeting of Stockholders. Since the value of the Series B Convertible Preferred Stock equaled the value of the assumed converted shares of Common Stock on the date of the transaction, no value was assigned to the conversion feature.</w:t>
      </w:r>
    </w:p>
    <w:p>
      <w:pPr>
        <w:spacing w:after="0" w:line="178" w:lineRule="exact"/>
        <w:rPr>
          <w:sz w:val="20"/>
          <w:szCs w:val="20"/>
          <w:color w:val="auto"/>
        </w:rPr>
      </w:pPr>
    </w:p>
    <w:p>
      <w:pPr>
        <w:ind w:left="368" w:right="3099" w:hanging="368"/>
        <w:spacing w:after="0" w:line="243"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for the Three Months Ended May 4, 2002 and the Fiscal Year Ended February 2, 2002</w:t>
      </w:r>
    </w:p>
    <w:p>
      <w:pPr>
        <w:spacing w:after="0" w:line="176" w:lineRule="exact"/>
        <w:rPr>
          <w:sz w:val="20"/>
          <w:szCs w:val="20"/>
          <w:color w:val="auto"/>
        </w:rPr>
      </w:pPr>
    </w:p>
    <w:p>
      <w:pPr>
        <w:jc w:val="both"/>
        <w:ind w:left="8" w:right="3459"/>
        <w:spacing w:after="0" w:line="244" w:lineRule="auto"/>
        <w:rPr>
          <w:sz w:val="20"/>
          <w:szCs w:val="20"/>
          <w:color w:val="auto"/>
        </w:rPr>
      </w:pPr>
      <w:r>
        <w:rPr>
          <w:rFonts w:ascii="Courier New" w:cs="Courier New" w:eastAsia="Courier New" w:hAnsi="Courier New"/>
          <w:sz w:val="15"/>
          <w:szCs w:val="15"/>
          <w:color w:val="auto"/>
        </w:rPr>
        <w:t>The pro forma adjustments to the unaudited pro forma condensed consolidated income statement reflect the purchase of Casual Male and the conforming of Casual Male's financial statement presentation to that of the Company.</w:t>
      </w:r>
    </w:p>
    <w:p>
      <w:pPr>
        <w:spacing w:after="0" w:line="175" w:lineRule="exact"/>
        <w:rPr>
          <w:sz w:val="20"/>
          <w:szCs w:val="20"/>
          <w:color w:val="auto"/>
        </w:rPr>
      </w:pPr>
    </w:p>
    <w:p>
      <w:pPr>
        <w:ind w:left="368" w:right="3019" w:hanging="36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is intended to reflect the pro forma results of the Statement of Operations on a continuing basis and include adjustments for the following:</w:t>
      </w:r>
    </w:p>
    <w:p>
      <w:pPr>
        <w:spacing w:after="0" w:line="175" w:lineRule="exact"/>
        <w:rPr>
          <w:sz w:val="20"/>
          <w:szCs w:val="20"/>
          <w:color w:val="auto"/>
        </w:rPr>
      </w:pPr>
    </w:p>
    <w:p>
      <w:pPr>
        <w:ind w:left="448" w:right="3739" w:hanging="448"/>
        <w:spacing w:after="0" w:line="243" w:lineRule="auto"/>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operations of the Casual Male Corp. Work n' Gear business sold to Sandy Point LLC effective May 4, 2002; and</w:t>
      </w:r>
    </w:p>
    <w:p>
      <w:pPr>
        <w:spacing w:after="0" w:line="2" w:lineRule="exact"/>
        <w:rPr>
          <w:rFonts w:ascii="Courier New" w:cs="Courier New" w:eastAsia="Courier New" w:hAnsi="Courier New"/>
          <w:sz w:val="15"/>
          <w:szCs w:val="15"/>
          <w:color w:val="auto"/>
        </w:rPr>
      </w:pPr>
    </w:p>
    <w:p>
      <w:pPr>
        <w:ind w:left="448" w:right="3919" w:hanging="448"/>
        <w:spacing w:after="0" w:line="243" w:lineRule="auto"/>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non-continuing sales, cost of goods sold and selling, general and administrative costs associated with closing 134 stores.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Cost of</w:t>
            </w:r>
          </w:p>
        </w:tc>
        <w:tc>
          <w:tcPr>
            <w:tcW w:w="1080" w:type="dxa"/>
            <w:vAlign w:val="bottom"/>
          </w:tcPr>
          <w:p>
            <w:pPr>
              <w:spacing w:after="0"/>
              <w:rPr>
                <w:sz w:val="14"/>
                <w:szCs w:val="14"/>
                <w:color w:val="auto"/>
              </w:rPr>
            </w:pP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Three Months Ended May 4, 2002</w:t>
            </w:r>
          </w:p>
        </w:tc>
        <w:tc>
          <w:tcPr>
            <w:tcW w:w="3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Sales</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Sales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SG&amp;A</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Reclassification of occupancy expense (1)</w:t>
            </w:r>
          </w:p>
        </w:tc>
        <w:tc>
          <w:tcPr>
            <w:tcW w:w="32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9,715</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(9,715)</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820" w:type="dxa"/>
            <w:vAlign w:val="bottom"/>
          </w:tcPr>
          <w:p>
            <w:pPr>
              <w:ind w:left="980"/>
              <w:spacing w:after="0"/>
              <w:rPr>
                <w:sz w:val="20"/>
                <w:szCs w:val="20"/>
                <w:color w:val="auto"/>
              </w:rPr>
            </w:pPr>
            <w:r>
              <w:rPr>
                <w:rFonts w:ascii="Courier New" w:cs="Courier New" w:eastAsia="Courier New" w:hAnsi="Courier New"/>
                <w:sz w:val="15"/>
                <w:szCs w:val="15"/>
                <w:color w:val="auto"/>
              </w:rPr>
              <w:t>Total adjustment</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9,715</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(9,715)</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Cost of</w:t>
            </w:r>
          </w:p>
        </w:tc>
        <w:tc>
          <w:tcPr>
            <w:tcW w:w="1080" w:type="dxa"/>
            <w:vAlign w:val="bottom"/>
          </w:tcPr>
          <w:p>
            <w:pPr>
              <w:spacing w:after="0"/>
              <w:rPr>
                <w:sz w:val="24"/>
                <w:szCs w:val="24"/>
                <w:color w:val="auto"/>
              </w:rPr>
            </w:pP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Year Ended February 2, 2002</w:t>
            </w:r>
          </w:p>
        </w:tc>
        <w:tc>
          <w:tcPr>
            <w:tcW w:w="32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Sales</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Sales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SG&amp;A</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3820" w:type="dxa"/>
            <w:vAlign w:val="bottom"/>
          </w:tcPr>
          <w:p>
            <w:pPr>
              <w:spacing w:after="0"/>
              <w:rPr>
                <w:sz w:val="20"/>
                <w:szCs w:val="20"/>
                <w:color w:val="auto"/>
              </w:rPr>
            </w:pPr>
            <w:r>
              <w:rPr>
                <w:rFonts w:ascii="Courier New" w:cs="Courier New" w:eastAsia="Courier New" w:hAnsi="Courier New"/>
                <w:sz w:val="15"/>
                <w:szCs w:val="15"/>
                <w:color w:val="auto"/>
              </w:rPr>
              <w:t>Work n' Gear operations</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(53,970)</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(33,842)</w:t>
            </w:r>
          </w:p>
        </w:tc>
        <w:tc>
          <w:tcPr>
            <w:tcW w:w="10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(24,650)</w:t>
            </w: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Store closures</w:t>
            </w:r>
          </w:p>
        </w:tc>
        <w:tc>
          <w:tcPr>
            <w:tcW w:w="320" w:type="dxa"/>
            <w:vAlign w:val="bottom"/>
          </w:tcPr>
          <w:p>
            <w:pPr>
              <w:spacing w:after="0"/>
              <w:rPr>
                <w:sz w:val="15"/>
                <w:szCs w:val="15"/>
                <w:color w:val="auto"/>
              </w:rPr>
            </w:pPr>
          </w:p>
        </w:tc>
        <w:tc>
          <w:tcPr>
            <w:tcW w:w="11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(44,305)</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(40,425)</w:t>
            </w:r>
          </w:p>
        </w:tc>
        <w:tc>
          <w:tcPr>
            <w:tcW w:w="10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(21,887)</w:t>
            </w:r>
          </w:p>
        </w:tc>
      </w:tr>
      <w:tr>
        <w:trPr>
          <w:trHeight w:val="347"/>
        </w:trPr>
        <w:tc>
          <w:tcPr>
            <w:tcW w:w="3820" w:type="dxa"/>
            <w:vAlign w:val="bottom"/>
          </w:tcPr>
          <w:p>
            <w:pPr>
              <w:ind w:left="980"/>
              <w:spacing w:after="0"/>
              <w:rPr>
                <w:sz w:val="20"/>
                <w:szCs w:val="20"/>
                <w:color w:val="auto"/>
              </w:rPr>
            </w:pPr>
            <w:r>
              <w:rPr>
                <w:rFonts w:ascii="Courier New" w:cs="Courier New" w:eastAsia="Courier New" w:hAnsi="Courier New"/>
                <w:sz w:val="15"/>
                <w:szCs w:val="15"/>
                <w:color w:val="auto"/>
              </w:rPr>
              <w:t>Subtotal</w:t>
            </w:r>
          </w:p>
        </w:tc>
        <w:tc>
          <w:tcPr>
            <w:tcW w:w="320" w:type="dxa"/>
            <w:vAlign w:val="bottom"/>
          </w:tcPr>
          <w:p>
            <w:pPr>
              <w:spacing w:after="0"/>
              <w:rPr>
                <w:sz w:val="24"/>
                <w:szCs w:val="24"/>
                <w:color w:val="auto"/>
              </w:rPr>
            </w:pPr>
          </w:p>
        </w:tc>
        <w:tc>
          <w:tcPr>
            <w:tcW w:w="11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(98,275)</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(74,267)</w:t>
            </w:r>
          </w:p>
        </w:tc>
        <w:tc>
          <w:tcPr>
            <w:tcW w:w="10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(46,537)</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Reclassification of occupancy expense (1)</w:t>
            </w:r>
          </w:p>
        </w:tc>
        <w:tc>
          <w:tcPr>
            <w:tcW w:w="32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38,120</w:t>
            </w:r>
          </w:p>
        </w:tc>
        <w:tc>
          <w:tcPr>
            <w:tcW w:w="10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(38,120)</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Reclassification of cost of sales (1)</w:t>
            </w:r>
          </w:p>
        </w:tc>
        <w:tc>
          <w:tcPr>
            <w:tcW w:w="32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(12,546)</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12,546</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820" w:type="dxa"/>
            <w:vAlign w:val="bottom"/>
          </w:tcPr>
          <w:p>
            <w:pPr>
              <w:ind w:left="980"/>
              <w:spacing w:after="0"/>
              <w:rPr>
                <w:sz w:val="20"/>
                <w:szCs w:val="20"/>
                <w:color w:val="auto"/>
              </w:rPr>
            </w:pPr>
            <w:r>
              <w:rPr>
                <w:rFonts w:ascii="Courier New" w:cs="Courier New" w:eastAsia="Courier New" w:hAnsi="Courier New"/>
                <w:sz w:val="15"/>
                <w:szCs w:val="15"/>
                <w:color w:val="auto"/>
              </w:rPr>
              <w:t>Total adjustment</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(98,275)</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(48,693)</w:t>
            </w:r>
          </w:p>
        </w:tc>
        <w:tc>
          <w:tcPr>
            <w:tcW w:w="10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(72,111)</w:t>
            </w:r>
          </w:p>
        </w:tc>
      </w:tr>
      <w:tr>
        <w:trPr>
          <w:trHeight w:val="173"/>
        </w:trPr>
        <w:tc>
          <w:tcPr>
            <w:tcW w:w="3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351" w:lineRule="exact"/>
        <w:rPr>
          <w:sz w:val="20"/>
          <w:szCs w:val="20"/>
          <w:color w:val="auto"/>
        </w:rPr>
      </w:pPr>
    </w:p>
    <w:p>
      <w:pPr>
        <w:ind w:left="728" w:right="3099" w:hanging="728"/>
        <w:spacing w:after="0" w:line="244" w:lineRule="auto"/>
        <w:tabs>
          <w:tab w:leader="none" w:pos="7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occupancy expenses for Casual Male are reclassified from selling, general and administrative expenses to cost of goods sold to conform to the Company's presentation. In addition, certain overhead costs included in the historical cost of goods sold of Casual Male are reclassified to selling, general and administrative expenses to conform to the Company's presentation.</w:t>
      </w:r>
    </w:p>
    <w:p>
      <w:pPr>
        <w:sectPr>
          <w:pgSz w:w="11900" w:h="16838" w:orient="portrait"/>
          <w:cols w:equalWidth="0" w:num="1">
            <w:col w:w="10227"/>
          </w:cols>
          <w:pgMar w:left="232" w:top="638" w:right="1440" w:bottom="1440" w:gutter="0" w:footer="0" w:header="0"/>
        </w:sectPr>
      </w:pPr>
    </w:p>
    <w:bookmarkStart w:id="8" w:name="page9"/>
    <w:bookmarkEnd w:id="8"/>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adjustment reflects the elimination of reorganization costs and provision for impairment of assets. As discussed in Note 1 to the Consolidated Financial Statements of Casual Male Corp. and subsidiaries, during fiscal 2002, Casual Male Corp. recorded reorganization costs totaling $38.0 million, of which $35.6 million related directly to store closings which were not part of the assets acquired by the Company. Also, Casual Male Corp. recorded a provision in the amount of $12.3 million related solely to the impairment of assets of its Work n' Gear business. Accordingly, the Company has recorded an adjustment to eliminate the $35.6 million restructuring charges and the $12.3 million of impairment charges. The $2.1 million adjustment in the quarter ended May 4, 2002 related to store closings, which were not part of the assets acquired by the Company.</w:t>
      </w:r>
    </w:p>
    <w:p>
      <w:pPr>
        <w:spacing w:after="0" w:line="180"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expense was adjusted to reflect the fair market revaluation of Casual Male property and equipment, as well as the amortization of the deferred financing costs over a 3-year period. In addition, depreciation expense was adjusted for the Casual Male Corp. stores closed during the year ended February 2, 2002. The corporate headquarters building located in Canton, Massachusetts is depreciated over a 30-year remaining useful life and the average remaining useful life of stores purchased in the acquisition is 7 years.</w:t>
      </w:r>
    </w:p>
    <w:p>
      <w:pPr>
        <w:spacing w:after="0" w:line="178"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was adjusted to reflect debt levels and varied rates of interest on debt used to acquire the assets of Casual Male, including the amortization of the warrants issued in connection with the financing of the acquisition. Specifically, interest expense was estimated using the following assumptions:</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Aver. Borrowings</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w w:val="98"/>
              </w:rPr>
              <w:t>Estimated Interest</w:t>
            </w:r>
          </w:p>
        </w:tc>
      </w:tr>
      <w:tr>
        <w:trPr>
          <w:trHeight w:val="173"/>
        </w:trPr>
        <w:tc>
          <w:tcPr>
            <w:tcW w:w="2920" w:type="dxa"/>
            <w:vAlign w:val="bottom"/>
          </w:tcPr>
          <w:p>
            <w:pPr>
              <w:spacing w:after="0"/>
              <w:rPr>
                <w:sz w:val="15"/>
                <w:szCs w:val="15"/>
                <w:color w:val="auto"/>
              </w:rPr>
            </w:pPr>
          </w:p>
        </w:tc>
        <w:tc>
          <w:tcPr>
            <w:tcW w:w="20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Outstanding</w:t>
            </w:r>
          </w:p>
        </w:tc>
        <w:tc>
          <w:tcPr>
            <w:tcW w:w="1880" w:type="dxa"/>
            <w:vAlign w:val="bottom"/>
          </w:tcPr>
          <w:p>
            <w:pPr>
              <w:ind w:left="260"/>
              <w:spacing w:after="0"/>
              <w:rPr>
                <w:sz w:val="20"/>
                <w:szCs w:val="20"/>
                <w:color w:val="auto"/>
              </w:rPr>
            </w:pPr>
            <w:r>
              <w:rPr>
                <w:rFonts w:ascii="Courier New" w:cs="Courier New" w:eastAsia="Courier New" w:hAnsi="Courier New"/>
                <w:sz w:val="15"/>
                <w:szCs w:val="15"/>
                <w:color w:val="auto"/>
              </w:rPr>
              <w:t>Rate- Annualized</w:t>
            </w:r>
          </w:p>
        </w:tc>
      </w:tr>
      <w:tr>
        <w:trPr>
          <w:trHeight w:val="347"/>
        </w:trPr>
        <w:tc>
          <w:tcPr>
            <w:tcW w:w="2920" w:type="dxa"/>
            <w:vAlign w:val="bottom"/>
          </w:tcPr>
          <w:p>
            <w:pPr>
              <w:spacing w:after="0"/>
              <w:rPr>
                <w:sz w:val="20"/>
                <w:szCs w:val="20"/>
                <w:color w:val="auto"/>
              </w:rPr>
            </w:pPr>
            <w:r>
              <w:rPr>
                <w:rFonts w:ascii="Courier New" w:cs="Courier New" w:eastAsia="Courier New" w:hAnsi="Courier New"/>
                <w:sz w:val="15"/>
                <w:szCs w:val="15"/>
                <w:color w:val="auto"/>
              </w:rPr>
              <w:t>Borrowings under revolver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million</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Term loan with FRFI</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million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18.0%</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5% senior subordinated notes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million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5.0%</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12% senior subordinated notes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million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12.0%</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Mortgage note</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million</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9.0%</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Amortization of warrants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million</w:t>
            </w:r>
          </w:p>
        </w:tc>
        <w:tc>
          <w:tcPr>
            <w:tcW w:w="18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n/a</w:t>
            </w:r>
          </w:p>
        </w:tc>
      </w:tr>
    </w:tbl>
    <w:p>
      <w:pPr>
        <w:spacing w:after="0" w:line="178" w:lineRule="exact"/>
        <w:rPr>
          <w:sz w:val="20"/>
          <w:szCs w:val="20"/>
          <w:color w:val="auto"/>
        </w:rPr>
      </w:pPr>
    </w:p>
    <w:p>
      <w:pPr>
        <w:ind w:left="368" w:right="3019" w:hanging="7"/>
        <w:spacing w:after="0" w:line="244" w:lineRule="auto"/>
        <w:tabs>
          <w:tab w:leader="none" w:pos="63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rate debt; the Company applied its historical average interest rate which it incurred on its variable debt during fiscal 2002 and for the first quarter of fiscal 2003. At the option of the Company, borrowings under its revolver bear interest at the Fleet National Bank's prime rate or at LIBOR plus 2% rates. For fiscal 2002 the average variable rate used was 6.1% and for the first quarter ended May 4, 2002 the average variable rate was 4.5%.</w:t>
      </w:r>
    </w:p>
    <w:p>
      <w:pPr>
        <w:spacing w:after="0" w:line="177"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Long-term Debt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 forma long-term debt as of May 4, 2002 was comprised of the following:</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12% senior subordinated notes due 2007 (a)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14,911</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Term loan (b)</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15,000</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5% senior subordinated notes due 2007</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11,000</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Mortgage note (c)</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12,216</w:t>
            </w:r>
          </w:p>
        </w:tc>
      </w:tr>
      <w:tr>
        <w:trPr>
          <w:trHeight w:val="173"/>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Total long-term debt</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53,127</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Less: current portion of mortgage note</w:t>
            </w:r>
          </w:p>
        </w:tc>
        <w:tc>
          <w:tcPr>
            <w:tcW w:w="32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r>
        <w:trPr>
          <w:trHeight w:val="173"/>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Long-term debt, less current portion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52,307</w:t>
            </w:r>
          </w:p>
        </w:tc>
      </w:tr>
      <w:tr>
        <w:trPr>
          <w:trHeight w:val="173"/>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368" w:right="3199" w:hanging="368"/>
        <w:spacing w:after="0" w:line="244" w:lineRule="auto"/>
        <w:tabs>
          <w:tab w:leader="none" w:pos="3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12% senior subordinated notes of $24.5 million is net of warrants to purchase 1,715,000 shares of Common Stock at an exercise price of $.01 per warrant, and additional detachable warrants to acquire 1,176,471 shares of Common Stock at an exercise price of $8.50 per share. The Company determined that the warrants with an exercise of $0.01 had a fair value of</w:t>
      </w:r>
    </w:p>
    <w:p>
      <w:pPr>
        <w:sectPr>
          <w:pgSz w:w="11900" w:h="16838" w:orient="portrait"/>
          <w:cols w:equalWidth="0" w:num="1">
            <w:col w:w="10227"/>
          </w:cols>
          <w:pgMar w:left="232" w:top="638" w:right="1440" w:bottom="1440" w:gutter="0" w:footer="0" w:header="0"/>
        </w:sectPr>
      </w:pPr>
    </w:p>
    <w:bookmarkStart w:id="9" w:name="page10"/>
    <w:bookmarkEnd w:id="9"/>
    <w:p>
      <w:pPr>
        <w:ind w:left="368" w:right="3199"/>
        <w:spacing w:after="0" w:line="244" w:lineRule="auto"/>
        <w:rPr>
          <w:sz w:val="20"/>
          <w:szCs w:val="20"/>
          <w:color w:val="auto"/>
        </w:rPr>
      </w:pPr>
      <w:r>
        <w:rPr>
          <w:rFonts w:ascii="Courier New" w:cs="Courier New" w:eastAsia="Courier New" w:hAnsi="Courier New"/>
          <w:sz w:val="15"/>
          <w:szCs w:val="15"/>
          <w:color w:val="auto"/>
        </w:rPr>
        <w:t>approximately $4.24, which was equal to the price, less the $0.01 exercise price, at which Common Stock was sold on the date of the transaction. The warrants with an exercise price of $8.50 per share were assigned a value, utilizing the Black Scholes model, of $1.97 per share. The total value of the warrants of $9.6 million will be amortized over the five-year term of the notes as interest expense.</w:t>
      </w:r>
    </w:p>
    <w:p>
      <w:pPr>
        <w:spacing w:after="0" w:line="177" w:lineRule="exact"/>
        <w:rPr>
          <w:sz w:val="20"/>
          <w:szCs w:val="20"/>
          <w:color w:val="auto"/>
        </w:rPr>
      </w:pPr>
    </w:p>
    <w:p>
      <w:pPr>
        <w:ind w:left="368" w:right="3459" w:hanging="368"/>
        <w:spacing w:after="0" w:line="243"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three-year term loan includes a 12% coupon, 3% paid-in-kind, and 3% annual commitment fee, for a total annual yield of 18%.</w:t>
      </w:r>
    </w:p>
    <w:p>
      <w:pPr>
        <w:spacing w:after="0" w:line="176"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mortgage note is payable in equal monthly installments of principal and interest over its remaining term of 10 years and bears interest at 9.0%.</w:t>
      </w:r>
    </w:p>
    <w:p>
      <w:pPr>
        <w:spacing w:after="0" w:line="175" w:lineRule="exact"/>
        <w:rPr>
          <w:sz w:val="20"/>
          <w:szCs w:val="20"/>
          <w:color w:val="auto"/>
        </w:rPr>
      </w:pPr>
    </w:p>
    <w:p>
      <w:pPr>
        <w:ind w:left="8"/>
        <w:spacing w:after="0"/>
        <w:tabs>
          <w:tab w:leader="none" w:pos="707"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Pro Forma Net Income (Loss) Per Share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Pro forma basic earnings per share for the three months ended May 4, 2002 and the year ended February 2, 2002 assumes that 1,379,310 new shares of Common Stock were issued and outstanding, the Series B Preferred Stock was converted to 18,016,200 shares of Common Stock and certain warrants were fully exercised for 2,215,000 shares of Common Stock on February 3, 2002 and February 4, 2001, respectively. Pro forma diluted earnings per share is determined by giving effect to the exercise of stock options and warrants using the treasury stock method.</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Reconciliation of Pro Forma Weighted Average Common Shares Outstanding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tabs>
          <w:tab w:leader="none" w:pos="4587" w:val="left"/>
          <w:tab w:leader="none" w:pos="5667" w:val="left"/>
          <w:tab w:leader="none" w:pos="6927" w:val="left"/>
        </w:tabs>
        <w:rPr>
          <w:sz w:val="20"/>
          <w:szCs w:val="20"/>
          <w:color w:val="auto"/>
        </w:rPr>
      </w:pPr>
      <w:r>
        <w:rPr>
          <w:rFonts w:ascii="Courier New" w:cs="Courier New" w:eastAsia="Courier New" w:hAnsi="Courier New"/>
          <w:sz w:val="15"/>
          <w:szCs w:val="15"/>
          <w:color w:val="auto"/>
        </w:rPr>
        <w:t>For the three months ended May 4, 2002</w:t>
      </w:r>
      <w:r>
        <w:rPr>
          <w:sz w:val="20"/>
          <w:szCs w:val="20"/>
          <w:color w:val="auto"/>
        </w:rPr>
        <w:tab/>
      </w:r>
      <w:r>
        <w:rPr>
          <w:rFonts w:ascii="Courier New" w:cs="Courier New" w:eastAsia="Courier New" w:hAnsi="Courier New"/>
          <w:sz w:val="15"/>
          <w:szCs w:val="15"/>
          <w:color w:val="auto"/>
        </w:rPr>
        <w:t>Historical</w:t>
        <w:tab/>
        <w:t>adjustment</w:t>
      </w:r>
      <w:r>
        <w:rPr>
          <w:sz w:val="20"/>
          <w:szCs w:val="20"/>
          <w:color w:val="auto"/>
        </w:rPr>
        <w:tab/>
      </w:r>
      <w:r>
        <w:rPr>
          <w:rFonts w:ascii="Courier New" w:cs="Courier New" w:eastAsia="Courier New" w:hAnsi="Courier New"/>
          <w:sz w:val="14"/>
          <w:szCs w:val="14"/>
          <w:color w:val="auto"/>
        </w:rPr>
        <w:t>Pro forma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20" w:type="dxa"/>
            <w:vAlign w:val="bottom"/>
            <w:gridSpan w:val="3"/>
          </w:tcPr>
          <w:p>
            <w:pPr>
              <w:spacing w:after="0"/>
              <w:rPr>
                <w:sz w:val="20"/>
                <w:szCs w:val="20"/>
                <w:color w:val="auto"/>
              </w:rPr>
            </w:pPr>
            <w:r>
              <w:rPr>
                <w:rFonts w:ascii="Courier New" w:cs="Courier New" w:eastAsia="Courier New" w:hAnsi="Courier New"/>
                <w:sz w:val="15"/>
                <w:szCs w:val="15"/>
                <w:color w:val="auto"/>
              </w:rPr>
              <w:t>Preferred Stock, $0.01 par value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$0.01</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17,616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19,395</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37,011</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Treasury Stock</w:t>
            </w:r>
          </w:p>
        </w:tc>
        <w:tc>
          <w:tcPr>
            <w:tcW w:w="2060" w:type="dxa"/>
            <w:vAlign w:val="bottom"/>
          </w:tcPr>
          <w:p>
            <w:pPr>
              <w:spacing w:after="0"/>
              <w:rPr>
                <w:sz w:val="15"/>
                <w:szCs w:val="15"/>
                <w:color w:val="auto"/>
              </w:rPr>
            </w:pPr>
          </w:p>
        </w:tc>
        <w:tc>
          <w:tcPr>
            <w:tcW w:w="1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(3,040)</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$0.01</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1,715</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1,715</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$4.25</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$8.50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(b)</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Weighted Average Common Shares Outstanding</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14,576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36,186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4587" w:val="left"/>
          <w:tab w:leader="none" w:pos="5667" w:val="left"/>
          <w:tab w:leader="none" w:pos="6927" w:val="left"/>
        </w:tabs>
        <w:rPr>
          <w:sz w:val="20"/>
          <w:szCs w:val="20"/>
          <w:color w:val="auto"/>
        </w:rPr>
      </w:pPr>
      <w:r>
        <w:rPr>
          <w:rFonts w:ascii="Courier New" w:cs="Courier New" w:eastAsia="Courier New" w:hAnsi="Courier New"/>
          <w:sz w:val="15"/>
          <w:szCs w:val="15"/>
          <w:color w:val="auto"/>
        </w:rPr>
        <w:t>For the fiscal year ended February 2, 2002</w:t>
      </w:r>
      <w:r>
        <w:rPr>
          <w:sz w:val="20"/>
          <w:szCs w:val="20"/>
          <w:color w:val="auto"/>
        </w:rPr>
        <w:tab/>
      </w:r>
      <w:r>
        <w:rPr>
          <w:rFonts w:ascii="Courier New" w:cs="Courier New" w:eastAsia="Courier New" w:hAnsi="Courier New"/>
          <w:sz w:val="15"/>
          <w:szCs w:val="15"/>
          <w:color w:val="auto"/>
        </w:rPr>
        <w:t>Historical</w:t>
        <w:tab/>
        <w:t>adjustment</w:t>
      </w:r>
      <w:r>
        <w:rPr>
          <w:sz w:val="20"/>
          <w:szCs w:val="20"/>
          <w:color w:val="auto"/>
        </w:rPr>
        <w:tab/>
      </w:r>
      <w:r>
        <w:rPr>
          <w:rFonts w:ascii="Courier New" w:cs="Courier New" w:eastAsia="Courier New" w:hAnsi="Courier New"/>
          <w:sz w:val="14"/>
          <w:szCs w:val="14"/>
          <w:color w:val="auto"/>
        </w:rPr>
        <w:t>Pro forma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20" w:type="dxa"/>
            <w:vAlign w:val="bottom"/>
            <w:gridSpan w:val="3"/>
          </w:tcPr>
          <w:p>
            <w:pPr>
              <w:spacing w:after="0"/>
              <w:rPr>
                <w:sz w:val="20"/>
                <w:szCs w:val="20"/>
                <w:color w:val="auto"/>
              </w:rPr>
            </w:pPr>
            <w:r>
              <w:rPr>
                <w:rFonts w:ascii="Courier New" w:cs="Courier New" w:eastAsia="Courier New" w:hAnsi="Courier New"/>
                <w:sz w:val="15"/>
                <w:szCs w:val="15"/>
                <w:color w:val="auto"/>
              </w:rPr>
              <w:t>Preferred Stock, $0.01 par value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$0.01</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par value: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19,395</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36,921</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Treasury Stock</w:t>
            </w:r>
          </w:p>
        </w:tc>
        <w:tc>
          <w:tcPr>
            <w:tcW w:w="2060" w:type="dxa"/>
            <w:vAlign w:val="bottom"/>
          </w:tcPr>
          <w:p>
            <w:pPr>
              <w:spacing w:after="0"/>
              <w:rPr>
                <w:sz w:val="15"/>
                <w:szCs w:val="15"/>
                <w:color w:val="auto"/>
              </w:rPr>
            </w:pPr>
          </w:p>
        </w:tc>
        <w:tc>
          <w:tcPr>
            <w:tcW w:w="1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(3,040)</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$0.01</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1,715</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1,715</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$4.25</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c>
          <w:tcPr>
            <w:tcW w:w="50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$8.50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(b)</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Weighted Average Common Shares Outstanding</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14,486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21,610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36,096</w:t>
            </w:r>
          </w:p>
        </w:tc>
      </w:tr>
    </w:tbl>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68" w:right="3199" w:hanging="7"/>
        <w:spacing w:after="0" w:line="244" w:lineRule="auto"/>
        <w:tabs>
          <w:tab w:leader="none" w:pos="7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issuance of 1,379,310 shares of newly issued Common Stock and also assumes the conversion of 180,162 shares of Series B Preferred Stock to 18,016,200 shares of Common Stock.</w:t>
      </w:r>
    </w:p>
    <w:p>
      <w:pPr>
        <w:spacing w:after="0" w:line="175" w:lineRule="exact"/>
        <w:rPr>
          <w:sz w:val="20"/>
          <w:szCs w:val="20"/>
          <w:color w:val="auto"/>
        </w:rPr>
      </w:pPr>
    </w:p>
    <w:p>
      <w:pPr>
        <w:ind w:left="368" w:right="3099"/>
        <w:spacing w:after="0" w:line="244" w:lineRule="auto"/>
        <w:rPr>
          <w:sz w:val="20"/>
          <w:szCs w:val="20"/>
          <w:color w:val="auto"/>
        </w:rPr>
      </w:pPr>
      <w:r>
        <w:rPr>
          <w:rFonts w:ascii="Courier New" w:cs="Courier New" w:eastAsia="Courier New" w:hAnsi="Courier New"/>
          <w:sz w:val="15"/>
          <w:szCs w:val="15"/>
          <w:color w:val="auto"/>
        </w:rPr>
        <w:t>(b)Warrants to purchase shares of Common Stock with an exercise price of $8.50 per share, which were assumed fully exercisable, were excluded from basic weighted average of common shares outstanding because the exercise price was greater than the average market price of the Common Stock for the respective periods.</w:t>
      </w:r>
    </w:p>
    <w:p>
      <w:pPr>
        <w:sectPr>
          <w:pgSz w:w="11900" w:h="16838" w:orient="portrait"/>
          <w:cols w:equalWidth="0" w:num="1">
            <w:col w:w="10227"/>
          </w:cols>
          <w:pgMar w:left="232" w:top="638" w:right="1440" w:bottom="1440" w:gutter="0" w:footer="0" w:header="0"/>
        </w:sectPr>
      </w:pPr>
    </w:p>
    <w:bookmarkStart w:id="10" w:name="page11"/>
    <w:bookmarkEnd w:id="10"/>
    <w:p>
      <w:pPr>
        <w:spacing w:after="0" w:line="3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Three Months</w:t>
      </w:r>
    </w:p>
    <w:p>
      <w:pPr>
        <w:spacing w:after="0" w:line="14"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Ended</w:t>
      </w:r>
    </w:p>
    <w:p>
      <w:pPr>
        <w:spacing w:after="0" w:line="4" w:lineRule="exact"/>
        <w:rPr>
          <w:sz w:val="20"/>
          <w:szCs w:val="20"/>
          <w:color w:val="auto"/>
        </w:rPr>
      </w:pPr>
    </w:p>
    <w:p>
      <w:pPr>
        <w:jc w:val="center"/>
        <w:ind w:left="-99"/>
        <w:spacing w:after="0"/>
        <w:rPr>
          <w:sz w:val="20"/>
          <w:szCs w:val="20"/>
          <w:color w:val="auto"/>
        </w:rPr>
      </w:pPr>
      <w:r>
        <w:rPr>
          <w:rFonts w:ascii="Courier New" w:cs="Courier New" w:eastAsia="Courier New" w:hAnsi="Courier New"/>
          <w:sz w:val="14"/>
          <w:szCs w:val="14"/>
          <w:color w:val="auto"/>
        </w:rPr>
        <w:t>May 4, 2002</w:t>
      </w:r>
    </w:p>
    <w:p>
      <w:pPr>
        <w:spacing w:after="0" w:line="1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 2002</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3">
            <w:col w:w="3780" w:space="720"/>
            <w:col w:w="1080" w:space="180"/>
            <w:col w:w="4459"/>
          </w:cols>
          <w:pgMar w:left="240" w:top="638"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Basic weighted-average common shares</w:t>
      </w:r>
    </w:p>
    <w:p>
      <w:pPr>
        <w:sectPr>
          <w:pgSz w:w="11900" w:h="16838" w:orient="portrait"/>
          <w:cols w:equalWidth="0" w:num="1">
            <w:col w:w="10219"/>
          </w:cols>
          <w:pgMar w:left="240" w:top="638" w:right="1440" w:bottom="1440" w:gutter="0" w:footer="0" w:header="0"/>
          <w:type w:val="continuous"/>
        </w:sectPr>
      </w:pP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36,187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36,096</w:t>
      </w:r>
    </w:p>
    <w:p>
      <w:pPr>
        <w:spacing w:after="0" w:line="3" w:lineRule="exact"/>
        <w:rPr>
          <w:sz w:val="20"/>
          <w:szCs w:val="20"/>
          <w:color w:val="auto"/>
        </w:rPr>
      </w:pPr>
    </w:p>
    <w:p>
      <w:pPr>
        <w:sectPr>
          <w:pgSz w:w="11900" w:h="16838" w:orient="portrait"/>
          <w:cols w:equalWidth="0" w:num="3">
            <w:col w:w="4140" w:space="720"/>
            <w:col w:w="540" w:space="640"/>
            <w:col w:w="417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 options, excluding anti-dilutive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of 764 shares for the three</w:t>
      </w:r>
    </w:p>
    <w:p>
      <w:pPr>
        <w:sectPr>
          <w:pgSz w:w="11900" w:h="16838" w:orient="portrait"/>
          <w:cols w:equalWidth="0" w:num="1">
            <w:col w:w="10219"/>
          </w:cols>
          <w:pgMar w:left="240" w:top="638" w:right="1440" w:bottom="1440" w:gutter="0" w:footer="0" w:header="0"/>
          <w:type w:val="continuous"/>
        </w:sectPr>
      </w:pP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months ended May 4, 2002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639"/>
        <w:spacing w:after="0"/>
        <w:rPr>
          <w:sz w:val="20"/>
          <w:szCs w:val="20"/>
          <w:color w:val="auto"/>
        </w:rPr>
      </w:pPr>
      <w:r>
        <w:rPr>
          <w:rFonts w:ascii="Courier New" w:cs="Courier New" w:eastAsia="Courier New" w:hAnsi="Courier New"/>
          <w:sz w:val="15"/>
          <w:szCs w:val="15"/>
          <w:color w:val="auto"/>
        </w:rPr>
        <w:t>578</w:t>
      </w:r>
    </w:p>
    <w:p>
      <w:pPr>
        <w:spacing w:after="0" w:line="4" w:lineRule="exact"/>
        <w:rPr>
          <w:sz w:val="20"/>
          <w:szCs w:val="20"/>
          <w:color w:val="auto"/>
        </w:rPr>
      </w:pPr>
    </w:p>
    <w:p>
      <w:pPr>
        <w:jc w:val="right"/>
        <w:ind w:right="3639"/>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4140" w:space="720"/>
            <w:col w:w="540" w:space="640"/>
            <w:col w:w="417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weighted-average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36,187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36,674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140" w:space="720"/>
            <w:col w:w="540" w:space="640"/>
            <w:col w:w="4179"/>
          </w:cols>
          <w:pgMar w:left="240" w:top="638" w:right="1440" w:bottom="1440" w:gutter="0" w:footer="0" w:header="0"/>
          <w:type w:val="continuous"/>
        </w:sectPr>
      </w:pPr>
    </w:p>
    <w:p>
      <w:pPr>
        <w:spacing w:after="0" w:line="151"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Options to purchase shares of Common Stock, par value $.01 per share, of 178,350 and 933,900 for the three months ended May 4, 2002 and the year ended February 2, 2002, respectively, and warrants to purchase 1,176,471 shares of Common Stock at an exercise price of $8.50 per share, were assumed outstanding during the respective periods but were not included in the computation of diluted earnings per share because the exercise price of the options was greater than the average market price of the Common Stock for the period reported.</w:t>
      </w:r>
    </w:p>
    <w:p>
      <w:pPr>
        <w:sectPr>
          <w:pgSz w:w="11900" w:h="16838" w:orient="portrait"/>
          <w:cols w:equalWidth="0" w:num="1">
            <w:col w:w="10219"/>
          </w:cols>
          <w:pgMar w:left="240" w:top="638" w:right="1440" w:bottom="1440" w:gutter="0" w:footer="0" w:header="0"/>
          <w:type w:val="continuous"/>
        </w:sectPr>
      </w:pPr>
    </w:p>
    <w:bookmarkStart w:id="11" w:name="page12"/>
    <w:bookmarkEnd w:id="11"/>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hereunto duly authorized.</w:t>
      </w:r>
    </w:p>
    <w:p>
      <w:pPr>
        <w:spacing w:after="0" w:line="348"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CASUAL MALE RETAIL GROUP,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September 11, 2002</w:t>
      </w:r>
    </w:p>
    <w:p>
      <w:pPr>
        <w:spacing w:after="0" w:line="177"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By: /s/ Dennis R. Hernreich</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320"/>
        <w:spacing w:after="0"/>
        <w:tabs>
          <w:tab w:leader="none" w:pos="4940" w:val="left"/>
        </w:tabs>
        <w:rPr>
          <w:sz w:val="20"/>
          <w:szCs w:val="20"/>
          <w:color w:val="auto"/>
        </w:rPr>
      </w:pPr>
      <w:r>
        <w:rPr>
          <w:rFonts w:ascii="Courier New" w:cs="Courier New" w:eastAsia="Courier New" w:hAnsi="Courier New"/>
          <w:sz w:val="15"/>
          <w:szCs w:val="15"/>
          <w:color w:val="auto"/>
        </w:rPr>
        <w:t>Name:</w:t>
        <w:tab/>
        <w:t>Dennis R. Hernreich</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Title: Senior Vice President and</w:t>
      </w:r>
    </w:p>
    <w:p>
      <w:pPr>
        <w:spacing w:after="0" w:line="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Chief Financial Officer</w:t>
      </w:r>
    </w:p>
    <w:sectPr>
      <w:pgSz w:w="11900" w:h="16838" w:orient="portrait"/>
      <w:cols w:equalWidth="0" w:num="1">
        <w:col w:w="10219"/>
      </w:cols>
      <w:pgMar w:left="24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lvl w:ilvl="1">
      <w:lvlJc w:val="left"/>
      <w:lvlText w:val="$"/>
      <w:numFmt w:val="bullet"/>
      <w:start w:val="1"/>
    </w:lvl>
  </w:abstractNum>
  <w:abstractNum w:abstractNumId="7">
    <w:nsid w:val="3352255A"/>
    <w:multiLevelType w:val="hybridMultilevel"/>
    <w:lvl w:ilvl="0">
      <w:lvlJc w:val="left"/>
      <w:lvlText w:val="%1"/>
      <w:numFmt w:val="lowerLetter"/>
      <w:start w:val="1"/>
    </w:lvl>
    <w:lvl w:ilvl="1">
      <w:lvlJc w:val="left"/>
      <w:lvlText w:val="(%2)"/>
      <w:numFmt w:val="decimal"/>
      <w:start w:val="1"/>
    </w:lvl>
  </w:abstractNum>
  <w:abstractNum w:abstractNumId="8">
    <w:nsid w:val="109CF92E"/>
    <w:multiLevelType w:val="hybridMultilevel"/>
    <w:lvl w:ilvl="0">
      <w:lvlJc w:val="left"/>
      <w:lvlText w:val="%1)"/>
      <w:numFmt w:val="lowerLetter"/>
      <w:start w:val="3"/>
    </w:lvl>
    <w:lvl w:ilvl="1">
      <w:lvlJc w:val="left"/>
      <w:lvlText w:val="%2"/>
      <w:numFmt w:val="decimal"/>
      <w:start w:val="1"/>
    </w:lvl>
  </w:abstractNum>
  <w:abstractNum w:abstractNumId="9">
    <w:nsid w:val="DED7263"/>
    <w:multiLevelType w:val="hybridMultilevel"/>
    <w:lvl w:ilvl="0">
      <w:lvlJc w:val="left"/>
      <w:lvlText w:val="%1."/>
      <w:numFmt w:val="decimal"/>
      <w:start w:val="4"/>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4"/>
    </w:lvl>
    <w:lvl w:ilvl="1">
      <w:lvlJc w:val="left"/>
      <w:lvlText w:val="**"/>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2019-12-20T01:07:39Z</dcterms:created>
  <dcterms:modified xsi:type="dcterms:W3CDTF">2019-12-20T01:07:39Z</dcterms:modified>
</cp:coreProperties>
</file>