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August 21, 2008</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46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5680" w:type="dxa"/>
            <w:vAlign w:val="bottom"/>
            <w:gridSpan w:val="3"/>
          </w:tcPr>
          <w:p>
            <w:pPr>
              <w:jc w:val="center"/>
              <w:ind w:left="4240"/>
              <w:spacing w:after="0"/>
              <w:rPr>
                <w:sz w:val="20"/>
                <w:szCs w:val="20"/>
                <w:color w:val="auto"/>
              </w:rPr>
            </w:pPr>
            <w:r>
              <w:rPr>
                <w:rFonts w:ascii="Arial" w:cs="Arial" w:eastAsia="Arial" w:hAnsi="Arial"/>
                <w:sz w:val="18"/>
                <w:szCs w:val="18"/>
                <w:b w:val="1"/>
                <w:bCs w:val="1"/>
                <w:color w:val="auto"/>
                <w:w w:val="87"/>
              </w:rPr>
              <w:t>04-2623104</w:t>
            </w:r>
          </w:p>
        </w:tc>
      </w:tr>
      <w:tr>
        <w:trPr>
          <w:trHeight w:val="149"/>
        </w:trPr>
        <w:tc>
          <w:tcPr>
            <w:tcW w:w="15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r>
        <w:trPr>
          <w:trHeight w:val="366"/>
        </w:trPr>
        <w:tc>
          <w:tcPr>
            <w:tcW w:w="1500" w:type="dxa"/>
            <w:vAlign w:val="bottom"/>
          </w:tcPr>
          <w:p>
            <w:pPr>
              <w:spacing w:after="0"/>
              <w:rPr>
                <w:sz w:val="24"/>
                <w:szCs w:val="24"/>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46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21, 2008, Casual Male Retail Group, Inc. (the “Company”) issued a press release announcing the Company’s sales and results of operations for the second quarter and first six months of fiscal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8890</wp:posOffset>
            </wp:positionV>
            <wp:extent cx="5728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7"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announcing sales and operating results for the second quarter and first six months of fiscal 2008.</w:t>
      </w:r>
    </w:p>
    <w:p>
      <w:pPr>
        <w:sectPr>
          <w:pgSz w:w="11900" w:h="16838" w:orient="portrait"/>
          <w:cols w:equalWidth="0" w:num="1">
            <w:col w:w="11140"/>
          </w:cols>
          <w:pgMar w:left="240" w:top="274" w:right="5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21, 2008</w:t>
      </w:r>
    </w:p>
    <w:p>
      <w:pPr>
        <w:sectPr>
          <w:pgSz w:w="11900" w:h="16838" w:orient="portrait"/>
          <w:cols w:equalWidth="0" w:num="1">
            <w:col w:w="11100"/>
          </w:cols>
          <w:pgMar w:left="240" w:top="28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118110</wp:posOffset>
            </wp:positionV>
            <wp:extent cx="178371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SALES AND OPERATING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SECOND QUARTER AND FIRST SIX MONTHS OF FISCAL 2008</w:t>
      </w:r>
    </w:p>
    <w:p>
      <w:pPr>
        <w:spacing w:after="0" w:line="159"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CANTON, MA, (August 21, 2008) — Casual Male Retail Group, Inc. (NASDAQ: “CMRG”)</w:t>
      </w:r>
      <w:r>
        <w:rPr>
          <w:rFonts w:ascii="Arial" w:cs="Arial" w:eastAsia="Arial" w:hAnsi="Arial"/>
          <w:sz w:val="16"/>
          <w:szCs w:val="16"/>
          <w:color w:val="auto"/>
        </w:rPr>
        <w:t>, retail brand operator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Casual Male XL, Rochester Clothing</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B&amp;T Factory Direct</w:t>
      </w:r>
      <w:r>
        <w:rPr>
          <w:rFonts w:ascii="Arial" w:cs="Arial" w:eastAsia="Arial" w:hAnsi="Arial"/>
          <w:sz w:val="16"/>
          <w:szCs w:val="16"/>
          <w:color w:val="auto"/>
        </w:rPr>
        <w:t>,</w:t>
      </w:r>
      <w:r>
        <w:rPr>
          <w:rFonts w:ascii="Arial" w:cs="Arial" w:eastAsia="Arial" w:hAnsi="Arial"/>
          <w:sz w:val="16"/>
          <w:szCs w:val="16"/>
          <w:i w:val="1"/>
          <w:iCs w:val="1"/>
          <w:color w:val="auto"/>
        </w:rPr>
        <w:t xml:space="preserve"> LivingXL </w:t>
      </w:r>
      <w:r>
        <w:rPr>
          <w:rFonts w:ascii="Arial" w:cs="Arial" w:eastAsia="Arial" w:hAnsi="Arial"/>
          <w:sz w:val="16"/>
          <w:szCs w:val="16"/>
          <w:color w:val="auto"/>
        </w:rPr>
        <w:t>and</w:t>
      </w:r>
      <w:r>
        <w:rPr>
          <w:rFonts w:ascii="Arial" w:cs="Arial" w:eastAsia="Arial" w:hAnsi="Arial"/>
          <w:sz w:val="16"/>
          <w:szCs w:val="16"/>
          <w:i w:val="1"/>
          <w:iCs w:val="1"/>
          <w:color w:val="auto"/>
        </w:rPr>
        <w:t xml:space="preserve"> ShoesXL</w:t>
      </w:r>
      <w:r>
        <w:rPr>
          <w:rFonts w:ascii="Arial" w:cs="Arial" w:eastAsia="Arial" w:hAnsi="Arial"/>
          <w:sz w:val="16"/>
          <w:szCs w:val="16"/>
          <w:color w:val="auto"/>
        </w:rPr>
        <w:t>, announced today its sales and operating results for the second quarter and first six months of fiscal 2008.</w:t>
      </w:r>
    </w:p>
    <w:p>
      <w:pPr>
        <w:spacing w:after="0" w:line="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Comparable sales for the thirteen week period ended August 2, 2008 increased 0.3% when compared to the same period of the prior year. For the twenty-six week period ended August 2, 2008 comparable sales decreased 0.8% as compared to the same period of the prior year. Total sales for the second quarter of fiscal 2008 remained flat at $113.5 million as compared to the second quarter of fiscal 2007. For the first six months of fiscal 2008, total sales decreased 1.4% to $221.1 million as compared to $224.2 million for the same period in the prior year.</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second quarter of fiscal 2008, net income was $1.9 million, or $0.05 per diluted share, compared to net income for the second quarter of fiscal 2007 of $2.5 million, or $0.06 per diluted share. For the first six months of fiscal 2008, net income was $2.0 million, or $0.05 per diluted share, as compared to net income of $3.6 million, or $0.08 per diluted share for the first six months of fiscal 2007.</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“Despite the continued weakness in the economy and in the men’s apparel business, we saw an improvement in our sales performance trends this past quarter. Although overall store traffic continues to be down, our conversion rates and average sales transactions are up, which indicate to us we are executing well in this difficult retail environment,” said David Levin, President and CEO of Casual Male.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Guidance and Highlights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revised its earnings guidance for fiscal 2008 to $0.22 to $0.27 per diluted share, a decrease of $0.03 per diluted share from prior guidance, based on an estimated total sales level of $470 to $475 million. The earnings guidance was adjusted primarily as a result of expectations of continued weakness in the economy and softness in traffic and sales trends.</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Investors are invited to listen to a broadcast of the Company’s conference call to discuss its second quarter and first six months of fiscal 2008 earnings results. The conference call will broadcast live</w:t>
      </w:r>
    </w:p>
    <w:p>
      <w:pPr>
        <w:sectPr>
          <w:pgSz w:w="11900" w:h="16838" w:orient="portrait"/>
          <w:cols w:equalWidth="0" w:num="1">
            <w:col w:w="11420"/>
          </w:cols>
          <w:pgMar w:left="240" w:top="125" w:right="239" w:bottom="1440" w:gutter="0" w:footer="0" w:header="0"/>
        </w:sectPr>
      </w:pPr>
    </w:p>
    <w:bookmarkStart w:id="4" w:name="page5"/>
    <w:bookmarkEnd w:id="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today, Thursday, August 21, 2008 at 9:00 a.m. Eastern Time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and then click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London, England, operates 463 Casual Male XL retail and outlet stores, 27 Rochester Clothing stores, and direct to 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Certain information contained in this press release, including the Company’s expectations regarding sales and operating results for fiscal 2008, constitutes forward-looking statements under the federal securities laws. The discussion of forward-looking information requires management of the Company to make certain estimates and assumptions regarding the overall retail environment and the Company’s strategic plans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26, 2008, that set forth certain risks and uncertainties that may have an impact on future results and direction of the Company.</w:t>
      </w:r>
    </w:p>
    <w:p>
      <w:pPr>
        <w:spacing w:after="0" w:line="11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89"/>
              </w:rPr>
              <w:t>For the three months ended</w:t>
            </w:r>
          </w:p>
        </w:tc>
        <w:tc>
          <w:tcPr>
            <w:tcW w:w="200" w:type="dxa"/>
            <w:vAlign w:val="bottom"/>
          </w:tcPr>
          <w:p>
            <w:pPr>
              <w:spacing w:after="0"/>
              <w:rPr>
                <w:sz w:val="14"/>
                <w:szCs w:val="14"/>
                <w:color w:val="auto"/>
              </w:rPr>
            </w:pPr>
          </w:p>
        </w:tc>
        <w:tc>
          <w:tcPr>
            <w:tcW w:w="20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2, 2008</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460" w:type="dxa"/>
            <w:vAlign w:val="bottom"/>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August 2, 2008</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113,475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113,529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221,117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60,699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121,440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8,275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per share - 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2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8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43,338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41,690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 2008 and February 2,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August 2, 2008</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0"/>
              </w:rPr>
              <w:t>February 2,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5,643</w:t>
            </w:r>
          </w:p>
        </w:tc>
        <w:tc>
          <w:tcPr>
            <w:tcW w:w="5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14,647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60,794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99,143</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321,524</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44,896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gain, net of current portion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24,180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185,068</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321,524</w:t>
            </w:r>
          </w:p>
        </w:tc>
        <w:tc>
          <w:tcPr>
            <w:tcW w:w="5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325,361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2019-12-20T19:46:42Z</dcterms:created>
  <dcterms:modified xsi:type="dcterms:W3CDTF">2019-12-20T19:46:42Z</dcterms:modified>
</cp:coreProperties>
</file>