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MESDAG WILLEM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220"/>
        <w:spacing w:after="0" w:line="292" w:lineRule="auto"/>
        <w:rPr>
          <w:sz w:val="20"/>
          <w:szCs w:val="20"/>
          <w:color w:val="auto"/>
        </w:rPr>
      </w:pPr>
      <w:r>
        <w:rPr>
          <w:rFonts w:ascii="Arial" w:cs="Arial" w:eastAsia="Arial" w:hAnsi="Arial"/>
          <w:sz w:val="17"/>
          <w:szCs w:val="17"/>
          <w:color w:val="0000FF"/>
        </w:rPr>
        <w:t>C/O RED MOUNTAIN CAPITAL MANAGEMENT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1999 AVENUE OF THE STARS, STE 1100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05/01/2023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05/01/2023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8,127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2,577,892</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issued pursuant to the Director's elected form of compensation for quarterly annual retainer and committee chairperson fee. The Reporting Person's ownership includes (i) 420,286 shares held by the Mesdag Family Limited Partnership, (ii) 97,529 shares held by the Mesdag Family Foundation, (iii) 44,746 shares held by the 2012 Mesdag Trust, (iv) 1,763,373 shares held by Red Mountain Capital Partners LLC, and (v) 251,958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Willem Mesdag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08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of himself and the other</w:t>
      </w:r>
      <w:r>
        <w:rPr>
          <w:sz w:val="20"/>
          <w:szCs w:val="20"/>
          <w:color w:val="auto"/>
        </w:rPr>
        <w:tab/>
      </w:r>
      <w:r>
        <w:rPr>
          <w:rFonts w:ascii="Arial" w:cs="Arial" w:eastAsia="Arial" w:hAnsi="Arial"/>
          <w:sz w:val="15"/>
          <w:szCs w:val="15"/>
          <w:color w:val="0000FF"/>
        </w:rPr>
        <w:t>05/03/2023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2023-05-03T15:18:45Z</dcterms:created>
  <dcterms:modified xsi:type="dcterms:W3CDTF">2023-05-03T15:18:45Z</dcterms:modified>
</cp:coreProperties>
</file>