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9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33020"/>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269240</wp:posOffset>
            </wp:positionV>
            <wp:extent cx="725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8255"/>
                    </a:xfrm>
                    <a:prstGeom prst="rect">
                      <a:avLst/>
                    </a:prstGeom>
                    <a:noFill/>
                  </pic:spPr>
                </pic:pic>
              </a:graphicData>
            </a:graphic>
          </wp:anchor>
        </w:drawing>
        <w:t>SECURITIES AND EXCHANGE COMMISSION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SCHEDULE 13D</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 xml:space="preserve">(Amendment No.1) </w:t>
      </w:r>
      <w:r>
        <w:rPr>
          <w:rFonts w:ascii="Times New Roman" w:cs="Times New Roman" w:eastAsia="Times New Roman" w:hAnsi="Times New Roman"/>
          <w:sz w:val="28"/>
          <w:szCs w:val="28"/>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139065</wp:posOffset>
            </wp:positionV>
            <wp:extent cx="217170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1700" cy="1651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Destination XL Group, Inc.</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25065K104</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 Carlo Cannell</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Cannell Capital LLC</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245 Meriwether Circle</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Alta, WY 83414</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(307) 733-2284</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to Receive Notices and Communications)</w:t>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May 3, 2018</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203200</wp:posOffset>
            </wp:positionV>
            <wp:extent cx="217170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17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380"/>
        <w:spacing w:after="0" w:line="224" w:lineRule="exact"/>
        <w:rPr>
          <w:sz w:val="20"/>
          <w:szCs w:val="20"/>
          <w:color w:val="auto"/>
        </w:rPr>
      </w:pPr>
      <w:r>
        <w:rPr>
          <w:rFonts w:ascii="Times New Roman" w:cs="Times New Roman" w:eastAsia="Times New Roman" w:hAnsi="Times New Roman"/>
          <w:sz w:val="17"/>
          <w:szCs w:val="17"/>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7"/>
          <w:szCs w:val="17"/>
          <w:color w:val="auto"/>
        </w:rPr>
        <w:t>☐</w:t>
      </w:r>
    </w:p>
    <w:p>
      <w:pPr>
        <w:spacing w:after="0" w:line="195" w:lineRule="exact"/>
        <w:rPr>
          <w:sz w:val="24"/>
          <w:szCs w:val="24"/>
          <w:color w:val="auto"/>
        </w:rPr>
      </w:pPr>
    </w:p>
    <w:p>
      <w:pPr>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Note. </w:t>
      </w:r>
      <w:r>
        <w:rPr>
          <w:rFonts w:ascii="Times New Roman" w:cs="Times New Roman" w:eastAsia="Times New Roman" w:hAnsi="Times New Roman"/>
          <w:sz w:val="17"/>
          <w:szCs w:val="17"/>
          <w:color w:val="auto"/>
        </w:rPr>
        <w:t>Schedules filed in paper format shall include a signed original and five copies of the schedule, including all exhibits. See §240.13d-7 for other parties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whom copies are to be sent.</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(Continued on following pages)</w:t>
      </w:r>
    </w:p>
    <w:p>
      <w:pPr>
        <w:spacing w:after="0" w:line="2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(Page 1 of 8 pages)</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w:t>
      </w:r>
    </w:p>
    <w:p>
      <w:pPr>
        <w:spacing w:after="0" w:line="28" w:lineRule="exact"/>
        <w:rPr>
          <w:sz w:val="24"/>
          <w:szCs w:val="24"/>
          <w:color w:val="auto"/>
        </w:rPr>
      </w:pPr>
    </w:p>
    <w:p>
      <w:pPr>
        <w:ind w:right="660" w:firstLine="3"/>
        <w:spacing w:after="0" w:line="267" w:lineRule="auto"/>
        <w:tabs>
          <w:tab w:leader="none" w:pos="12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4" w:lineRule="exact"/>
        <w:rPr>
          <w:sz w:val="24"/>
          <w:szCs w:val="24"/>
          <w:color w:val="auto"/>
        </w:rPr>
      </w:pPr>
    </w:p>
    <w:p>
      <w:pPr>
        <w:ind w:right="640"/>
        <w:spacing w:after="0" w:line="280"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xml:space="preserve">”) or otherwise subject to the liabilities of that section of the Act but shall be subject to all other provisions of the Act (however,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w:t>
      </w:r>
    </w:p>
    <w:p>
      <w:pPr>
        <w:spacing w:after="0" w:line="396" w:lineRule="exact"/>
        <w:rPr>
          <w:sz w:val="24"/>
          <w:szCs w:val="24"/>
          <w:color w:val="auto"/>
        </w:rPr>
      </w:pPr>
    </w:p>
    <w:p>
      <w:pPr>
        <w:ind w:right="840"/>
        <w:spacing w:after="0" w:line="287" w:lineRule="auto"/>
        <w:rPr>
          <w:sz w:val="20"/>
          <w:szCs w:val="20"/>
          <w:color w:val="auto"/>
        </w:rPr>
      </w:pPr>
      <w:r>
        <w:rPr>
          <w:rFonts w:ascii="Times New Roman" w:cs="Times New Roman" w:eastAsia="Times New Roman" w:hAnsi="Times New Roman"/>
          <w:sz w:val="17"/>
          <w:szCs w:val="17"/>
          <w:color w:val="auto"/>
        </w:rPr>
        <w:t>Potential persons who are to respond to the collection of information contained in this form are not required to respond unless the form displays a current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85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9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254635</wp:posOffset>
            </wp:positionV>
            <wp:extent cx="685927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92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598805</wp:posOffset>
            </wp:positionV>
            <wp:extent cx="72529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7"/>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CUSIP No. 25065K104</w:t>
            </w:r>
          </w:p>
        </w:tc>
        <w:tc>
          <w:tcPr>
            <w:tcW w:w="580" w:type="dxa"/>
            <w:vAlign w:val="bottom"/>
          </w:tcPr>
          <w:p>
            <w:pPr>
              <w:spacing w:after="0"/>
              <w:rPr>
                <w:sz w:val="19"/>
                <w:szCs w:val="19"/>
                <w:color w:val="auto"/>
              </w:rPr>
            </w:pPr>
          </w:p>
        </w:tc>
        <w:tc>
          <w:tcPr>
            <w:tcW w:w="8740" w:type="dxa"/>
            <w:vAlign w:val="bottom"/>
            <w:gridSpan w:val="2"/>
          </w:tcPr>
          <w:p>
            <w:pPr>
              <w:ind w:left="7480"/>
              <w:spacing w:after="0"/>
              <w:rPr>
                <w:sz w:val="20"/>
                <w:szCs w:val="20"/>
                <w:color w:val="auto"/>
              </w:rPr>
            </w:pPr>
            <w:r>
              <w:rPr>
                <w:rFonts w:ascii="Times New Roman" w:cs="Times New Roman" w:eastAsia="Times New Roman" w:hAnsi="Times New Roman"/>
                <w:sz w:val="17"/>
                <w:szCs w:val="17"/>
                <w:b w:val="1"/>
                <w:bCs w:val="1"/>
                <w:color w:val="auto"/>
                <w:w w:val="98"/>
              </w:rPr>
              <w:t>Page 2 of 8 pages</w:t>
            </w:r>
          </w:p>
        </w:tc>
        <w:tc>
          <w:tcPr>
            <w:tcW w:w="0" w:type="dxa"/>
            <w:vAlign w:val="bottom"/>
          </w:tcPr>
          <w:p>
            <w:pPr>
              <w:spacing w:after="0"/>
              <w:rPr>
                <w:sz w:val="1"/>
                <w:szCs w:val="1"/>
                <w:color w:val="auto"/>
              </w:rPr>
            </w:pPr>
          </w:p>
        </w:tc>
      </w:tr>
      <w:tr>
        <w:trPr>
          <w:trHeight w:val="232"/>
        </w:trPr>
        <w:tc>
          <w:tcPr>
            <w:tcW w:w="134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gridSpan w:val="4"/>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tcPr>
          <w:p>
            <w:pPr>
              <w:spacing w:after="0"/>
              <w:rPr>
                <w:sz w:val="19"/>
                <w:szCs w:val="19"/>
                <w:color w:val="auto"/>
              </w:rPr>
            </w:pP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NAMES OF REPORTING PERSONS</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0"/>
              </w:rPr>
              <w:t>1</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I.R.S. IDENTIFICATION NOS. OF ABOVE PERSONS (ENTITIES ONLY)</w:t>
            </w:r>
          </w:p>
        </w:tc>
        <w:tc>
          <w:tcPr>
            <w:tcW w:w="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right w:val="single" w:sz="8" w:color="auto"/>
            </w:tcBorders>
            <w:vMerge w:val="continue"/>
          </w:tcPr>
          <w:p>
            <w:pPr>
              <w:spacing w:after="0"/>
              <w:rPr>
                <w:sz w:val="18"/>
                <w:szCs w:val="18"/>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J. Carlo Cannell</w:t>
            </w:r>
          </w:p>
        </w:tc>
        <w:tc>
          <w:tcPr>
            <w:tcW w:w="8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340" w:type="dxa"/>
            <w:vAlign w:val="bottom"/>
            <w:tcBorders>
              <w:left w:val="single" w:sz="8" w:color="auto"/>
              <w:right w:val="single" w:sz="8" w:color="auto"/>
            </w:tcBorders>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820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9560" w:type="dxa"/>
            <w:vAlign w:val="bottom"/>
            <w:tcBorders>
              <w:bottom w:val="single" w:sz="8" w:color="auto"/>
            </w:tcBorders>
            <w:gridSpan w:val="4"/>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0"/>
              </w:rPr>
              <w:t>2</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CHECK THE APPROPRIATE BOX IF A MEMBER OF A GROUP</w:t>
            </w:r>
          </w:p>
        </w:tc>
        <w:tc>
          <w:tcPr>
            <w:tcW w:w="54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(a)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32"/>
        </w:trPr>
        <w:tc>
          <w:tcPr>
            <w:tcW w:w="13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82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0"/>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7"/>
                <w:szCs w:val="17"/>
                <w:b w:val="1"/>
                <w:bCs w:val="1"/>
                <w:color w:val="auto"/>
              </w:rPr>
              <w:t>SEC USE ONLY</w:t>
            </w:r>
          </w:p>
        </w:tc>
        <w:tc>
          <w:tcPr>
            <w:tcW w:w="8200" w:type="dxa"/>
            <w:vAlign w:val="bottom"/>
            <w:shd w:val="clear" w:color="auto" w:fill="BFBFBF"/>
          </w:tcPr>
          <w:p>
            <w:pPr>
              <w:spacing w:after="0"/>
              <w:rPr>
                <w:sz w:val="19"/>
                <w:szCs w:val="19"/>
                <w:color w:val="auto"/>
              </w:rPr>
            </w:pPr>
          </w:p>
        </w:tc>
        <w:tc>
          <w:tcPr>
            <w:tcW w:w="5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3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0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00" w:type="dxa"/>
            <w:vAlign w:val="bottom"/>
            <w:tcBorders>
              <w:bottom w:val="single" w:sz="8" w:color="auto"/>
            </w:tcBorders>
            <w:shd w:val="clear" w:color="auto" w:fill="BFBFBF"/>
          </w:tcPr>
          <w:p>
            <w:pPr>
              <w:spacing w:after="0"/>
              <w:rPr>
                <w:sz w:val="22"/>
                <w:szCs w:val="22"/>
                <w:color w:val="auto"/>
              </w:rPr>
            </w:pPr>
          </w:p>
        </w:tc>
        <w:tc>
          <w:tcPr>
            <w:tcW w:w="54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0"/>
              </w:rPr>
              <w:t>4</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SOURCE OF FUNDS (SEE INSTRUCTIONS)</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4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WC/OO</w:t>
            </w: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9560" w:type="dxa"/>
            <w:vAlign w:val="bottom"/>
            <w:tcBorders>
              <w:bottom w:val="single" w:sz="8" w:color="auto"/>
            </w:tcBorders>
            <w:gridSpan w:val="4"/>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0"/>
              </w:rPr>
              <w:t>5</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CHECK BOX IF DISCLOSURE OF LEGAL PROCEEDINGS IS REQUIRED PURSUANT TO ITEM 2(D) OR 2(E)</w:t>
            </w:r>
          </w:p>
        </w:tc>
        <w:tc>
          <w:tcPr>
            <w:tcW w:w="540" w:type="dxa"/>
            <w:vAlign w:val="bottom"/>
            <w:tcBorders>
              <w:right w:val="single" w:sz="8" w:color="auto"/>
            </w:tcBorders>
          </w:tcPr>
          <w:p>
            <w:pPr>
              <w:jc w:val="right"/>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02"/>
        </w:trPr>
        <w:tc>
          <w:tcPr>
            <w:tcW w:w="13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9560" w:type="dxa"/>
            <w:vAlign w:val="bottom"/>
            <w:tcBorders>
              <w:bottom w:val="single" w:sz="8" w:color="auto"/>
            </w:tcBorders>
            <w:gridSpan w:val="4"/>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0"/>
              </w:rPr>
              <w:t>6</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CITIZENSHIP OR PLACE OF ORGANIZATION</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4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USA</w:t>
            </w: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rPr>
              <w:t>7</w:t>
            </w:r>
          </w:p>
        </w:tc>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SOLE VOTING POWER</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3,680,192</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rPr>
              <w:t>8</w:t>
            </w:r>
          </w:p>
        </w:tc>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SHARED VOTING POWER</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0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00" w:type="dxa"/>
            <w:vAlign w:val="bottom"/>
            <w:vMerge w:val="continue"/>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SOLE DISPOSITIVE POWER</w:t>
            </w: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REPORTING PERSON</w:t>
            </w:r>
          </w:p>
        </w:tc>
        <w:tc>
          <w:tcPr>
            <w:tcW w:w="100" w:type="dxa"/>
            <w:vAlign w:val="bottom"/>
          </w:tcPr>
          <w:p>
            <w:pPr>
              <w:spacing w:after="0"/>
              <w:rPr>
                <w:sz w:val="17"/>
                <w:szCs w:val="17"/>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rPr>
              <w:t>9</w:t>
            </w:r>
          </w:p>
        </w:tc>
        <w:tc>
          <w:tcPr>
            <w:tcW w:w="8200" w:type="dxa"/>
            <w:vAlign w:val="bottom"/>
            <w:vMerge w:val="continue"/>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340" w:type="dxa"/>
            <w:vAlign w:val="bottom"/>
            <w:tcBorders>
              <w:left w:val="single" w:sz="8" w:color="auto"/>
            </w:tcBorders>
          </w:tcPr>
          <w:p>
            <w:pPr>
              <w:jc w:val="center"/>
              <w:ind w:left="531"/>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3,680,192</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340" w:type="dxa"/>
            <w:vAlign w:val="bottom"/>
            <w:tcBorders>
              <w:lef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200" w:type="dxa"/>
            <w:vAlign w:val="bottom"/>
            <w:vMerge w:val="continue"/>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6"/>
              </w:rPr>
              <w:t>10</w:t>
            </w:r>
          </w:p>
        </w:tc>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SHARED DISPOSITIVE POWER</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gridSpan w:val="2"/>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6"/>
              </w:rPr>
              <w:t>11</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AGGREGATE AMOUNT BENEFICIALLY OWNED BY EACH REPORTING PERSON</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4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3,680,192</w:t>
            </w: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6"/>
              </w:rPr>
              <w:t>12</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CHECK BOX IF THE AGGREGATE AMOUNT IN ROW (11) EXCLUDES CERTAIN SHARES (SEE INSTRUCTIONS)</w:t>
            </w:r>
          </w:p>
        </w:tc>
        <w:tc>
          <w:tcPr>
            <w:tcW w:w="540" w:type="dxa"/>
            <w:vAlign w:val="bottom"/>
            <w:tcBorders>
              <w:right w:val="single" w:sz="8" w:color="auto"/>
            </w:tcBorders>
          </w:tcPr>
          <w:p>
            <w:pPr>
              <w:jc w:val="right"/>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02"/>
        </w:trPr>
        <w:tc>
          <w:tcPr>
            <w:tcW w:w="13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82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6"/>
              </w:rPr>
              <w:t>13</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PERCENT OF CLASS REPRESENTED BY AMOUNT IN ROW (11)</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b w:val="1"/>
                <w:bCs w:val="1"/>
                <w:color w:val="auto"/>
                <w:w w:val="96"/>
              </w:rPr>
              <w:t>14</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TYPE OF REPORTING PERSON (SEE INSTRUCTIONS)</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4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w:t>
            </w:r>
          </w:p>
        </w:tc>
        <w:tc>
          <w:tcPr>
            <w:tcW w:w="5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3"/>
        <w:spacing w:after="0" w:line="287" w:lineRule="auto"/>
        <w:tabs>
          <w:tab w:leader="none" w:pos="12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set forth on the Form 10-K of Destination XL Group, Inc., (the “Company”) as filed with the Securities and Exchange Commission on March 23, 2018, there were 48,759,404 shares of Common Stock par value $0.01 per share (the “Shares”), of the Company issued and outstanding as of March 16, 2018.</w:t>
      </w:r>
    </w:p>
    <w:p>
      <w:pPr>
        <w:spacing w:after="0" w:line="178" w:lineRule="exact"/>
        <w:rPr>
          <w:sz w:val="20"/>
          <w:szCs w:val="20"/>
          <w:color w:val="auto"/>
        </w:rPr>
      </w:pPr>
    </w:p>
    <w:p>
      <w:pPr>
        <w:ind w:right="200" w:firstLine="120"/>
        <w:spacing w:after="0" w:line="270" w:lineRule="auto"/>
        <w:rPr>
          <w:sz w:val="20"/>
          <w:szCs w:val="20"/>
          <w:color w:val="auto"/>
        </w:rPr>
      </w:pPr>
      <w:r>
        <w:rPr>
          <w:rFonts w:ascii="Times New Roman" w:cs="Times New Roman" w:eastAsia="Times New Roman" w:hAnsi="Times New Roman"/>
          <w:sz w:val="17"/>
          <w:szCs w:val="17"/>
          <w:color w:val="auto"/>
        </w:rPr>
        <w:t>As of May 3, 2018 (the “Reporting Date”), the Cuttyhunk Master Portfolio (“Cuttyhunk”), Tristan Partners, L.P. (“Tristan”), the Tristan Offshore Fund Ltd. (“Tristan Offshore”), Tonga Partners, L.P. (“Tonga”), and collectively with Cuttyhunk, Tonga, Tristan and Tristan Offshore, the “Investment Vehicles”), held in the aggregate 3,680,192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72529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 w:name="page3"/>
    <w:bookmarkEnd w:id="2"/>
    <w:p>
      <w:pPr>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CUSIP No. 25065K104</w:t>
      </w:r>
      <w:r>
        <w:rPr>
          <w:sz w:val="20"/>
          <w:szCs w:val="20"/>
          <w:color w:val="auto"/>
        </w:rPr>
        <w:tab/>
      </w:r>
      <w:r>
        <w:rPr>
          <w:rFonts w:ascii="Times New Roman" w:cs="Times New Roman" w:eastAsia="Times New Roman" w:hAnsi="Times New Roman"/>
          <w:sz w:val="17"/>
          <w:szCs w:val="17"/>
          <w:b w:val="1"/>
          <w:bCs w:val="1"/>
          <w:color w:val="auto"/>
        </w:rPr>
        <w:t>Page 3 of 8 pages</w:t>
      </w:r>
    </w:p>
    <w:p>
      <w:pPr>
        <w:spacing w:after="0" w:line="247" w:lineRule="exact"/>
        <w:rPr>
          <w:sz w:val="20"/>
          <w:szCs w:val="20"/>
          <w:color w:val="auto"/>
        </w:rPr>
      </w:pPr>
    </w:p>
    <w:p>
      <w:pPr>
        <w:ind w:right="20" w:firstLine="310"/>
        <w:spacing w:after="0" w:line="270" w:lineRule="auto"/>
        <w:rPr>
          <w:sz w:val="20"/>
          <w:szCs w:val="20"/>
          <w:color w:val="auto"/>
        </w:rPr>
      </w:pPr>
      <w:r>
        <w:rPr>
          <w:rFonts w:ascii="Times New Roman" w:cs="Times New Roman" w:eastAsia="Times New Roman" w:hAnsi="Times New Roman"/>
          <w:sz w:val="17"/>
          <w:szCs w:val="17"/>
          <w:color w:val="auto"/>
        </w:rPr>
        <w:t>Cannell Capital LLC acts as the investment adviser to to Tonga, Tristan, Tristan Offshore, and the investor sub-advisor for Cuttyhunk. Mr. J. Carlo Cannell is the sole managing member of Cannell Capital LLC. The Reporting Person possesses the sole power to vote and to direct the disposition of the Shares held by the Investment Vehicles.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Security and Issuer</w:t>
      </w:r>
    </w:p>
    <w:p>
      <w:pPr>
        <w:spacing w:after="0" w:line="247"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The title of the class of equity securities to which this Schedule 13D relates is the Common Stock par value $0.01 per share of Destination XL Group, Inc., a Delaware corporation. The address of the principal executive offices of the Company is 555 Turnpike Street, Canton, MA.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Identity and Background</w:t>
      </w:r>
    </w:p>
    <w:p>
      <w:pPr>
        <w:spacing w:after="0" w:line="24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Reporting Person is J. Carlo Cannell (the “Reporting Person”).</w:t>
      </w:r>
    </w:p>
    <w:p>
      <w:pPr>
        <w:spacing w:after="0" w:line="243" w:lineRule="exact"/>
        <w:rPr>
          <w:rFonts w:ascii="Times New Roman" w:cs="Times New Roman" w:eastAsia="Times New Roman" w:hAnsi="Times New Roman"/>
          <w:sz w:val="17"/>
          <w:szCs w:val="17"/>
          <w:color w:val="auto"/>
        </w:rPr>
      </w:pPr>
    </w:p>
    <w:p>
      <w:pPr>
        <w:ind w:left="620" w:right="14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Reporting Person is the sole managing member of Cannell Capital LLC, an investment sub-advisor for the Cuttyhunk Master Portfolio and investment adviser to the following entities:</w:t>
      </w:r>
    </w:p>
    <w:p>
      <w:pPr>
        <w:spacing w:after="0" w:line="177" w:lineRule="exact"/>
        <w:rPr>
          <w:rFonts w:ascii="Times New Roman" w:cs="Times New Roman" w:eastAsia="Times New Roman" w:hAnsi="Times New Roman"/>
          <w:sz w:val="17"/>
          <w:szCs w:val="17"/>
          <w:color w:val="auto"/>
        </w:rPr>
      </w:pPr>
    </w:p>
    <w:p>
      <w:pPr>
        <w:ind w:left="620" w:right="890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Tonga Partners, L.P. Tristan Partners, L.P. Tristan Offshore Fund, Ltd.</w:t>
      </w:r>
    </w:p>
    <w:p>
      <w:pPr>
        <w:spacing w:after="0" w:line="192" w:lineRule="exact"/>
        <w:rPr>
          <w:rFonts w:ascii="Times New Roman" w:cs="Times New Roman" w:eastAsia="Times New Roman" w:hAnsi="Times New Roman"/>
          <w:sz w:val="17"/>
          <w:szCs w:val="17"/>
          <w:color w:val="auto"/>
        </w:rPr>
      </w:pPr>
    </w:p>
    <w:p>
      <w:pPr>
        <w:jc w:val="both"/>
        <w:ind w:left="620" w:right="18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forth in the attached Annex “A” and incorporated herein by reference is a listing of the directors, general partners, managing members and controlling persons of the Reporting Person and the Investment Vehicles (collectively, the “Covered Persons”), and sets forth the principal occupation, citizenship and principal place of business of each Covered Person.</w:t>
      </w:r>
    </w:p>
    <w:p>
      <w:pPr>
        <w:spacing w:after="0" w:line="19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business address of the Reporting Person is:</w:t>
      </w:r>
    </w:p>
    <w:p>
      <w:pPr>
        <w:spacing w:after="0" w:line="243" w:lineRule="exact"/>
        <w:rPr>
          <w:rFonts w:ascii="Times New Roman" w:cs="Times New Roman" w:eastAsia="Times New Roman" w:hAnsi="Times New Roman"/>
          <w:sz w:val="17"/>
          <w:szCs w:val="17"/>
          <w:color w:val="auto"/>
        </w:rPr>
      </w:pPr>
    </w:p>
    <w:p>
      <w:pPr>
        <w:ind w:left="620" w:right="924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245 Meriwether Circle Alta, WY 83414</w:t>
      </w:r>
    </w:p>
    <w:p>
      <w:pPr>
        <w:spacing w:after="0" w:line="177" w:lineRule="exact"/>
        <w:rPr>
          <w:rFonts w:ascii="Times New Roman" w:cs="Times New Roman" w:eastAsia="Times New Roman" w:hAnsi="Times New Roman"/>
          <w:sz w:val="17"/>
          <w:szCs w:val="17"/>
          <w:color w:val="auto"/>
        </w:rPr>
      </w:pPr>
    </w:p>
    <w:p>
      <w:pPr>
        <w:ind w:left="620" w:right="74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business of the Reporting Person is the performance of investment management and advisory services. The principal business of the Investment Vehicles is investment in securities.</w:t>
      </w:r>
    </w:p>
    <w:p>
      <w:pPr>
        <w:spacing w:after="0" w:line="177" w:lineRule="exact"/>
        <w:rPr>
          <w:rFonts w:ascii="Times New Roman" w:cs="Times New Roman" w:eastAsia="Times New Roman" w:hAnsi="Times New Roman"/>
          <w:sz w:val="17"/>
          <w:szCs w:val="17"/>
          <w:color w:val="auto"/>
        </w:rPr>
      </w:pPr>
    </w:p>
    <w:p>
      <w:pPr>
        <w:ind w:left="620" w:right="50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Reporting Person, nor to the best of its knowledge, any of the Investment Vehicles, has, in the last five years, been convicted in a criminal proceeding (excluding traffic violations or similar misdemeanors).</w:t>
      </w:r>
    </w:p>
    <w:p>
      <w:pPr>
        <w:spacing w:after="0" w:line="177" w:lineRule="exact"/>
        <w:rPr>
          <w:rFonts w:ascii="Times New Roman" w:cs="Times New Roman" w:eastAsia="Times New Roman" w:hAnsi="Times New Roman"/>
          <w:sz w:val="17"/>
          <w:szCs w:val="17"/>
          <w:color w:val="auto"/>
        </w:rPr>
      </w:pPr>
    </w:p>
    <w:p>
      <w:pPr>
        <w:ind w:left="620" w:right="6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Reporting Person, nor to the best of its knowledge, any of the Investment Vehicles, has, during the last five years, been a party to a civil proceeding of a judicial or administrative body of competent jurisdiction and as a result of such proceeding was or is subject to a judgement, decree or final order enjoining future violations of, or prohibiting or mandating activities subject to, federal or state securities laws or finding any violations with respect to such laws.</w:t>
      </w:r>
    </w:p>
    <w:p>
      <w:pPr>
        <w:spacing w:after="0" w:line="19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of organization of the Reporting Person is as follows:</w:t>
      </w:r>
    </w:p>
    <w:p>
      <w:pPr>
        <w:spacing w:after="0" w:line="243" w:lineRule="exact"/>
        <w:rPr>
          <w:rFonts w:ascii="Times New Roman" w:cs="Times New Roman" w:eastAsia="Times New Roman" w:hAnsi="Times New Roman"/>
          <w:sz w:val="17"/>
          <w:szCs w:val="17"/>
          <w:color w:val="auto"/>
        </w:rPr>
      </w:pPr>
    </w:p>
    <w:p>
      <w:pPr>
        <w:ind w:left="620" w:right="2920"/>
        <w:spacing w:after="0" w:line="5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citizenship of each Covered Person is set forth on the attached Annex A and incorporated herein by reference. Mr. J. Carlo Cannell is the Managing Member of Cannell Capital LLC, a Wyoming limited liability company.</w:t>
      </w:r>
    </w:p>
    <w:p>
      <w:pPr>
        <w:spacing w:after="0"/>
        <w:rPr>
          <w:sz w:val="20"/>
          <w:szCs w:val="20"/>
          <w:color w:val="auto"/>
        </w:rPr>
      </w:pPr>
      <w:r>
        <w:rPr>
          <w:rFonts w:ascii="Times New Roman" w:cs="Times New Roman" w:eastAsia="Times New Roman" w:hAnsi="Times New Roman"/>
          <w:sz w:val="17"/>
          <w:szCs w:val="17"/>
          <w:b w:val="1"/>
          <w:bCs w:val="1"/>
          <w:color w:val="auto"/>
        </w:rPr>
        <w:t>Item 3.  Source and Amount of Funds or Other Consideration</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securities to which this statement relates were acquired by the Reporting Person using the working capital of each Investment Vehicle as follows: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Cuttyhunk Master Portfolio: $275,585</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Tonga Partners, L.P.: $993,308</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Tristan Partners, L.P.: $3,942,957</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Tristan Offshore Fund, Ltd.: $2,019,166</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Investment Vehicles have invested an aggregate amount of approximately $7,231,016 in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2529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CUSIP No. 25065K104</w:t>
      </w:r>
      <w:r>
        <w:rPr>
          <w:sz w:val="20"/>
          <w:szCs w:val="20"/>
          <w:color w:val="auto"/>
        </w:rPr>
        <w:tab/>
      </w:r>
      <w:r>
        <w:rPr>
          <w:rFonts w:ascii="Times New Roman" w:cs="Times New Roman" w:eastAsia="Times New Roman" w:hAnsi="Times New Roman"/>
          <w:sz w:val="17"/>
          <w:szCs w:val="17"/>
          <w:b w:val="1"/>
          <w:bCs w:val="1"/>
          <w:color w:val="auto"/>
        </w:rPr>
        <w:t>Page 4 of 8 pages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Purpose of Transaction</w:t>
      </w:r>
    </w:p>
    <w:p>
      <w:pPr>
        <w:spacing w:after="0" w:line="247" w:lineRule="exact"/>
        <w:rPr>
          <w:sz w:val="20"/>
          <w:szCs w:val="20"/>
          <w:color w:val="auto"/>
        </w:rPr>
      </w:pPr>
    </w:p>
    <w:p>
      <w:pPr>
        <w:ind w:left="320" w:right="100"/>
        <w:spacing w:after="0" w:line="287" w:lineRule="auto"/>
        <w:rPr>
          <w:sz w:val="20"/>
          <w:szCs w:val="20"/>
          <w:color w:val="auto"/>
        </w:rPr>
      </w:pPr>
      <w:r>
        <w:rPr>
          <w:rFonts w:ascii="Times New Roman" w:cs="Times New Roman" w:eastAsia="Times New Roman" w:hAnsi="Times New Roman"/>
          <w:sz w:val="17"/>
          <w:szCs w:val="17"/>
          <w:color w:val="auto"/>
        </w:rPr>
        <w:t>Mr. Cannell, on behalf of the Investment Vehicles, identified the Company as an entity satisfying each Investment Vehicle’s investment criteria. The Investment Vehicles acquired and continue to hold the Shares as a long-term investment.</w:t>
      </w:r>
    </w:p>
    <w:p>
      <w:pPr>
        <w:spacing w:after="0" w:line="178" w:lineRule="exact"/>
        <w:rPr>
          <w:sz w:val="20"/>
          <w:szCs w:val="20"/>
          <w:color w:val="auto"/>
        </w:rPr>
      </w:pPr>
    </w:p>
    <w:p>
      <w:pPr>
        <w:ind w:left="320" w:right="8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Mr. Cannell files this Amendment to disclose that he has had conversations with some of the Company’s directors regarding potential improvements to the Company’s board of directors and management. Mr. Cannell also files this Amendment to disclose that he sent the Company a letter nominating four candidates for election as director at the Company’s 2018 Annual Meeting. This letter is attached as </w:t>
      </w:r>
      <w:hyperlink w:anchor="page9">
        <w:r>
          <w:rPr>
            <w:rFonts w:ascii="Times New Roman" w:cs="Times New Roman" w:eastAsia="Times New Roman" w:hAnsi="Times New Roman"/>
            <w:sz w:val="17"/>
            <w:szCs w:val="17"/>
            <w:u w:val="single" w:color="auto"/>
            <w:color w:val="0000EE"/>
          </w:rPr>
          <w:t>Exhibit 99</w:t>
        </w:r>
      </w:hyperlink>
      <w:r>
        <w:rPr>
          <w:rFonts w:ascii="Times New Roman" w:cs="Times New Roman" w:eastAsia="Times New Roman" w:hAnsi="Times New Roman"/>
          <w:sz w:val="17"/>
          <w:szCs w:val="17"/>
          <w:color w:val="auto"/>
        </w:rPr>
        <w:t>. Mr. Cannell urges shareholders of the Company to monitor http://www.savedestinationxl.com/ for future updates.</w:t>
      </w:r>
    </w:p>
    <w:p>
      <w:pPr>
        <w:spacing w:after="0" w:line="198" w:lineRule="exact"/>
        <w:rPr>
          <w:sz w:val="20"/>
          <w:szCs w:val="20"/>
          <w:color w:val="auto"/>
        </w:rPr>
      </w:pPr>
    </w:p>
    <w:p>
      <w:pPr>
        <w:ind w:left="320" w:right="20"/>
        <w:spacing w:after="0" w:line="262" w:lineRule="auto"/>
        <w:rPr>
          <w:sz w:val="20"/>
          <w:szCs w:val="20"/>
          <w:color w:val="auto"/>
        </w:rPr>
      </w:pPr>
      <w:r>
        <w:rPr>
          <w:rFonts w:ascii="Times New Roman" w:cs="Times New Roman" w:eastAsia="Times New Roman" w:hAnsi="Times New Roman"/>
          <w:sz w:val="17"/>
          <w:szCs w:val="17"/>
          <w:color w:val="auto"/>
        </w:rPr>
        <w:t>Above and beyond the action summarized above, Mr. Cannell reserves the right to discuss various views and opinions with respect to the Company and its business plans with the Company or the members of its senior management. The discussion of such views and opinions may extend from ordinary day-to-day business operations to matters such as nominees for representation on the Company’s board of directors, senior management decisions and extraordinary business transactions. Mr. Cannell reserves the right to take such action as he may deem necessary from time to time to seek to maximize the value of the Shares. Such actions may include, but may not necessarily be limited to, pursuit of strategic initiatives to enhance shareholder value.</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Mr. Cannell reserves the right to engage in any of the actions specified in Items 4(a) through 4(j) of the Schedule 13D general instructions.</w:t>
      </w:r>
    </w:p>
    <w:p>
      <w:pPr>
        <w:spacing w:after="0" w:line="243" w:lineRule="exact"/>
        <w:rPr>
          <w:sz w:val="20"/>
          <w:szCs w:val="20"/>
          <w:color w:val="auto"/>
        </w:rPr>
      </w:pPr>
    </w:p>
    <w:p>
      <w:pPr>
        <w:ind w:left="320" w:right="160"/>
        <w:spacing w:after="0" w:line="287" w:lineRule="auto"/>
        <w:rPr>
          <w:sz w:val="20"/>
          <w:szCs w:val="20"/>
          <w:color w:val="auto"/>
        </w:rPr>
      </w:pPr>
      <w:r>
        <w:rPr>
          <w:rFonts w:ascii="Times New Roman" w:cs="Times New Roman" w:eastAsia="Times New Roman" w:hAnsi="Times New Roman"/>
          <w:sz w:val="17"/>
          <w:szCs w:val="17"/>
          <w:color w:val="auto"/>
        </w:rPr>
        <w:t>Except as set forth above, Mr. Cannell has no present plans or proposals that relate to or would result in any of the transactions described in Item 4 of Schedule 13D.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 in Securities of the Issuer</w:t>
      </w:r>
    </w:p>
    <w:p>
      <w:pPr>
        <w:spacing w:after="0" w:line="247" w:lineRule="exact"/>
        <w:rPr>
          <w:sz w:val="20"/>
          <w:szCs w:val="20"/>
          <w:color w:val="auto"/>
        </w:rPr>
      </w:pPr>
    </w:p>
    <w:p>
      <w:pPr>
        <w:ind w:left="320" w:right="160"/>
        <w:spacing w:after="0" w:line="287" w:lineRule="auto"/>
        <w:rPr>
          <w:sz w:val="20"/>
          <w:szCs w:val="20"/>
          <w:color w:val="auto"/>
        </w:rPr>
      </w:pPr>
      <w:r>
        <w:rPr>
          <w:rFonts w:ascii="Times New Roman" w:cs="Times New Roman" w:eastAsia="Times New Roman" w:hAnsi="Times New Roman"/>
          <w:sz w:val="17"/>
          <w:szCs w:val="17"/>
          <w:color w:val="auto"/>
        </w:rPr>
        <w:t>Based on information set forth in the Company’s Form 10-K as filed with the Securities and Exchange Commission on March 23, 2018, there were 48,759,404 Common Shares issued and outstanding as of March 16, 2018.</w:t>
      </w:r>
    </w:p>
    <w:p>
      <w:pPr>
        <w:spacing w:after="0" w:line="178" w:lineRule="exact"/>
        <w:rPr>
          <w:sz w:val="20"/>
          <w:szCs w:val="20"/>
          <w:color w:val="auto"/>
        </w:rPr>
      </w:pPr>
    </w:p>
    <w:p>
      <w:pPr>
        <w:ind w:left="320" w:right="580" w:hanging="7"/>
        <w:spacing w:after="0" w:line="287" w:lineRule="auto"/>
        <w:tabs>
          <w:tab w:leader="none" w:pos="5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Reporting Date, for the purposes of Reg. Section 240.13d-3, Cannell Capital LLC may be deemed to beneficially own 3,680,192 Shares, or approximately 7.55% of the Shares deemed issued and outstanding as of the Reporting Date.</w:t>
      </w:r>
    </w:p>
    <w:p>
      <w:pPr>
        <w:spacing w:after="0" w:line="177" w:lineRule="exact"/>
        <w:rPr>
          <w:rFonts w:ascii="Times New Roman" w:cs="Times New Roman" w:eastAsia="Times New Roman" w:hAnsi="Times New Roman"/>
          <w:sz w:val="17"/>
          <w:szCs w:val="17"/>
          <w:color w:val="auto"/>
        </w:rPr>
      </w:pPr>
    </w:p>
    <w:p>
      <w:pPr>
        <w:ind w:left="600" w:hanging="28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Cannell Capital LLC possesses the sole power to vote and to direct the disposition of the Shares held by the Investment Vehicles.</w:t>
      </w:r>
    </w:p>
    <w:p>
      <w:pPr>
        <w:spacing w:after="0" w:line="243" w:lineRule="exact"/>
        <w:rPr>
          <w:rFonts w:ascii="Times New Roman" w:cs="Times New Roman" w:eastAsia="Times New Roman" w:hAnsi="Times New Roman"/>
          <w:sz w:val="17"/>
          <w:szCs w:val="17"/>
          <w:color w:val="auto"/>
        </w:rPr>
      </w:pPr>
    </w:p>
    <w:p>
      <w:pPr>
        <w:ind w:left="320" w:right="60" w:hanging="7"/>
        <w:spacing w:after="0" w:line="264" w:lineRule="auto"/>
        <w:tabs>
          <w:tab w:leader="none" w:pos="5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details the transactions during the sixty days on or prior to the Reporting Date in Shares, or securities convertible into, exercisable for or exchangeable for Shares, by Cannell Capital LLC or any other person or entity controlled by him or any person or entity for which he possesses voting or investment control over the securities thereof (each of which was effected in an ordinary brokerage transaction by Cannell Capital LLC on behalf of the Investment Vehicles).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Price</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w:t>
            </w:r>
          </w:p>
        </w:tc>
        <w:tc>
          <w:tcPr>
            <w:tcW w:w="1720" w:type="dxa"/>
            <w:vAlign w:val="bottom"/>
          </w:tcPr>
          <w:p>
            <w:pPr>
              <w:spacing w:after="0"/>
              <w:rPr>
                <w:sz w:val="17"/>
                <w:szCs w:val="17"/>
                <w:color w:val="auto"/>
              </w:rPr>
            </w:pPr>
          </w:p>
        </w:tc>
      </w:tr>
      <w:tr>
        <w:trPr>
          <w:trHeight w:val="229"/>
        </w:trPr>
        <w:tc>
          <w:tcPr>
            <w:tcW w:w="1720" w:type="dxa"/>
            <w:vAlign w:val="bottom"/>
          </w:tcPr>
          <w:p>
            <w:pPr>
              <w:spacing w:after="0"/>
              <w:rPr>
                <w:sz w:val="19"/>
                <w:szCs w:val="19"/>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Entity</w:t>
            </w:r>
          </w:p>
        </w:tc>
        <w:tc>
          <w:tcPr>
            <w:tcW w:w="1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Date</w:t>
            </w:r>
          </w:p>
        </w:tc>
        <w:tc>
          <w:tcPr>
            <w:tcW w:w="18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Quantity</w:t>
            </w: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Per Share</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Transaction</w:t>
            </w:r>
          </w:p>
        </w:tc>
        <w:tc>
          <w:tcPr>
            <w:tcW w:w="1720" w:type="dxa"/>
            <w:vAlign w:val="bottom"/>
          </w:tcPr>
          <w:p>
            <w:pPr>
              <w:spacing w:after="0"/>
              <w:rPr>
                <w:sz w:val="19"/>
                <w:szCs w:val="19"/>
                <w:color w:val="auto"/>
              </w:rPr>
            </w:pPr>
          </w:p>
        </w:tc>
      </w:tr>
      <w:tr>
        <w:trPr>
          <w:trHeight w:val="190"/>
        </w:trPr>
        <w:tc>
          <w:tcPr>
            <w:tcW w:w="1720" w:type="dxa"/>
            <w:vAlign w:val="bottom"/>
          </w:tcPr>
          <w:p>
            <w:pPr>
              <w:spacing w:after="0"/>
              <w:rPr>
                <w:sz w:val="16"/>
                <w:szCs w:val="16"/>
                <w:color w:val="auto"/>
              </w:rPr>
            </w:pPr>
          </w:p>
        </w:tc>
        <w:tc>
          <w:tcPr>
            <w:tcW w:w="14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Cuttyhunk</w:t>
            </w:r>
          </w:p>
        </w:tc>
        <w:tc>
          <w:tcPr>
            <w:tcW w:w="1800" w:type="dxa"/>
            <w:vAlign w:val="bottom"/>
          </w:tcPr>
          <w:p>
            <w:pPr>
              <w:ind w:left="280"/>
              <w:spacing w:after="0" w:line="190" w:lineRule="exact"/>
              <w:rPr>
                <w:sz w:val="20"/>
                <w:szCs w:val="20"/>
                <w:color w:val="auto"/>
              </w:rPr>
            </w:pPr>
            <w:r>
              <w:rPr>
                <w:rFonts w:ascii="Times New Roman" w:cs="Times New Roman" w:eastAsia="Times New Roman" w:hAnsi="Times New Roman"/>
                <w:sz w:val="17"/>
                <w:szCs w:val="17"/>
                <w:color w:val="auto"/>
              </w:rPr>
              <w:t>03/23/2018</w:t>
            </w:r>
          </w:p>
        </w:tc>
        <w:tc>
          <w:tcPr>
            <w:tcW w:w="1800" w:type="dxa"/>
            <w:vAlign w:val="bottom"/>
          </w:tcPr>
          <w:p>
            <w:pPr>
              <w:jc w:val="right"/>
              <w:ind w:right="394"/>
              <w:spacing w:after="0" w:line="190" w:lineRule="exact"/>
              <w:rPr>
                <w:sz w:val="20"/>
                <w:szCs w:val="20"/>
                <w:color w:val="auto"/>
              </w:rPr>
            </w:pPr>
            <w:r>
              <w:rPr>
                <w:rFonts w:ascii="Times New Roman" w:cs="Times New Roman" w:eastAsia="Times New Roman" w:hAnsi="Times New Roman"/>
                <w:sz w:val="17"/>
                <w:szCs w:val="17"/>
                <w:color w:val="auto"/>
              </w:rPr>
              <w:t>11,094</w:t>
            </w:r>
          </w:p>
        </w:tc>
        <w:tc>
          <w:tcPr>
            <w:tcW w:w="1240" w:type="dxa"/>
            <w:vAlign w:val="bottom"/>
          </w:tcPr>
          <w:p>
            <w:pPr>
              <w:jc w:val="right"/>
              <w:ind w:right="34"/>
              <w:spacing w:after="0" w:line="190" w:lineRule="exact"/>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line="190" w:lineRule="exact"/>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Tonga</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03/23/2018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48,870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03/23/2018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4,347</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 Offshore</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03/23/2018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65,788</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Cuttyhunk</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03/26/2018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460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Tonga</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03/26/2018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2,028</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03/26/2018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180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 Offshore</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03/26/2018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2,732</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Cuttyhunk</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03/27/2018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42</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Tonga</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03/27/2018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187</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03/27/2018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16</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1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7"/>
                <w:szCs w:val="17"/>
                <w:color w:val="auto"/>
              </w:rPr>
            </w:pPr>
          </w:p>
        </w:tc>
      </w:tr>
      <w:tr>
        <w:trPr>
          <w:trHeight w:val="229"/>
        </w:trPr>
        <w:tc>
          <w:tcPr>
            <w:tcW w:w="1720" w:type="dxa"/>
            <w:vAlign w:val="bottom"/>
          </w:tcPr>
          <w:p>
            <w:pPr>
              <w:spacing w:after="0"/>
              <w:rPr>
                <w:sz w:val="19"/>
                <w:szCs w:val="19"/>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Tristan Offshore</w:t>
            </w:r>
          </w:p>
        </w:tc>
        <w:tc>
          <w:tcPr>
            <w:tcW w:w="1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03/27/2018</w:t>
            </w:r>
          </w:p>
        </w:tc>
        <w:tc>
          <w:tcPr>
            <w:tcW w:w="18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255</w:t>
            </w: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9"/>
                <w:szCs w:val="19"/>
                <w:color w:val="auto"/>
              </w:rPr>
            </w:pPr>
          </w:p>
        </w:tc>
      </w:tr>
      <w:tr>
        <w:trPr>
          <w:trHeight w:val="406"/>
        </w:trPr>
        <w:tc>
          <w:tcPr>
            <w:tcW w:w="1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CUSIP No. 25065K104</w:t>
            </w:r>
          </w:p>
        </w:tc>
        <w:tc>
          <w:tcPr>
            <w:tcW w:w="1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w w:val="98"/>
              </w:rPr>
              <w:t>Page 5 of 8 pages</w:t>
            </w:r>
          </w:p>
        </w:tc>
      </w:tr>
      <w:tr>
        <w:trPr>
          <w:trHeight w:val="422"/>
        </w:trPr>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Price</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w:t>
            </w:r>
          </w:p>
        </w:tc>
      </w:tr>
      <w:tr>
        <w:trPr>
          <w:trHeight w:val="229"/>
        </w:trPr>
        <w:tc>
          <w:tcPr>
            <w:tcW w:w="17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Entity</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Date</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Quantity</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Per Share</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Transaction</w:t>
            </w:r>
          </w:p>
        </w:tc>
      </w:tr>
      <w:tr>
        <w:trPr>
          <w:trHeight w:val="190"/>
        </w:trPr>
        <w:tc>
          <w:tcPr>
            <w:tcW w:w="1720" w:type="dxa"/>
            <w:vAlign w:val="bottom"/>
          </w:tcPr>
          <w:p>
            <w:pPr>
              <w:spacing w:after="0"/>
              <w:rPr>
                <w:sz w:val="16"/>
                <w:szCs w:val="16"/>
                <w:color w:val="auto"/>
              </w:rPr>
            </w:pPr>
          </w:p>
        </w:tc>
        <w:tc>
          <w:tcPr>
            <w:tcW w:w="14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7"/>
                <w:szCs w:val="17"/>
                <w:color w:val="auto"/>
              </w:rPr>
              <w:t>Cuttyhunk</w:t>
            </w:r>
          </w:p>
        </w:tc>
        <w:tc>
          <w:tcPr>
            <w:tcW w:w="1800" w:type="dxa"/>
            <w:vAlign w:val="bottom"/>
            <w:tcBorders>
              <w:top w:val="single" w:sz="8" w:color="auto"/>
            </w:tcBorders>
          </w:tcPr>
          <w:p>
            <w:pPr>
              <w:ind w:left="280"/>
              <w:spacing w:after="0" w:line="190" w:lineRule="exact"/>
              <w:rPr>
                <w:sz w:val="20"/>
                <w:szCs w:val="20"/>
                <w:color w:val="auto"/>
              </w:rPr>
            </w:pPr>
            <w:r>
              <w:rPr>
                <w:rFonts w:ascii="Times New Roman" w:cs="Times New Roman" w:eastAsia="Times New Roman" w:hAnsi="Times New Roman"/>
                <w:sz w:val="17"/>
                <w:szCs w:val="17"/>
                <w:color w:val="auto"/>
              </w:rPr>
              <w:t>04/17/2018</w:t>
            </w:r>
          </w:p>
        </w:tc>
        <w:tc>
          <w:tcPr>
            <w:tcW w:w="1800" w:type="dxa"/>
            <w:vAlign w:val="bottom"/>
            <w:tcBorders>
              <w:top w:val="single" w:sz="8" w:color="auto"/>
            </w:tcBorders>
          </w:tcPr>
          <w:p>
            <w:pPr>
              <w:jc w:val="right"/>
              <w:ind w:right="394"/>
              <w:spacing w:after="0" w:line="190" w:lineRule="exact"/>
              <w:rPr>
                <w:sz w:val="20"/>
                <w:szCs w:val="20"/>
                <w:color w:val="auto"/>
              </w:rPr>
            </w:pPr>
            <w:r>
              <w:rPr>
                <w:rFonts w:ascii="Times New Roman" w:cs="Times New Roman" w:eastAsia="Times New Roman" w:hAnsi="Times New Roman"/>
                <w:sz w:val="17"/>
                <w:szCs w:val="17"/>
                <w:color w:val="auto"/>
              </w:rPr>
              <w:t>2,389</w:t>
            </w:r>
          </w:p>
        </w:tc>
        <w:tc>
          <w:tcPr>
            <w:tcW w:w="1240" w:type="dxa"/>
            <w:vAlign w:val="bottom"/>
            <w:tcBorders>
              <w:top w:val="single" w:sz="8" w:color="auto"/>
            </w:tcBorders>
          </w:tcPr>
          <w:p>
            <w:pPr>
              <w:jc w:val="right"/>
              <w:ind w:right="34"/>
              <w:spacing w:after="0" w:line="190" w:lineRule="exact"/>
              <w:rPr>
                <w:sz w:val="20"/>
                <w:szCs w:val="20"/>
                <w:color w:val="auto"/>
              </w:rPr>
            </w:pPr>
            <w:r>
              <w:rPr>
                <w:rFonts w:ascii="Times New Roman" w:cs="Times New Roman" w:eastAsia="Times New Roman" w:hAnsi="Times New Roman"/>
                <w:sz w:val="17"/>
                <w:szCs w:val="17"/>
                <w:color w:val="auto"/>
              </w:rPr>
              <w:t>1.77</w:t>
            </w:r>
          </w:p>
        </w:tc>
        <w:tc>
          <w:tcPr>
            <w:tcW w:w="1720" w:type="dxa"/>
            <w:vAlign w:val="bottom"/>
            <w:tcBorders>
              <w:top w:val="single" w:sz="8" w:color="auto"/>
            </w:tcBorders>
          </w:tcPr>
          <w:p>
            <w:pPr>
              <w:ind w:left="100"/>
              <w:spacing w:after="0" w:line="190" w:lineRule="exact"/>
              <w:rPr>
                <w:sz w:val="20"/>
                <w:szCs w:val="20"/>
                <w:color w:val="auto"/>
              </w:rPr>
            </w:pPr>
            <w:r>
              <w:rPr>
                <w:rFonts w:ascii="Times New Roman" w:cs="Times New Roman" w:eastAsia="Times New Roman" w:hAnsi="Times New Roman"/>
                <w:sz w:val="17"/>
                <w:szCs w:val="17"/>
                <w:color w:val="auto"/>
              </w:rPr>
              <w:t>Buy</w:t>
            </w:r>
          </w:p>
        </w:tc>
        <w:tc>
          <w:tcPr>
            <w:tcW w:w="172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Tonga</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04/17/2018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10,521</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1.77</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Buy</w:t>
            </w: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04/17/2018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937</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1.77</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Buy</w:t>
            </w: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 Offshore</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04/17/2018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14,158</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1.77</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Buy</w:t>
            </w: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Cuttyhunk</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04/18/2018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750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1.76</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Buy</w:t>
            </w: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Tonga</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04/18/2018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3,306</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1.76</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Buy</w:t>
            </w: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04/18/2018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294</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1.76</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Buy</w:t>
            </w:r>
          </w:p>
        </w:tc>
      </w:tr>
      <w:tr>
        <w:trPr>
          <w:trHeight w:val="223"/>
        </w:trPr>
        <w:tc>
          <w:tcPr>
            <w:tcW w:w="17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Tristan Offshore</w:t>
            </w:r>
          </w:p>
        </w:tc>
        <w:tc>
          <w:tcPr>
            <w:tcW w:w="1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04/18/2018</w:t>
            </w: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4,450</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1.76</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Buy</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Contracts, Arrangements, Understandings or Relationships with Respect to Securities of the Issuer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Material to Be Filed as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2529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 w:name="page6"/>
    <w:bookmarkEnd w:id="5"/>
    <w:p>
      <w:pPr>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CUSIP No. 25065K104</w:t>
      </w:r>
      <w:r>
        <w:rPr>
          <w:sz w:val="20"/>
          <w:szCs w:val="20"/>
          <w:color w:val="auto"/>
        </w:rPr>
        <w:tab/>
      </w:r>
      <w:r>
        <w:rPr>
          <w:rFonts w:ascii="Times New Roman" w:cs="Times New Roman" w:eastAsia="Times New Roman" w:hAnsi="Times New Roman"/>
          <w:sz w:val="17"/>
          <w:szCs w:val="17"/>
          <w:b w:val="1"/>
          <w:bCs w:val="1"/>
          <w:color w:val="auto"/>
        </w:rPr>
        <w:t>Page 6 of 8 pages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3, 2018</w:t>
      </w: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Cannell Capital LLC</w:t>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17145</wp:posOffset>
            </wp:positionV>
            <wp:extent cx="21717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1700" cy="16510"/>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Name: J. Carlo Cannell</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72529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6" w:name="page7"/>
    <w:bookmarkEnd w:id="6"/>
    <w:p>
      <w:pPr>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CUSIP No. 25065K104</w:t>
      </w:r>
      <w:r>
        <w:rPr>
          <w:sz w:val="20"/>
          <w:szCs w:val="20"/>
          <w:color w:val="auto"/>
        </w:rPr>
        <w:tab/>
      </w:r>
      <w:r>
        <w:rPr>
          <w:rFonts w:ascii="Times New Roman" w:cs="Times New Roman" w:eastAsia="Times New Roman" w:hAnsi="Times New Roman"/>
          <w:sz w:val="17"/>
          <w:szCs w:val="17"/>
          <w:b w:val="1"/>
          <w:bCs w:val="1"/>
          <w:color w:val="auto"/>
        </w:rPr>
        <w:t>Page 7 of 8 pages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MANAGERS AND GENERAL PARTNERS OF THE REPORTING PERSON AND THE INVESTMENT VEHICLES</w:t>
      </w:r>
    </w:p>
    <w:p>
      <w:pPr>
        <w:spacing w:after="0" w:line="24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b w:val="1"/>
          <w:bCs w:val="1"/>
          <w:color w:val="auto"/>
        </w:rPr>
        <w:t>The following sets forth the name, principal occupation, citizenship or jurisdiction of organization and principal place of business of the directors, general partners, managing members or controlling persons of the Reporting Person and the Investment Vehicles (the “Covered Persons”)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J. Carlo Cannell</w:t>
            </w:r>
          </w:p>
        </w:tc>
        <w:tc>
          <w:tcPr>
            <w:tcW w:w="8180" w:type="dxa"/>
            <w:vAlign w:val="bottom"/>
          </w:tcPr>
          <w:p>
            <w:pPr>
              <w:spacing w:after="0"/>
              <w:rPr>
                <w:sz w:val="18"/>
                <w:szCs w:val="18"/>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J. Carlo Cannell</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Title or Relationship with Reporting Person: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Managing Member</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Occupation or Employment:</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Management</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Citizenship or Jurisdiction of Organization: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Wyoming, United States</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Place of Business:</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w:t>
            </w:r>
          </w:p>
        </w:tc>
      </w:tr>
      <w:tr>
        <w:trPr>
          <w:trHeight w:val="396"/>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Cannell Capital LLC</w:t>
            </w:r>
          </w:p>
        </w:tc>
        <w:tc>
          <w:tcPr>
            <w:tcW w:w="8180" w:type="dxa"/>
            <w:vAlign w:val="bottom"/>
          </w:tcPr>
          <w:p>
            <w:pPr>
              <w:spacing w:after="0"/>
              <w:rPr>
                <w:sz w:val="24"/>
                <w:szCs w:val="24"/>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J. Carlo Cannell</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Title or Relationship with Reporting Person: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Managing Member</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Occupation or Employment:</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Management</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Citizenship or Jurisdiction of Organization: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Wyoming, United States</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Place of Business:</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w:t>
            </w:r>
          </w:p>
        </w:tc>
      </w:tr>
      <w:tr>
        <w:trPr>
          <w:trHeight w:val="396"/>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Tonga Partners, L.P.</w:t>
            </w:r>
          </w:p>
        </w:tc>
        <w:tc>
          <w:tcPr>
            <w:tcW w:w="8180" w:type="dxa"/>
            <w:vAlign w:val="bottom"/>
          </w:tcPr>
          <w:p>
            <w:pPr>
              <w:spacing w:after="0"/>
              <w:rPr>
                <w:sz w:val="24"/>
                <w:szCs w:val="24"/>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Cannell Capital LLC</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Title or Relationship with Reporting Person: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Adviser and General Partner</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Occupation or Employment:</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Management</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Citizenship or Jurisdiction of Organization: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Wyoming, United States</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Place of Business:</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w:t>
            </w:r>
          </w:p>
        </w:tc>
      </w:tr>
      <w:tr>
        <w:trPr>
          <w:trHeight w:val="396"/>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The Cuttyhunk Master Portfolio</w:t>
            </w:r>
          </w:p>
        </w:tc>
        <w:tc>
          <w:tcPr>
            <w:tcW w:w="8180" w:type="dxa"/>
            <w:vAlign w:val="bottom"/>
          </w:tcPr>
          <w:p>
            <w:pPr>
              <w:spacing w:after="0"/>
              <w:rPr>
                <w:sz w:val="24"/>
                <w:szCs w:val="24"/>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Cannell Capital LLC</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Title or Relationship with Reporting Person: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Subadviser</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Occupation or Employment:</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Management</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Citizenship or Jurisdiction of Organization: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Wyoming, United States</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Place of Business:</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w:t>
            </w:r>
          </w:p>
        </w:tc>
      </w:tr>
      <w:tr>
        <w:trPr>
          <w:trHeight w:val="396"/>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Tristan Partners, L.P.</w:t>
            </w:r>
          </w:p>
        </w:tc>
        <w:tc>
          <w:tcPr>
            <w:tcW w:w="8180" w:type="dxa"/>
            <w:vAlign w:val="bottom"/>
          </w:tcPr>
          <w:p>
            <w:pPr>
              <w:spacing w:after="0"/>
              <w:rPr>
                <w:sz w:val="24"/>
                <w:szCs w:val="24"/>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Cannell Capital LLC</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Title or Relationship with Reporting Person: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Adviser and General Partner</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Occupation or Employment:</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Management</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Citizenship or Jurisdiction of Organization: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Wyoming, United States</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Place of Business:</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w:t>
            </w:r>
          </w:p>
        </w:tc>
      </w:tr>
      <w:tr>
        <w:trPr>
          <w:trHeight w:val="396"/>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Tristan Offshore Fund, Ltd.</w:t>
            </w:r>
          </w:p>
        </w:tc>
        <w:tc>
          <w:tcPr>
            <w:tcW w:w="8180" w:type="dxa"/>
            <w:vAlign w:val="bottom"/>
          </w:tcPr>
          <w:p>
            <w:pPr>
              <w:spacing w:after="0"/>
              <w:rPr>
                <w:sz w:val="24"/>
                <w:szCs w:val="24"/>
                <w:color w:val="auto"/>
              </w:rPr>
            </w:pP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Cannell Capital LLC</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Title or Relationship with Reporting Person: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Adviser</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Occupation or Employment:</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Management</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Citizenship or Jurisdiction of Organization:</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Principal Place of Business:</w:t>
            </w:r>
          </w:p>
        </w:tc>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w:t>
            </w:r>
          </w:p>
        </w:tc>
      </w:tr>
      <w:tr>
        <w:trPr>
          <w:trHeight w:val="406"/>
        </w:trPr>
        <w:tc>
          <w:tcPr>
            <w:tcW w:w="32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6" w:right="239" w:bottom="1440" w:gutter="0" w:footer="0" w:header="0"/>
        </w:sectPr>
      </w:pPr>
    </w:p>
    <w:bookmarkStart w:id="7" w:name="page8"/>
    <w:bookmarkEnd w:id="7"/>
    <w:p>
      <w:pPr>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CUSIP No. 25065K104</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 Regarding the Joint Filing of Schedule 13D</w:t>
      </w:r>
    </w:p>
    <w:p>
      <w:pPr>
        <w:spacing w:after="0" w:line="247" w:lineRule="exact"/>
        <w:rPr>
          <w:sz w:val="20"/>
          <w:szCs w:val="20"/>
          <w:color w:val="auto"/>
        </w:rPr>
      </w:pPr>
    </w:p>
    <w:p>
      <w:pPr>
        <w:ind w:left="320" w:hanging="317"/>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them is individually eligible to use the Schedule 13D to which this Exhibit is attached, and such Schedule 13D is filed on behalf each of them;</w:t>
      </w:r>
    </w:p>
    <w:p>
      <w:pPr>
        <w:spacing w:after="0" w:line="243" w:lineRule="exact"/>
        <w:rPr>
          <w:rFonts w:ascii="Times New Roman" w:cs="Times New Roman" w:eastAsia="Times New Roman" w:hAnsi="Times New Roman"/>
          <w:sz w:val="17"/>
          <w:szCs w:val="17"/>
          <w:color w:val="auto"/>
        </w:rPr>
      </w:pPr>
    </w:p>
    <w:p>
      <w:pPr>
        <w:ind w:left="320" w:right="200" w:hanging="317"/>
        <w:spacing w:after="0" w:line="270" w:lineRule="auto"/>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3, 2018</w:t>
      </w: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17145</wp:posOffset>
            </wp:positionV>
            <wp:extent cx="21717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1700" cy="16510"/>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Name: J. Carlo Cannell</w:t>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Cannell Capital LLC</w:t>
      </w: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17145</wp:posOffset>
            </wp:positionV>
            <wp:extent cx="21717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1700" cy="16510"/>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Name: J. Carlo Cannell</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498475</wp:posOffset>
            </wp:positionV>
            <wp:extent cx="72529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 w:name="page9"/>
    <w:bookmarkEnd w:id="8"/>
    <w:p>
      <w:pPr>
        <w:ind w:left="93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297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33020"/>
                    </a:xfrm>
                    <a:prstGeom prst="rect">
                      <a:avLst/>
                    </a:prstGeom>
                    <a:noFill/>
                  </pic:spPr>
                </pic:pic>
              </a:graphicData>
            </a:graphic>
          </wp:anchor>
        </w:drawing>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20320</wp:posOffset>
            </wp:positionV>
            <wp:extent cx="7312025" cy="977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0" w:num="1">
            <w:col w:w="10220"/>
          </w:cols>
          <w:pgMar w:left="1440" w:top="265" w:right="2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9779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5200"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9822180</wp:posOffset>
            </wp:positionV>
            <wp:extent cx="727329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9822180</wp:posOffset>
            </wp:positionV>
            <wp:extent cx="727329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9814560</wp:posOffset>
            </wp:positionV>
            <wp:extent cx="727329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9813925</wp:posOffset>
            </wp:positionV>
            <wp:extent cx="727329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290"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90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2025" cy="977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9822815</wp:posOffset>
            </wp:positionV>
            <wp:extent cx="727329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3290"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707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2025"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2025" cy="97624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2025" cy="976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310120" cy="9998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0120" cy="9998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2019-12-17T06:37:12Z</dcterms:created>
  <dcterms:modified xsi:type="dcterms:W3CDTF">2019-12-17T06:37:12Z</dcterms:modified>
</cp:coreProperties>
</file>