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679"/>
        <w:spacing w:after="0"/>
        <w:rPr>
          <w:sz w:val="20"/>
          <w:szCs w:val="20"/>
          <w:color w:val="auto"/>
        </w:rPr>
      </w:pPr>
      <w:r>
        <w:rPr>
          <w:rFonts w:ascii="Courier New" w:cs="Courier New" w:eastAsia="Courier New" w:hAnsi="Courier New"/>
          <w:sz w:val="16"/>
          <w:szCs w:val="16"/>
          <w:color w:val="auto"/>
        </w:rPr>
        <w:t>Filed Pursuant to Rule 424(b)(3)</w:t>
      </w:r>
    </w:p>
    <w:p>
      <w:pPr>
        <w:spacing w:after="0" w:line="2" w:lineRule="exact"/>
        <w:rPr>
          <w:sz w:val="24"/>
          <w:szCs w:val="24"/>
          <w:color w:val="auto"/>
        </w:rPr>
      </w:pPr>
    </w:p>
    <w:p>
      <w:pPr>
        <w:jc w:val="right"/>
        <w:ind w:right="2679"/>
        <w:spacing w:after="0"/>
        <w:rPr>
          <w:sz w:val="20"/>
          <w:szCs w:val="20"/>
          <w:color w:val="auto"/>
        </w:rPr>
      </w:pPr>
      <w:r>
        <w:rPr>
          <w:rFonts w:ascii="Courier New" w:cs="Courier New" w:eastAsia="Courier New" w:hAnsi="Courier New"/>
          <w:sz w:val="16"/>
          <w:szCs w:val="16"/>
          <w:color w:val="auto"/>
        </w:rPr>
        <w:t>Registration No. 333-112598</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 NO. 1</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CASUAL MALE RETAIL GROUP, INC.</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$100,000,000 Principal Amount of</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5% Convertible Subordinated Notes Due 2024</w:t>
      </w:r>
    </w:p>
    <w:p>
      <w:pPr>
        <w:spacing w:after="0" w:line="2"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Shares of Common Stock Issuable Upon Conversion of the Notes</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right="2779" w:firstLine="572"/>
        <w:spacing w:after="0" w:line="241" w:lineRule="auto"/>
        <w:rPr>
          <w:sz w:val="20"/>
          <w:szCs w:val="20"/>
          <w:color w:val="auto"/>
        </w:rPr>
      </w:pPr>
      <w:r>
        <w:rPr>
          <w:rFonts w:ascii="Courier New" w:cs="Courier New" w:eastAsia="Courier New" w:hAnsi="Courier New"/>
          <w:sz w:val="16"/>
          <w:szCs w:val="16"/>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90" w:lineRule="exact"/>
        <w:rPr>
          <w:sz w:val="24"/>
          <w:szCs w:val="24"/>
          <w:color w:val="auto"/>
        </w:rPr>
      </w:pPr>
    </w:p>
    <w:p>
      <w:pPr>
        <w:ind w:right="2679" w:firstLine="572"/>
        <w:spacing w:after="0" w:line="242" w:lineRule="auto"/>
        <w:rPr>
          <w:sz w:val="20"/>
          <w:szCs w:val="20"/>
          <w:color w:val="auto"/>
        </w:rPr>
      </w:pPr>
      <w:r>
        <w:rPr>
          <w:rFonts w:ascii="Courier New" w:cs="Courier New" w:eastAsia="Courier New" w:hAnsi="Courier New"/>
          <w:sz w:val="16"/>
          <w:szCs w:val="16"/>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189" w:lineRule="exact"/>
        <w:rPr>
          <w:sz w:val="24"/>
          <w:szCs w:val="24"/>
          <w:color w:val="auto"/>
        </w:rPr>
      </w:pPr>
    </w:p>
    <w:p>
      <w:pPr>
        <w:ind w:right="2979" w:firstLine="572"/>
        <w:spacing w:after="0"/>
        <w:rPr>
          <w:sz w:val="20"/>
          <w:szCs w:val="20"/>
          <w:color w:val="auto"/>
        </w:rPr>
      </w:pPr>
      <w:r>
        <w:rPr>
          <w:rFonts w:ascii="Courier New" w:cs="Courier New" w:eastAsia="Courier New" w:hAnsi="Courier New"/>
          <w:sz w:val="16"/>
          <w:szCs w:val="16"/>
          <w:color w:val="auto"/>
        </w:rPr>
        <w:t>Investing in the notes or the common stock offered by the prospectus involves risks that are described in the "Risk Factors" section beginning on page 8 of the prospectus.</w:t>
      </w:r>
    </w:p>
    <w:p>
      <w:pPr>
        <w:spacing w:after="0" w:line="18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186"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The date of this prospectus supplement is May 28, 2004.</w:t>
      </w:r>
    </w:p>
    <w:p>
      <w:pPr>
        <w:spacing w:after="0" w:line="188" w:lineRule="exact"/>
        <w:rPr>
          <w:sz w:val="24"/>
          <w:szCs w:val="24"/>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information in the table appearing under the heading "Selling Securityholders" beginning on page 46 of the prospectus is amended by adding the information below with respect to persons not previously listed in the prospectus, and by superceding the information with respect to persons listed in the prospectus that are listed below.</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as of May 17,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37" w:right="1440" w:bottom="657"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5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Aggregate</w:t>
            </w:r>
          </w:p>
        </w:tc>
        <w:tc>
          <w:tcPr>
            <w:tcW w:w="1660" w:type="dxa"/>
            <w:vAlign w:val="bottom"/>
          </w:tcPr>
          <w:p>
            <w:pPr>
              <w:spacing w:after="0"/>
              <w:rPr>
                <w:sz w:val="15"/>
                <w:szCs w:val="15"/>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Shares of</w:t>
            </w:r>
          </w:p>
        </w:tc>
      </w:tr>
      <w:tr>
        <w:trPr>
          <w:trHeight w:val="183"/>
        </w:trPr>
        <w:tc>
          <w:tcPr>
            <w:tcW w:w="3660" w:type="dxa"/>
            <w:vAlign w:val="bottom"/>
          </w:tcPr>
          <w:p>
            <w:pPr>
              <w:spacing w:after="0"/>
              <w:rPr>
                <w:sz w:val="15"/>
                <w:szCs w:val="15"/>
                <w:color w:val="auto"/>
              </w:rPr>
            </w:pPr>
          </w:p>
        </w:tc>
        <w:tc>
          <w:tcPr>
            <w:tcW w:w="15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Principal</w:t>
            </w:r>
          </w:p>
        </w:tc>
        <w:tc>
          <w:tcPr>
            <w:tcW w:w="1660" w:type="dxa"/>
            <w:vAlign w:val="bottom"/>
          </w:tcPr>
          <w:p>
            <w:pPr>
              <w:spacing w:after="0"/>
              <w:rPr>
                <w:sz w:val="15"/>
                <w:szCs w:val="15"/>
                <w:color w:val="auto"/>
              </w:rPr>
            </w:pP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Common Stock</w:t>
            </w:r>
          </w:p>
        </w:tc>
      </w:tr>
      <w:tr>
        <w:trPr>
          <w:trHeight w:val="183"/>
        </w:trPr>
        <w:tc>
          <w:tcPr>
            <w:tcW w:w="3660" w:type="dxa"/>
            <w:vAlign w:val="bottom"/>
          </w:tcPr>
          <w:p>
            <w:pPr>
              <w:spacing w:after="0"/>
              <w:rPr>
                <w:sz w:val="15"/>
                <w:szCs w:val="15"/>
                <w:color w:val="auto"/>
              </w:rPr>
            </w:pPr>
          </w:p>
        </w:tc>
        <w:tc>
          <w:tcPr>
            <w:tcW w:w="15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Amount of</w:t>
            </w:r>
          </w:p>
        </w:tc>
        <w:tc>
          <w:tcPr>
            <w:tcW w:w="1660" w:type="dxa"/>
            <w:vAlign w:val="bottom"/>
          </w:tcPr>
          <w:p>
            <w:pPr>
              <w:spacing w:after="0"/>
              <w:rPr>
                <w:sz w:val="15"/>
                <w:szCs w:val="15"/>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Issuable</w:t>
            </w:r>
          </w:p>
        </w:tc>
      </w:tr>
      <w:tr>
        <w:trPr>
          <w:trHeight w:val="183"/>
        </w:trPr>
        <w:tc>
          <w:tcPr>
            <w:tcW w:w="3660" w:type="dxa"/>
            <w:vAlign w:val="bottom"/>
          </w:tcPr>
          <w:p>
            <w:pPr>
              <w:spacing w:after="0"/>
              <w:rPr>
                <w:sz w:val="15"/>
                <w:szCs w:val="15"/>
                <w:color w:val="auto"/>
              </w:rPr>
            </w:pPr>
          </w:p>
        </w:tc>
        <w:tc>
          <w:tcPr>
            <w:tcW w:w="15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Notes</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 of</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Upon</w:t>
            </w:r>
          </w:p>
        </w:tc>
      </w:tr>
      <w:tr>
        <w:trPr>
          <w:trHeight w:val="183"/>
        </w:trPr>
        <w:tc>
          <w:tcPr>
            <w:tcW w:w="366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Beneficially</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Notes</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7"/>
              </w:rPr>
              <w:t>Conversion</w:t>
            </w:r>
          </w:p>
        </w:tc>
      </w:tr>
      <w:tr>
        <w:trPr>
          <w:trHeight w:val="183"/>
        </w:trPr>
        <w:tc>
          <w:tcPr>
            <w:tcW w:w="3660" w:type="dxa"/>
            <w:vAlign w:val="bottom"/>
          </w:tcPr>
          <w:p>
            <w:pPr>
              <w:spacing w:after="0"/>
              <w:rPr>
                <w:sz w:val="15"/>
                <w:szCs w:val="15"/>
                <w:color w:val="auto"/>
              </w:rPr>
            </w:pPr>
          </w:p>
        </w:tc>
        <w:tc>
          <w:tcPr>
            <w:tcW w:w="15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Owned and</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rPr>
              <w:t>Outstanding</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of the Notes</w:t>
            </w:r>
          </w:p>
        </w:tc>
      </w:tr>
      <w:tr>
        <w:trPr>
          <w:trHeight w:val="183"/>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Offered</w:t>
            </w:r>
          </w:p>
        </w:tc>
        <w:tc>
          <w:tcPr>
            <w:tcW w:w="16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6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w:t>
            </w:r>
          </w:p>
        </w:tc>
      </w:tr>
      <w:tr>
        <w:trPr>
          <w:trHeight w:val="550"/>
        </w:trPr>
        <w:tc>
          <w:tcPr>
            <w:tcW w:w="3660" w:type="dxa"/>
            <w:vAlign w:val="bottom"/>
          </w:tcPr>
          <w:p>
            <w:pPr>
              <w:spacing w:after="0"/>
              <w:rPr>
                <w:sz w:val="20"/>
                <w:szCs w:val="20"/>
                <w:color w:val="auto"/>
              </w:rPr>
            </w:pPr>
            <w:r>
              <w:rPr>
                <w:rFonts w:ascii="Courier New" w:cs="Courier New" w:eastAsia="Courier New" w:hAnsi="Courier New"/>
                <w:sz w:val="16"/>
                <w:szCs w:val="16"/>
                <w:color w:val="auto"/>
              </w:rPr>
              <w:t>Argent Classic Convertible Arbitrage</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Fund (Bermuda) Limited(1)</w:t>
            </w:r>
          </w:p>
        </w:tc>
        <w:tc>
          <w:tcPr>
            <w:tcW w:w="1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3,880,000</w:t>
            </w:r>
          </w:p>
        </w:tc>
        <w:tc>
          <w:tcPr>
            <w:tcW w:w="1660" w:type="dxa"/>
            <w:vAlign w:val="bottom"/>
          </w:tcPr>
          <w:p>
            <w:pPr>
              <w:ind w:left="900"/>
              <w:spacing w:after="0"/>
              <w:rPr>
                <w:sz w:val="20"/>
                <w:szCs w:val="20"/>
                <w:color w:val="auto"/>
              </w:rPr>
            </w:pPr>
            <w:r>
              <w:rPr>
                <w:rFonts w:ascii="Courier New" w:cs="Courier New" w:eastAsia="Courier New" w:hAnsi="Courier New"/>
                <w:sz w:val="16"/>
                <w:szCs w:val="16"/>
                <w:color w:val="auto"/>
              </w:rPr>
              <w:t>3.9%</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364,332</w:t>
            </w: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Barclays Global Investors Diversified</w:t>
            </w: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Alpha Plus Funds(2)</w:t>
            </w:r>
          </w:p>
        </w:tc>
        <w:tc>
          <w:tcPr>
            <w:tcW w:w="1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132,000</w:t>
            </w:r>
          </w:p>
        </w:tc>
        <w:tc>
          <w:tcPr>
            <w:tcW w:w="166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12,395</w:t>
            </w: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Dodeca Fund, L.P.(3)</w:t>
            </w:r>
          </w:p>
        </w:tc>
        <w:tc>
          <w:tcPr>
            <w:tcW w:w="1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580,000</w:t>
            </w:r>
          </w:p>
        </w:tc>
        <w:tc>
          <w:tcPr>
            <w:tcW w:w="166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54,462</w:t>
            </w: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Forest Multi-Strategy Master Fund</w:t>
            </w: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SPC, on behalf of its Multi-Strategy</w:t>
            </w: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rPr>
              <w:t>Segregated Portfolio(4)</w:t>
            </w:r>
          </w:p>
        </w:tc>
        <w:tc>
          <w:tcPr>
            <w:tcW w:w="1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717,000</w:t>
            </w:r>
          </w:p>
        </w:tc>
        <w:tc>
          <w:tcPr>
            <w:tcW w:w="166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67,326</w:t>
            </w:r>
          </w:p>
        </w:tc>
      </w:tr>
      <w:tr>
        <w:trPr>
          <w:trHeight w:val="550"/>
        </w:trPr>
        <w:tc>
          <w:tcPr>
            <w:tcW w:w="3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88" w:lineRule="exact"/>
        <w:rPr>
          <w:sz w:val="20"/>
          <w:szCs w:val="20"/>
          <w:color w:val="auto"/>
        </w:rPr>
      </w:pPr>
    </w:p>
    <w:p>
      <w:pPr>
        <w:ind w:left="482" w:right="580" w:hanging="482"/>
        <w:spacing w:after="0" w:line="242"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Cox and Allan Marshall are the controlling shareholders of Argent Classic Convertible Arbitrage Fund (Bermuda) Limited. Argent International Management Company, LLC is the investment advisor to Argent Classic Convertible Arbitrage Fund (Bermuda) Limited with respect to the securities listed on the table. Nathanial Braun and Robert Richardson exercise voting and investment power over such securities on behalf of Argent International Management Company, LLC.</w:t>
      </w:r>
    </w:p>
    <w:p>
      <w:pPr>
        <w:spacing w:after="0" w:line="188" w:lineRule="exact"/>
        <w:rPr>
          <w:sz w:val="20"/>
          <w:szCs w:val="20"/>
          <w:color w:val="auto"/>
        </w:rPr>
      </w:pPr>
    </w:p>
    <w:p>
      <w:pPr>
        <w:ind w:left="482" w:right="580" w:hanging="482"/>
        <w:spacing w:after="0" w:line="241"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Barclays Global Investors Diversified Alpha Plus Funds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sz w:val="20"/>
          <w:szCs w:val="20"/>
          <w:color w:val="auto"/>
        </w:rPr>
      </w:pPr>
    </w:p>
    <w:p>
      <w:pPr>
        <w:ind w:left="482" w:right="580" w:hanging="482"/>
        <w:spacing w:after="0" w:line="241"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Co., LLC is the General Partner of Dodeca Fund, L.P. Thomas Y. Roy, President and Chief Financial Officer of Inflective Asset Management LLC, exercises voting and dispositive power over the securities on behalf of Convert Co., LLC.</w:t>
      </w:r>
    </w:p>
    <w:p>
      <w:pPr>
        <w:spacing w:after="0" w:line="189" w:lineRule="exact"/>
        <w:rPr>
          <w:sz w:val="20"/>
          <w:szCs w:val="20"/>
          <w:color w:val="auto"/>
        </w:rPr>
      </w:pPr>
    </w:p>
    <w:p>
      <w:pPr>
        <w:ind w:left="482" w:right="660" w:hanging="482"/>
        <w:spacing w:after="0" w:line="242"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Forest Multi-Strategy Master Fund SPC, on behalf of its Multi-Strategy Segregated Portfolio with respect to the securities listed on the table. Forest Investment Management is wholly owned by Forest Partners II, the sole General Partner of which is Michael A. Boyd Inc. Michael A. Boyd is the sole owner of Michael A. Boyd Inc.</w:t>
      </w:r>
    </w:p>
    <w:p>
      <w:pPr>
        <w:spacing w:after="0" w:line="368"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 and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Assumed to</w:t>
      </w:r>
      <w:r>
        <w:rPr>
          <w:sz w:val="20"/>
          <w:szCs w:val="20"/>
          <w:color w:val="auto"/>
        </w:rPr>
        <w:tab/>
      </w:r>
      <w:r>
        <w:rPr>
          <w:rFonts w:ascii="Courier New" w:cs="Courier New" w:eastAsia="Courier New" w:hAnsi="Courier New"/>
          <w:sz w:val="15"/>
          <w:szCs w:val="15"/>
          <w:color w:val="auto"/>
        </w:rPr>
        <w:t>Percentage of</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be Owned</w:t>
      </w:r>
      <w:r>
        <w:rPr>
          <w:sz w:val="20"/>
          <w:szCs w:val="20"/>
          <w:color w:val="auto"/>
        </w:rPr>
        <w:tab/>
      </w: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Following the</w:t>
      </w:r>
      <w:r>
        <w:rPr>
          <w:sz w:val="20"/>
          <w:szCs w:val="20"/>
          <w:color w:val="auto"/>
        </w:rPr>
        <w:tab/>
      </w:r>
      <w:r>
        <w:rPr>
          <w:rFonts w:ascii="Courier New" w:cs="Courier New" w:eastAsia="Courier New" w:hAnsi="Courier New"/>
          <w:sz w:val="15"/>
          <w:szCs w:val="15"/>
          <w:color w:val="auto"/>
        </w:rPr>
        <w:t>Outstanding</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Offering</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1.0%</w:t>
      </w:r>
    </w:p>
    <w:p>
      <w:pPr>
        <w:spacing w:after="0" w:line="186" w:lineRule="exact"/>
        <w:rPr>
          <w:sz w:val="20"/>
          <w:szCs w:val="20"/>
          <w:color w:val="auto"/>
        </w:rPr>
      </w:pPr>
    </w:p>
    <w:p>
      <w:pPr>
        <w:ind w:left="18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369" w:lineRule="exact"/>
        <w:rPr>
          <w:sz w:val="20"/>
          <w:szCs w:val="20"/>
          <w:color w:val="auto"/>
        </w:rPr>
      </w:pPr>
    </w:p>
    <w:p>
      <w:pPr>
        <w:ind w:left="180"/>
        <w:spacing w:after="0"/>
        <w:tabs>
          <w:tab w:leader="none" w:pos="19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8202" w:space="480"/>
            <w:col w:w="2840"/>
          </w:cols>
          <w:pgMar w:left="238" w:top="1215" w:right="1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5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Aggregate</w:t>
            </w:r>
          </w:p>
        </w:tc>
        <w:tc>
          <w:tcPr>
            <w:tcW w:w="1660" w:type="dxa"/>
            <w:vAlign w:val="bottom"/>
          </w:tcPr>
          <w:p>
            <w:pPr>
              <w:spacing w:after="0"/>
              <w:rPr>
                <w:sz w:val="15"/>
                <w:szCs w:val="15"/>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Shares of</w:t>
            </w:r>
          </w:p>
        </w:tc>
      </w:tr>
      <w:tr>
        <w:trPr>
          <w:trHeight w:val="183"/>
        </w:trPr>
        <w:tc>
          <w:tcPr>
            <w:tcW w:w="3620" w:type="dxa"/>
            <w:vAlign w:val="bottom"/>
          </w:tcPr>
          <w:p>
            <w:pPr>
              <w:spacing w:after="0"/>
              <w:rPr>
                <w:sz w:val="15"/>
                <w:szCs w:val="15"/>
                <w:color w:val="auto"/>
              </w:rPr>
            </w:pPr>
          </w:p>
        </w:tc>
        <w:tc>
          <w:tcPr>
            <w:tcW w:w="15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Principal</w:t>
            </w:r>
          </w:p>
        </w:tc>
        <w:tc>
          <w:tcPr>
            <w:tcW w:w="1660" w:type="dxa"/>
            <w:vAlign w:val="bottom"/>
          </w:tcPr>
          <w:p>
            <w:pPr>
              <w:spacing w:after="0"/>
              <w:rPr>
                <w:sz w:val="15"/>
                <w:szCs w:val="15"/>
                <w:color w:val="auto"/>
              </w:rPr>
            </w:pP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Common Stock</w:t>
            </w:r>
          </w:p>
        </w:tc>
      </w:tr>
      <w:tr>
        <w:trPr>
          <w:trHeight w:val="183"/>
        </w:trPr>
        <w:tc>
          <w:tcPr>
            <w:tcW w:w="3620" w:type="dxa"/>
            <w:vAlign w:val="bottom"/>
          </w:tcPr>
          <w:p>
            <w:pPr>
              <w:spacing w:after="0"/>
              <w:rPr>
                <w:sz w:val="15"/>
                <w:szCs w:val="15"/>
                <w:color w:val="auto"/>
              </w:rPr>
            </w:pPr>
          </w:p>
        </w:tc>
        <w:tc>
          <w:tcPr>
            <w:tcW w:w="15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Amount of</w:t>
            </w:r>
          </w:p>
        </w:tc>
        <w:tc>
          <w:tcPr>
            <w:tcW w:w="1660" w:type="dxa"/>
            <w:vAlign w:val="bottom"/>
          </w:tcPr>
          <w:p>
            <w:pPr>
              <w:spacing w:after="0"/>
              <w:rPr>
                <w:sz w:val="15"/>
                <w:szCs w:val="15"/>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Issuable</w:t>
            </w:r>
          </w:p>
        </w:tc>
      </w:tr>
      <w:tr>
        <w:trPr>
          <w:trHeight w:val="183"/>
        </w:trPr>
        <w:tc>
          <w:tcPr>
            <w:tcW w:w="3620" w:type="dxa"/>
            <w:vAlign w:val="bottom"/>
          </w:tcPr>
          <w:p>
            <w:pPr>
              <w:spacing w:after="0"/>
              <w:rPr>
                <w:sz w:val="15"/>
                <w:szCs w:val="15"/>
                <w:color w:val="auto"/>
              </w:rPr>
            </w:pPr>
          </w:p>
        </w:tc>
        <w:tc>
          <w:tcPr>
            <w:tcW w:w="15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Notes</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 of</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Upon</w:t>
            </w:r>
          </w:p>
        </w:tc>
      </w:tr>
      <w:tr>
        <w:trPr>
          <w:trHeight w:val="183"/>
        </w:trPr>
        <w:tc>
          <w:tcPr>
            <w:tcW w:w="3620" w:type="dxa"/>
            <w:vAlign w:val="bottom"/>
          </w:tcPr>
          <w:p>
            <w:pPr>
              <w:spacing w:after="0"/>
              <w:rPr>
                <w:sz w:val="15"/>
                <w:szCs w:val="15"/>
                <w:color w:val="auto"/>
              </w:rPr>
            </w:pPr>
          </w:p>
        </w:tc>
        <w:tc>
          <w:tcPr>
            <w:tcW w:w="1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Beneficially</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Notes</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7"/>
              </w:rPr>
              <w:t>Conversion</w:t>
            </w:r>
          </w:p>
        </w:tc>
      </w:tr>
      <w:tr>
        <w:trPr>
          <w:trHeight w:val="183"/>
        </w:trPr>
        <w:tc>
          <w:tcPr>
            <w:tcW w:w="3620" w:type="dxa"/>
            <w:vAlign w:val="bottom"/>
          </w:tcPr>
          <w:p>
            <w:pPr>
              <w:spacing w:after="0"/>
              <w:rPr>
                <w:sz w:val="15"/>
                <w:szCs w:val="15"/>
                <w:color w:val="auto"/>
              </w:rPr>
            </w:pPr>
          </w:p>
        </w:tc>
        <w:tc>
          <w:tcPr>
            <w:tcW w:w="15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9"/>
              </w:rPr>
              <w:t>Owned and</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rPr>
              <w:t>Outstanding</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of the Notes</w:t>
            </w:r>
          </w:p>
        </w:tc>
      </w:tr>
      <w:tr>
        <w:trPr>
          <w:trHeight w:val="183"/>
        </w:trPr>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158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Offered</w:t>
            </w: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w:t>
            </w:r>
          </w:p>
        </w:tc>
      </w:tr>
      <w:tr>
        <w:trPr>
          <w:trHeight w:val="550"/>
        </w:trPr>
        <w:tc>
          <w:tcPr>
            <w:tcW w:w="3620" w:type="dxa"/>
            <w:vAlign w:val="bottom"/>
          </w:tcPr>
          <w:p>
            <w:pPr>
              <w:spacing w:after="0"/>
              <w:rPr>
                <w:sz w:val="20"/>
                <w:szCs w:val="20"/>
                <w:color w:val="auto"/>
              </w:rPr>
            </w:pPr>
            <w:r>
              <w:rPr>
                <w:rFonts w:ascii="Courier New" w:cs="Courier New" w:eastAsia="Courier New" w:hAnsi="Courier New"/>
                <w:sz w:val="16"/>
                <w:szCs w:val="16"/>
                <w:color w:val="auto"/>
              </w:rPr>
              <w:t>HFR CA Global Opportunity Master</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Trust (5)</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122,000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11,456</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Inflective Convertible Opportunity</w:t>
            </w: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Fund I, L.P.(6)</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1,878</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LLT LTD(7)</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5,634</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Lyxor/Forest Fund Limited(8)</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9,953</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Relay 11 Holdings Co.(9)</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4,507</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Sphinx Convertible Arbitrage SPC(10)</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9,296</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88" w:lineRule="exact"/>
        <w:rPr>
          <w:sz w:val="20"/>
          <w:szCs w:val="20"/>
          <w:color w:val="auto"/>
        </w:rPr>
      </w:pPr>
    </w:p>
    <w:p>
      <w:pPr>
        <w:ind w:left="482" w:right="660" w:hanging="482"/>
        <w:spacing w:after="0" w:line="241"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HFR RVA Select Performance Master Trust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sz w:val="20"/>
          <w:szCs w:val="20"/>
          <w:color w:val="auto"/>
        </w:rPr>
      </w:pPr>
    </w:p>
    <w:p>
      <w:pPr>
        <w:ind w:left="482" w:right="760" w:hanging="482"/>
        <w:spacing w:after="0" w:line="241"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Portfolio Management, LLC is the General Partner of Inflective Convertible Opportunity Fund I, L.P. Thomas J. Roy, President and Chief Financial Officer of Inflective Asset Management LLC exercises voting and dispositive power over the securites on behalf of Inflective Portfolio Management, LLC.</w:t>
      </w:r>
    </w:p>
    <w:p>
      <w:pPr>
        <w:spacing w:after="0" w:line="190" w:lineRule="exact"/>
        <w:rPr>
          <w:sz w:val="20"/>
          <w:szCs w:val="20"/>
          <w:color w:val="auto"/>
        </w:rPr>
      </w:pPr>
    </w:p>
    <w:p>
      <w:pPr>
        <w:ind w:left="482" w:right="580" w:hanging="482"/>
        <w:spacing w:after="0" w:line="241"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LLT LTD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sz w:val="20"/>
          <w:szCs w:val="20"/>
          <w:color w:val="auto"/>
        </w:rPr>
      </w:pPr>
    </w:p>
    <w:p>
      <w:pPr>
        <w:ind w:left="482" w:right="580" w:hanging="482"/>
        <w:spacing w:after="0" w:line="241" w:lineRule="auto"/>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Lyxor/Forest Fund Limited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sz w:val="20"/>
          <w:szCs w:val="20"/>
          <w:color w:val="auto"/>
        </w:rPr>
      </w:pPr>
    </w:p>
    <w:p>
      <w:pPr>
        <w:ind w:left="482" w:right="580" w:hanging="482"/>
        <w:spacing w:after="0" w:line="241"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Relay 11 Holdings Co. with respect to the securities listed on the table. Forest Investment Management is wholly owned by Forest Partners II, the sole General Partner of which is Michael A. Boyd Inc. Michael A. Boyd is the sole owner of Michael A. Boyd Inc.</w:t>
      </w:r>
    </w:p>
    <w:p>
      <w:pPr>
        <w:spacing w:after="0" w:line="371"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 and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Assumed to</w:t>
      </w:r>
      <w:r>
        <w:rPr>
          <w:sz w:val="20"/>
          <w:szCs w:val="20"/>
          <w:color w:val="auto"/>
        </w:rPr>
        <w:tab/>
      </w:r>
      <w:r>
        <w:rPr>
          <w:rFonts w:ascii="Courier New" w:cs="Courier New" w:eastAsia="Courier New" w:hAnsi="Courier New"/>
          <w:sz w:val="15"/>
          <w:szCs w:val="15"/>
          <w:color w:val="auto"/>
        </w:rPr>
        <w:t>Percentage of</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be Owned</w:t>
      </w:r>
      <w:r>
        <w:rPr>
          <w:sz w:val="20"/>
          <w:szCs w:val="20"/>
          <w:color w:val="auto"/>
        </w:rPr>
        <w:tab/>
      </w: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Following the</w:t>
      </w:r>
      <w:r>
        <w:rPr>
          <w:sz w:val="20"/>
          <w:szCs w:val="20"/>
          <w:color w:val="auto"/>
        </w:rPr>
        <w:tab/>
      </w:r>
      <w:r>
        <w:rPr>
          <w:rFonts w:ascii="Courier New" w:cs="Courier New" w:eastAsia="Courier New" w:hAnsi="Courier New"/>
          <w:sz w:val="15"/>
          <w:szCs w:val="15"/>
          <w:color w:val="auto"/>
        </w:rPr>
        <w:t>Outstanding</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Offering</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tabs>
          <w:tab w:leader="none" w:pos="1880" w:val="left"/>
        </w:tabs>
        <w:rPr>
          <w:sz w:val="20"/>
          <w:szCs w:val="20"/>
          <w:color w:val="auto"/>
        </w:rPr>
      </w:pPr>
      <w:r>
        <w:rPr>
          <w:rFonts w:ascii="Courier New" w:cs="Courier New" w:eastAsia="Courier New" w:hAnsi="Courier New"/>
          <w:sz w:val="16"/>
          <w:szCs w:val="16"/>
          <w:color w:val="auto"/>
        </w:rPr>
        <w:t>None</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8202" w:space="480"/>
            <w:col w:w="2840"/>
          </w:cols>
          <w:pgMar w:left="238" w:top="1031" w:right="139" w:bottom="1440" w:gutter="0" w:footer="0" w:header="0"/>
        </w:sectPr>
      </w:pPr>
    </w:p>
    <w:bookmarkStart w:id="3" w:name="page4"/>
    <w:bookmarkEnd w:id="3"/>
    <w:tbl>
      <w:tblPr>
        <w:tblLayout w:type="fixed"/>
        <w:tblInd w:w="2"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Shares of</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Common</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Stock</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Beneficially</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Aggregate</w:t>
            </w:r>
          </w:p>
        </w:tc>
        <w:tc>
          <w:tcPr>
            <w:tcW w:w="1660" w:type="dxa"/>
            <w:vAlign w:val="bottom"/>
          </w:tcPr>
          <w:p>
            <w:pPr>
              <w:spacing w:after="0"/>
              <w:rPr>
                <w:sz w:val="15"/>
                <w:szCs w:val="15"/>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6"/>
                <w:szCs w:val="16"/>
                <w:color w:val="auto"/>
              </w:rPr>
              <w:t>Shares of</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Owned</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Principal</w:t>
            </w:r>
          </w:p>
        </w:tc>
        <w:tc>
          <w:tcPr>
            <w:tcW w:w="16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Common Stock</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Before the</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Amount of</w:t>
            </w:r>
          </w:p>
        </w:tc>
        <w:tc>
          <w:tcPr>
            <w:tcW w:w="1660" w:type="dxa"/>
            <w:vAlign w:val="bottom"/>
          </w:tcPr>
          <w:p>
            <w:pPr>
              <w:spacing w:after="0"/>
              <w:rPr>
                <w:sz w:val="15"/>
                <w:szCs w:val="15"/>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6"/>
                <w:szCs w:val="16"/>
                <w:color w:val="auto"/>
              </w:rPr>
              <w:t>Issuable</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Offering and</w:t>
            </w: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Notes</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 of</w:t>
            </w: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Upon</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Assumed to</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w w:val="96"/>
              </w:rPr>
              <w:t>Percentage of</w:t>
            </w:r>
          </w:p>
        </w:tc>
      </w:tr>
      <w:tr>
        <w:trPr>
          <w:trHeight w:val="183"/>
        </w:trPr>
        <w:tc>
          <w:tcPr>
            <w:tcW w:w="3520" w:type="dxa"/>
            <w:vAlign w:val="bottom"/>
          </w:tcPr>
          <w:p>
            <w:pPr>
              <w:spacing w:after="0"/>
              <w:rPr>
                <w:sz w:val="15"/>
                <w:szCs w:val="15"/>
                <w:color w:val="auto"/>
              </w:rPr>
            </w:pPr>
          </w:p>
        </w:tc>
        <w:tc>
          <w:tcPr>
            <w:tcW w:w="1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Beneficially</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Notes</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7"/>
              </w:rPr>
              <w:t>Conversion</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be Owned</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Common</w:t>
            </w:r>
          </w:p>
        </w:tc>
      </w:tr>
      <w:tr>
        <w:trPr>
          <w:trHeight w:val="183"/>
        </w:trPr>
        <w:tc>
          <w:tcPr>
            <w:tcW w:w="35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Owned and</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rPr>
              <w:t>Outstanding</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of the Notes</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Following the</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352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Offered</w:t>
            </w: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Offering</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6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550"/>
        </w:trPr>
        <w:tc>
          <w:tcPr>
            <w:tcW w:w="3520" w:type="dxa"/>
            <w:vAlign w:val="bottom"/>
          </w:tcPr>
          <w:p>
            <w:pPr>
              <w:spacing w:after="0"/>
              <w:rPr>
                <w:sz w:val="20"/>
                <w:szCs w:val="20"/>
                <w:color w:val="auto"/>
              </w:rPr>
            </w:pPr>
            <w:r>
              <w:rPr>
                <w:rFonts w:ascii="Courier New" w:cs="Courier New" w:eastAsia="Courier New" w:hAnsi="Courier New"/>
                <w:sz w:val="16"/>
                <w:szCs w:val="16"/>
                <w:color w:val="auto"/>
              </w:rPr>
              <w:t>SPC(10)</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Xavex Convertible Arbitrage(4)</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Zurich Institutional Benchmarks</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Master Fund, LTD.(11)</w:t>
            </w: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216,000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20,282</w:t>
            </w:r>
          </w:p>
        </w:tc>
        <w:tc>
          <w:tcPr>
            <w:tcW w:w="1660" w:type="dxa"/>
            <w:vAlign w:val="bottom"/>
          </w:tcPr>
          <w:p>
            <w:pPr>
              <w:ind w:left="620"/>
              <w:spacing w:after="0"/>
              <w:rPr>
                <w:sz w:val="20"/>
                <w:szCs w:val="20"/>
                <w:color w:val="auto"/>
              </w:rPr>
            </w:pPr>
            <w:r>
              <w:rPr>
                <w:rFonts w:ascii="Courier New" w:cs="Courier New" w:eastAsia="Courier New" w:hAnsi="Courier New"/>
                <w:sz w:val="16"/>
                <w:szCs w:val="16"/>
                <w:color w:val="auto"/>
              </w:rPr>
              <w:t>None</w:t>
            </w:r>
          </w:p>
        </w:tc>
        <w:tc>
          <w:tcPr>
            <w:tcW w:w="142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Any other holder of Notes of future</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transferee, pledgee, donee or</w:t>
            </w:r>
          </w:p>
        </w:tc>
        <w:tc>
          <w:tcPr>
            <w:tcW w:w="1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successor of any holder*****</w:t>
            </w:r>
          </w:p>
        </w:tc>
        <w:tc>
          <w:tcPr>
            <w:tcW w:w="1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1,906,000</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178,973</w:t>
            </w:r>
          </w:p>
        </w:tc>
        <w:tc>
          <w:tcPr>
            <w:tcW w:w="16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582" w:hanging="582"/>
        <w:spacing w:after="0"/>
        <w:tabs>
          <w:tab w:leader="none" w:pos="5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selling securityholders may be identified at a later date.</w:t>
      </w:r>
    </w:p>
    <w:p>
      <w:pPr>
        <w:spacing w:after="0" w:line="188" w:lineRule="exact"/>
        <w:rPr>
          <w:sz w:val="20"/>
          <w:szCs w:val="20"/>
          <w:color w:val="auto"/>
        </w:rPr>
      </w:pPr>
    </w:p>
    <w:p>
      <w:pPr>
        <w:ind w:left="582" w:right="3980"/>
        <w:spacing w:after="0" w:line="242" w:lineRule="auto"/>
        <w:rPr>
          <w:sz w:val="20"/>
          <w:szCs w:val="20"/>
          <w:color w:val="auto"/>
        </w:rPr>
      </w:pPr>
      <w:r>
        <w:rPr>
          <w:rFonts w:ascii="Courier New" w:cs="Courier New" w:eastAsia="Courier New" w:hAnsi="Courier New"/>
          <w:sz w:val="16"/>
          <w:szCs w:val="16"/>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191" w:lineRule="exact"/>
        <w:rPr>
          <w:sz w:val="20"/>
          <w:szCs w:val="20"/>
          <w:color w:val="auto"/>
        </w:rPr>
      </w:pPr>
    </w:p>
    <w:p>
      <w:pPr>
        <w:ind w:left="482" w:right="3980" w:hanging="482"/>
        <w:spacing w:after="0" w:line="241"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Forest Investment Management is the investment advisor to Sphinx Convertible Arbitrage SPC with respect to the securities listed on the table. Forest Investment Management is wholly owned by Forest Partners II, the sole General Partner of which is Michael A. Boyd Inc. Michael A. Boyd is the sole owner of Michael A. Boyd Inc.</w:t>
      </w:r>
    </w:p>
    <w:p>
      <w:pPr>
        <w:spacing w:after="0" w:line="190" w:lineRule="exact"/>
        <w:rPr>
          <w:rFonts w:ascii="Courier New" w:cs="Courier New" w:eastAsia="Courier New" w:hAnsi="Courier New"/>
          <w:sz w:val="16"/>
          <w:szCs w:val="16"/>
          <w:color w:val="auto"/>
        </w:rPr>
      </w:pPr>
    </w:p>
    <w:p>
      <w:pPr>
        <w:ind w:left="482" w:right="3900" w:hanging="482"/>
        <w:spacing w:after="0" w:line="242"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TQA Investors, L.L.C. is the investment advisor for Zurich Institutional Benchmarks Master Fund, LTD. with respect to 150,000 of principal amount of the securities listed on the table. Robert Butman, Managing Member of TQA Investors, L.L.C., exercises voting and investment power over such securities. However, Zazove Associates, LLC is the investment advisor to Zurich Institutional Benchmarks Master Fund, LTD. with respect to 2,050,000 of principal amount of the securities listed on the table. Gene T. Prelti exercises investment and voting control on behalf of Zazove Associates, LLC.</w:t>
      </w:r>
    </w:p>
    <w:p>
      <w:pPr>
        <w:spacing w:after="0" w:line="189" w:lineRule="exact"/>
        <w:rPr>
          <w:sz w:val="20"/>
          <w:szCs w:val="20"/>
          <w:color w:val="auto"/>
        </w:rPr>
      </w:pPr>
    </w:p>
    <w:p>
      <w:pPr>
        <w:ind w:left="482" w:right="4660" w:hanging="482"/>
        <w:spacing w:after="0" w:line="239" w:lineRule="auto"/>
        <w:tabs>
          <w:tab w:leader="none" w:pos="4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none of these selling securityholders would beneficially own 1% or more of the outstanding Notes.</w:t>
      </w:r>
    </w:p>
    <w:p>
      <w:pPr>
        <w:spacing w:after="0" w:line="189" w:lineRule="exact"/>
        <w:rPr>
          <w:rFonts w:ascii="Courier New" w:cs="Courier New" w:eastAsia="Courier New" w:hAnsi="Courier New"/>
          <w:sz w:val="16"/>
          <w:szCs w:val="16"/>
          <w:color w:val="auto"/>
        </w:rPr>
      </w:pPr>
    </w:p>
    <w:p>
      <w:pPr>
        <w:ind w:left="482" w:right="3900" w:hanging="482"/>
        <w:spacing w:after="0" w:line="242" w:lineRule="auto"/>
        <w:tabs>
          <w:tab w:leader="none" w:pos="4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189" w:lineRule="exact"/>
        <w:rPr>
          <w:rFonts w:ascii="Courier New" w:cs="Courier New" w:eastAsia="Courier New" w:hAnsi="Courier New"/>
          <w:sz w:val="16"/>
          <w:szCs w:val="16"/>
          <w:color w:val="auto"/>
        </w:rPr>
      </w:pPr>
    </w:p>
    <w:p>
      <w:pPr>
        <w:jc w:val="both"/>
        <w:ind w:left="482" w:right="3980" w:hanging="482"/>
        <w:spacing w:after="0" w:line="265" w:lineRule="auto"/>
        <w:tabs>
          <w:tab w:leader="none" w:pos="4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35,073,153 outstanding shares of CMRG as of January 31, 2004, none of these selling securityholders would beneficially own 1% or more of the outstanding shares following the sale of securities in the offering.</w:t>
      </w:r>
    </w:p>
    <w:p>
      <w:pPr>
        <w:spacing w:after="0" w:line="170" w:lineRule="exact"/>
        <w:rPr>
          <w:rFonts w:ascii="Courier New" w:cs="Courier New" w:eastAsia="Courier New" w:hAnsi="Courier New"/>
          <w:sz w:val="15"/>
          <w:szCs w:val="15"/>
          <w:color w:val="auto"/>
        </w:rPr>
      </w:pPr>
    </w:p>
    <w:p>
      <w:pPr>
        <w:ind w:left="582" w:right="3900" w:hanging="582"/>
        <w:spacing w:after="0" w:line="263" w:lineRule="auto"/>
        <w:tabs>
          <w:tab w:leader="none" w:pos="58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200" w:lineRule="exact"/>
        <w:rPr>
          <w:sz w:val="20"/>
          <w:szCs w:val="20"/>
          <w:color w:val="auto"/>
        </w:rPr>
      </w:pPr>
    </w:p>
    <w:p>
      <w:pPr>
        <w:spacing w:after="0" w:line="33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2"/>
          </w:cols>
          <w:pgMar w:left="238" w:top="1031" w:right="1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2"/>
      <w:numFmt w:val="bullet"/>
      <w:start w:val="1"/>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4"/>
      <w:numFmt w:val="bullet"/>
      <w:start w:val="1"/>
    </w:lvl>
  </w:abstractNum>
  <w:abstractNum w:abstractNumId="4">
    <w:nsid w:val="4DB127F8"/>
    <w:multiLevelType w:val="hybridMultilevel"/>
    <w:lvl w:ilvl="0">
      <w:lvlJc w:val="left"/>
      <w:lvlText w:val="5"/>
      <w:numFmt w:val="bullet"/>
      <w:start w:val="1"/>
    </w:lvl>
  </w:abstractNum>
  <w:abstractNum w:abstractNumId="5">
    <w:nsid w:val="216231B"/>
    <w:multiLevelType w:val="hybridMultilevel"/>
    <w:lvl w:ilvl="0">
      <w:lvlJc w:val="left"/>
      <w:lvlText w:val="6"/>
      <w:numFmt w:val="bullet"/>
      <w:start w:val="1"/>
    </w:lvl>
  </w:abstractNum>
  <w:abstractNum w:abstractNumId="6">
    <w:nsid w:val="1F16E9E8"/>
    <w:multiLevelType w:val="hybridMultilevel"/>
    <w:lvl w:ilvl="0">
      <w:lvlJc w:val="left"/>
      <w:lvlText w:val="7"/>
      <w:numFmt w:val="bullet"/>
      <w:start w:val="1"/>
    </w:lvl>
  </w:abstractNum>
  <w:abstractNum w:abstractNumId="7">
    <w:nsid w:val="1190CDE7"/>
    <w:multiLevelType w:val="hybridMultilevel"/>
    <w:lvl w:ilvl="0">
      <w:lvlJc w:val="left"/>
      <w:lvlText w:val="8"/>
      <w:numFmt w:val="bullet"/>
      <w:start w:val="1"/>
    </w:lvl>
  </w:abstractNum>
  <w:abstractNum w:abstractNumId="8">
    <w:nsid w:val="66EF438D"/>
    <w:multiLevelType w:val="hybridMultilevel"/>
    <w:lvl w:ilvl="0">
      <w:lvlJc w:val="left"/>
      <w:lvlText w:val="9"/>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2019-12-20T01:03:58Z</dcterms:created>
  <dcterms:modified xsi:type="dcterms:W3CDTF">2019-12-20T01:03:58Z</dcterms:modified>
</cp:coreProperties>
</file>