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580" w:right="2120" w:hanging="3572"/>
        <w:spacing w:after="0" w:line="328"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3, 2018 (Fiscal 2017)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20" w:hanging="512"/>
        <w:spacing w:after="0" w:line="187" w:lineRule="auto"/>
        <w:tabs>
          <w:tab w:leader="none" w:pos="52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w:t>
      </w:r>
    </w:p>
    <w:p>
      <w:pPr>
        <w:spacing w:after="0" w:line="203" w:lineRule="exact"/>
        <w:rPr>
          <w:sz w:val="24"/>
          <w:szCs w:val="24"/>
          <w:color w:val="auto"/>
        </w:rPr>
      </w:pPr>
    </w:p>
    <w:p>
      <w:pPr>
        <w:ind w:left="520"/>
        <w:spacing w:after="0"/>
        <w:tabs>
          <w:tab w:leader="none" w:pos="39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-199390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gridSpan w:val="2"/>
          </w:tcPr>
          <w:p>
            <w:pPr>
              <w:jc w:val="center"/>
              <w:ind w:left="68"/>
              <w:spacing w:after="0"/>
              <w:rPr>
                <w:sz w:val="20"/>
                <w:szCs w:val="20"/>
                <w:color w:val="auto"/>
              </w:rPr>
            </w:pPr>
            <w:r>
              <w:rPr>
                <w:rFonts w:ascii="Arial" w:cs="Arial" w:eastAsia="Arial" w:hAnsi="Arial"/>
                <w:sz w:val="18"/>
                <w:szCs w:val="18"/>
                <w:b w:val="1"/>
                <w:bCs w:val="1"/>
                <w:color w:val="auto"/>
                <w:w w:val="91"/>
              </w:rPr>
              <w:t>Delaware</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20" w:type="dxa"/>
            <w:vAlign w:val="bottom"/>
            <w:gridSpan w:val="2"/>
          </w:tcPr>
          <w:p>
            <w:pPr>
              <w:jc w:val="center"/>
              <w:ind w:left="68"/>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00" w:type="dxa"/>
            <w:vAlign w:val="bottom"/>
            <w:gridSpan w:val="2"/>
          </w:tcPr>
          <w:p>
            <w:pPr>
              <w:jc w:val="center"/>
              <w:ind w:left="24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gridSpan w:val="2"/>
          </w:tcPr>
          <w:p>
            <w:pPr>
              <w:jc w:val="center"/>
              <w:ind w:left="68"/>
              <w:spacing w:after="0"/>
              <w:rPr>
                <w:sz w:val="20"/>
                <w:szCs w:val="20"/>
                <w:color w:val="auto"/>
              </w:rPr>
            </w:pPr>
            <w:r>
              <w:rPr>
                <w:rFonts w:ascii="Arial" w:cs="Arial" w:eastAsia="Arial" w:hAnsi="Arial"/>
                <w:sz w:val="13"/>
                <w:szCs w:val="13"/>
                <w:b w:val="1"/>
                <w:bCs w:val="1"/>
                <w:color w:val="auto"/>
                <w:w w:val="88"/>
              </w:rPr>
              <w:t>incorporation or organization)</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center"/>
              <w:ind w:left="244"/>
              <w:spacing w:after="0"/>
              <w:rPr>
                <w:sz w:val="20"/>
                <w:szCs w:val="20"/>
                <w:color w:val="auto"/>
              </w:rPr>
            </w:pPr>
            <w:r>
              <w:rPr>
                <w:rFonts w:ascii="Arial" w:cs="Arial" w:eastAsia="Arial" w:hAnsi="Arial"/>
                <w:sz w:val="13"/>
                <w:szCs w:val="13"/>
                <w:b w:val="1"/>
                <w:bCs w:val="1"/>
                <w:color w:val="auto"/>
                <w:w w:val="89"/>
              </w:rPr>
              <w:t>Identification No.)</w:t>
            </w:r>
          </w:p>
        </w:tc>
      </w:tr>
      <w:tr>
        <w:trPr>
          <w:trHeight w:val="335"/>
        </w:trPr>
        <w:tc>
          <w:tcPr>
            <w:tcW w:w="760" w:type="dxa"/>
            <w:vAlign w:val="bottom"/>
          </w:tcPr>
          <w:p>
            <w:pPr>
              <w:spacing w:after="0"/>
              <w:rPr>
                <w:sz w:val="24"/>
                <w:szCs w:val="24"/>
                <w:color w:val="auto"/>
              </w:rPr>
            </w:pPr>
          </w:p>
        </w:tc>
        <w:tc>
          <w:tcPr>
            <w:tcW w:w="7000" w:type="dxa"/>
            <w:vAlign w:val="bottom"/>
            <w:gridSpan w:val="7"/>
          </w:tcPr>
          <w:p>
            <w:pPr>
              <w:jc w:val="center"/>
              <w:ind w:right="2780"/>
              <w:spacing w:after="0"/>
              <w:rPr>
                <w:sz w:val="20"/>
                <w:szCs w:val="20"/>
                <w:color w:val="auto"/>
              </w:rPr>
            </w:pPr>
            <w:r>
              <w:rPr>
                <w:rFonts w:ascii="Arial" w:cs="Arial" w:eastAsia="Arial" w:hAnsi="Arial"/>
                <w:sz w:val="18"/>
                <w:szCs w:val="18"/>
                <w:b w:val="1"/>
                <w:bCs w:val="1"/>
                <w:color w:val="auto"/>
                <w:w w:val="93"/>
              </w:rPr>
              <w:t>555 Turnpike Street, Canton, MA</w:t>
            </w:r>
          </w:p>
        </w:tc>
        <w:tc>
          <w:tcPr>
            <w:tcW w:w="480" w:type="dxa"/>
            <w:vAlign w:val="bottom"/>
          </w:tcPr>
          <w:p>
            <w:pPr>
              <w:spacing w:after="0"/>
              <w:rPr>
                <w:sz w:val="24"/>
                <w:szCs w:val="24"/>
                <w:color w:val="auto"/>
              </w:rPr>
            </w:pPr>
          </w:p>
        </w:tc>
        <w:tc>
          <w:tcPr>
            <w:tcW w:w="820" w:type="dxa"/>
            <w:vAlign w:val="bottom"/>
          </w:tcPr>
          <w:p>
            <w:pPr>
              <w:jc w:val="right"/>
              <w:ind w:right="181"/>
              <w:spacing w:after="0"/>
              <w:rPr>
                <w:sz w:val="20"/>
                <w:szCs w:val="20"/>
                <w:color w:val="auto"/>
              </w:rPr>
            </w:pPr>
            <w:r>
              <w:rPr>
                <w:rFonts w:ascii="Arial" w:cs="Arial" w:eastAsia="Arial" w:hAnsi="Arial"/>
                <w:sz w:val="18"/>
                <w:szCs w:val="18"/>
                <w:b w:val="1"/>
                <w:bCs w:val="1"/>
                <w:color w:val="auto"/>
              </w:rPr>
              <w:t>02021</w:t>
            </w:r>
          </w:p>
        </w:tc>
      </w:tr>
      <w:tr>
        <w:trPr>
          <w:trHeight w:val="164"/>
        </w:trPr>
        <w:tc>
          <w:tcPr>
            <w:tcW w:w="760" w:type="dxa"/>
            <w:vAlign w:val="bottom"/>
          </w:tcPr>
          <w:p>
            <w:pPr>
              <w:spacing w:after="0"/>
              <w:rPr>
                <w:sz w:val="14"/>
                <w:szCs w:val="14"/>
                <w:color w:val="auto"/>
              </w:rPr>
            </w:pPr>
          </w:p>
        </w:tc>
        <w:tc>
          <w:tcPr>
            <w:tcW w:w="7000" w:type="dxa"/>
            <w:vAlign w:val="bottom"/>
            <w:gridSpan w:val="7"/>
          </w:tcPr>
          <w:p>
            <w:pPr>
              <w:jc w:val="center"/>
              <w:ind w:right="280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80" w:type="dxa"/>
            <w:vAlign w:val="bottom"/>
          </w:tcPr>
          <w:p>
            <w:pPr>
              <w:spacing w:after="0"/>
              <w:rPr>
                <w:sz w:val="14"/>
                <w:szCs w:val="14"/>
                <w:color w:val="auto"/>
              </w:rPr>
            </w:pPr>
          </w:p>
        </w:tc>
        <w:tc>
          <w:tcPr>
            <w:tcW w:w="820" w:type="dxa"/>
            <w:vAlign w:val="bottom"/>
          </w:tcPr>
          <w:p>
            <w:pPr>
              <w:jc w:val="center"/>
              <w:ind w:right="81"/>
              <w:spacing w:after="0"/>
              <w:rPr>
                <w:sz w:val="20"/>
                <w:szCs w:val="20"/>
                <w:color w:val="auto"/>
              </w:rPr>
            </w:pPr>
            <w:r>
              <w:rPr>
                <w:rFonts w:ascii="Arial" w:cs="Arial" w:eastAsia="Arial" w:hAnsi="Arial"/>
                <w:sz w:val="13"/>
                <w:szCs w:val="13"/>
                <w:b w:val="1"/>
                <w:bCs w:val="1"/>
                <w:color w:val="auto"/>
                <w:w w:val="90"/>
              </w:rPr>
              <w:t>(Zip Code)</w:t>
            </w:r>
          </w:p>
        </w:tc>
      </w:tr>
      <w:tr>
        <w:trPr>
          <w:trHeight w:val="273"/>
        </w:trPr>
        <w:tc>
          <w:tcPr>
            <w:tcW w:w="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540" w:type="dxa"/>
            <w:vAlign w:val="bottom"/>
            <w:gridSpan w:val="7"/>
          </w:tcPr>
          <w:p>
            <w:pPr>
              <w:jc w:val="center"/>
              <w:ind w:right="81"/>
              <w:spacing w:after="0"/>
              <w:rPr>
                <w:sz w:val="20"/>
                <w:szCs w:val="20"/>
                <w:color w:val="auto"/>
              </w:rPr>
            </w:pPr>
            <w:r>
              <w:rPr>
                <w:rFonts w:ascii="Arial" w:cs="Arial" w:eastAsia="Arial" w:hAnsi="Arial"/>
                <w:sz w:val="18"/>
                <w:szCs w:val="18"/>
                <w:b w:val="1"/>
                <w:bCs w:val="1"/>
                <w:color w:val="auto"/>
                <w:w w:val="89"/>
              </w:rPr>
              <w:t>Registrant’s telephone number, including area code: (781) 828-9300</w:t>
            </w:r>
          </w:p>
        </w:tc>
      </w:tr>
      <w:tr>
        <w:trPr>
          <w:trHeight w:val="122"/>
        </w:trPr>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56"/>
        </w:trPr>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97"/>
        </w:trPr>
        <w:tc>
          <w:tcPr>
            <w:tcW w:w="76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1"/>
              </w:rPr>
              <w:t>Title of each class</w:t>
            </w:r>
          </w:p>
        </w:tc>
        <w:tc>
          <w:tcPr>
            <w:tcW w:w="640" w:type="dxa"/>
            <w:vAlign w:val="bottom"/>
          </w:tcPr>
          <w:p>
            <w:pPr>
              <w:spacing w:after="0"/>
              <w:rPr>
                <w:sz w:val="17"/>
                <w:szCs w:val="17"/>
                <w:color w:val="auto"/>
              </w:rPr>
            </w:pPr>
          </w:p>
        </w:tc>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w w:val="90"/>
              </w:rPr>
              <w:t>Name of each exchange on which registered</w:t>
            </w:r>
          </w:p>
        </w:tc>
        <w:tc>
          <w:tcPr>
            <w:tcW w:w="25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2"/>
        </w:trPr>
        <w:tc>
          <w:tcPr>
            <w:tcW w:w="3700" w:type="dxa"/>
            <w:vAlign w:val="bottom"/>
            <w:gridSpan w:val="4"/>
          </w:tcPr>
          <w:p>
            <w:pPr>
              <w:ind w:left="380"/>
              <w:spacing w:after="0"/>
              <w:rPr>
                <w:sz w:val="20"/>
                <w:szCs w:val="20"/>
                <w:color w:val="auto"/>
              </w:rPr>
            </w:pPr>
            <w:r>
              <w:rPr>
                <w:rFonts w:ascii="Arial" w:cs="Arial" w:eastAsia="Arial" w:hAnsi="Arial"/>
                <w:sz w:val="15"/>
                <w:szCs w:val="15"/>
                <w:color w:val="auto"/>
              </w:rPr>
              <w:t>Common Stock, Par Value $0.01 Per Share</w:t>
            </w:r>
          </w:p>
        </w:tc>
        <w:tc>
          <w:tcPr>
            <w:tcW w:w="4060" w:type="dxa"/>
            <w:vAlign w:val="bottom"/>
            <w:gridSpan w:val="4"/>
          </w:tcPr>
          <w:p>
            <w:pPr>
              <w:spacing w:after="0"/>
              <w:rPr>
                <w:sz w:val="20"/>
                <w:szCs w:val="20"/>
                <w:color w:val="auto"/>
              </w:rPr>
            </w:pPr>
            <w:r>
              <w:rPr>
                <w:rFonts w:ascii="Arial" w:cs="Arial" w:eastAsia="Arial" w:hAnsi="Arial"/>
                <w:sz w:val="15"/>
                <w:szCs w:val="15"/>
                <w:color w:val="auto"/>
              </w:rPr>
              <w:t>NASDAQ Stock Market, LLC</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60" w:type="dxa"/>
            <w:vAlign w:val="bottom"/>
            <w:gridSpan w:val="4"/>
          </w:tcPr>
          <w:p>
            <w:pPr>
              <w:jc w:val="center"/>
              <w:ind w:right="40"/>
              <w:spacing w:after="0"/>
              <w:rPr>
                <w:sz w:val="20"/>
                <w:szCs w:val="20"/>
                <w:color w:val="auto"/>
              </w:rPr>
            </w:pPr>
            <w:r>
              <w:rPr>
                <w:rFonts w:ascii="Arial" w:cs="Arial" w:eastAsia="Arial" w:hAnsi="Arial"/>
                <w:sz w:val="15"/>
                <w:szCs w:val="15"/>
                <w:color w:val="auto"/>
                <w:w w:val="92"/>
              </w:rPr>
              <w:t xml:space="preserve">Securities registered pursuant to Section 12(g) of the Act: </w:t>
            </w:r>
            <w:r>
              <w:rPr>
                <w:rFonts w:ascii="Arial" w:cs="Arial" w:eastAsia="Arial" w:hAnsi="Arial"/>
                <w:sz w:val="15"/>
                <w:szCs w:val="15"/>
                <w:b w:val="1"/>
                <w:bCs w:val="1"/>
                <w:color w:val="auto"/>
                <w:w w:val="92"/>
              </w:rPr>
              <w:t>None</w:t>
            </w: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3"/>
        </w:trPr>
        <w:tc>
          <w:tcPr>
            <w:tcW w:w="7760" w:type="dxa"/>
            <w:vAlign w:val="bottom"/>
            <w:gridSpan w:val="8"/>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820" w:type="dxa"/>
            <w:vAlign w:val="bottom"/>
          </w:tcPr>
          <w:p>
            <w:pPr>
              <w:jc w:val="center"/>
              <w:ind w:right="1"/>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70"/>
        </w:trPr>
        <w:tc>
          <w:tcPr>
            <w:tcW w:w="77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820" w:type="dxa"/>
            <w:vAlign w:val="bottom"/>
          </w:tcPr>
          <w:p>
            <w:pPr>
              <w:jc w:val="center"/>
              <w:ind w:right="21"/>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46" w:lineRule="exact"/>
        <w:rPr>
          <w:sz w:val="24"/>
          <w:szCs w:val="24"/>
          <w:color w:val="auto"/>
        </w:r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right="4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S-K(§229.405 of this chapter)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141" w:lineRule="exact"/>
        <w:rPr>
          <w:sz w:val="24"/>
          <w:szCs w:val="24"/>
          <w:color w:val="auto"/>
        </w:rPr>
      </w:pPr>
    </w:p>
    <w:tbl>
      <w:tblPr>
        <w:tblLayout w:type="fixed"/>
        <w:tblInd w:w="1600" w:type="dxa"/>
        <w:tblCellMar>
          <w:top w:w="0" w:type="dxa"/>
          <w:left w:w="0" w:type="dxa"/>
          <w:bottom w:w="0" w:type="dxa"/>
          <w:right w:w="0" w:type="dxa"/>
        </w:tblCellMar>
      </w:tblP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8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7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18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7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3720" w:type="dxa"/>
            <w:vAlign w:val="bottom"/>
            <w:gridSpan w:val="2"/>
          </w:tcPr>
          <w:p>
            <w:pPr>
              <w:spacing w:after="0"/>
              <w:rPr>
                <w:sz w:val="20"/>
                <w:szCs w:val="20"/>
                <w:color w:val="auto"/>
              </w:rPr>
            </w:pPr>
            <w:r>
              <w:rPr>
                <w:rFonts w:ascii="Arial" w:cs="Arial" w:eastAsia="Arial" w:hAnsi="Arial"/>
                <w:sz w:val="16"/>
                <w:szCs w:val="16"/>
                <w:color w:val="auto"/>
              </w:rPr>
              <w:t>(Do not check if a smaller reporting company)</w:t>
            </w:r>
          </w:p>
        </w:tc>
        <w:tc>
          <w:tcPr>
            <w:tcW w:w="2760" w:type="dxa"/>
            <w:vAlign w:val="bottom"/>
          </w:tcPr>
          <w:p>
            <w:pPr>
              <w:ind w:left="7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81"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jc w:val="both"/>
        <w:ind w:right="100"/>
        <w:spacing w:after="0" w:line="335" w:lineRule="auto"/>
        <w:rPr>
          <w:sz w:val="20"/>
          <w:szCs w:val="20"/>
          <w:color w:val="auto"/>
        </w:rPr>
      </w:pPr>
      <w:r>
        <w:rPr>
          <w:rFonts w:ascii="Arial" w:cs="Arial" w:eastAsia="Arial" w:hAnsi="Arial"/>
          <w:sz w:val="14"/>
          <w:szCs w:val="14"/>
          <w:color w:val="auto"/>
        </w:rPr>
        <w:t>As of July 29, 2017, the aggregate market value of the Common Stock held by non-affiliates of the registrant was approximately $67.5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49,013,574 shares of Common Stock, $0.01 par value, outstanding as of May 28, 2018.</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593725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are filing this Amendment No. 1 to our Annual Report on Form 10−K for the fiscal year ended February 3, 2018 (this “Form 10-K/A”) pursuant to General Instruction G(3) to Form 10−K for the purposes of filing the information required to be disclosed pursuant to Part III of Form 10−K.</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for the amendments described above, this Form 10−K/A does not modify or update the disclosure in our Annual Report on Form 10−K for the fiscal year ended February 3, 2018 filed with the Securities and Exchange Commission on March 23, 2018.</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gridSpan w:val="3"/>
            <w:vMerge w:val="restart"/>
          </w:tcPr>
          <w:p>
            <w:pPr>
              <w:spacing w:after="0"/>
              <w:rPr>
                <w:sz w:val="20"/>
                <w:szCs w:val="20"/>
                <w:color w:val="auto"/>
              </w:rPr>
            </w:pPr>
            <w:r>
              <w:rPr>
                <w:rFonts w:ascii="Arial" w:cs="Arial" w:eastAsia="Arial" w:hAnsi="Arial"/>
                <w:sz w:val="18"/>
                <w:szCs w:val="18"/>
                <w:b w:val="1"/>
                <w:bCs w:val="1"/>
                <w:color w:val="0000EE"/>
              </w:rPr>
              <w:t>PART III</w:t>
            </w:r>
          </w:p>
        </w:tc>
        <w:tc>
          <w:tcPr>
            <w:tcW w:w="420" w:type="dxa"/>
            <w:vAlign w:val="bottom"/>
            <w:vMerge w:val="restart"/>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760" w:type="dxa"/>
            <w:vAlign w:val="bottom"/>
            <w:tcBorders>
              <w:bottom w:val="single" w:sz="8" w:color="0000EE"/>
            </w:tcBorders>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10.</w:t>
            </w:r>
          </w:p>
        </w:tc>
        <w:tc>
          <w:tcPr>
            <w:tcW w:w="460" w:type="dxa"/>
            <w:vAlign w:val="bottom"/>
            <w:gridSpan w:val="3"/>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Directors, Executive Officers and Corporate Governance</w:t>
              </w:r>
            </w:hyperlink>
          </w:p>
        </w:tc>
        <w:tc>
          <w:tcPr>
            <w:tcW w:w="5020" w:type="dxa"/>
            <w:vAlign w:val="bottom"/>
            <w:gridSpan w:val="3"/>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11.</w:t>
            </w:r>
          </w:p>
        </w:tc>
        <w:tc>
          <w:tcPr>
            <w:tcW w:w="460" w:type="dxa"/>
            <w:vAlign w:val="bottom"/>
            <w:gridSpan w:val="3"/>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Executive Compensation</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0000EE"/>
                <w:w w:val="95"/>
              </w:rPr>
              <w:t>ITEM 12.</w:t>
            </w:r>
          </w:p>
        </w:tc>
        <w:tc>
          <w:tcPr>
            <w:tcW w:w="460" w:type="dxa"/>
            <w:vAlign w:val="bottom"/>
            <w:gridSpan w:val="3"/>
          </w:tcPr>
          <w:p>
            <w:pPr>
              <w:spacing w:after="0"/>
              <w:rPr>
                <w:sz w:val="17"/>
                <w:szCs w:val="17"/>
                <w:color w:val="auto"/>
              </w:rPr>
            </w:pPr>
          </w:p>
        </w:tc>
        <w:tc>
          <w:tcPr>
            <w:tcW w:w="910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13.</w:t>
            </w:r>
          </w:p>
        </w:tc>
        <w:tc>
          <w:tcPr>
            <w:tcW w:w="460" w:type="dxa"/>
            <w:vAlign w:val="bottom"/>
            <w:gridSpan w:val="3"/>
          </w:tcPr>
          <w:p>
            <w:pPr>
              <w:spacing w:after="0"/>
              <w:rPr>
                <w:sz w:val="17"/>
                <w:szCs w:val="17"/>
                <w:color w:val="auto"/>
              </w:rPr>
            </w:pPr>
          </w:p>
        </w:tc>
        <w:tc>
          <w:tcPr>
            <w:tcW w:w="7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Transactions, and Director Independence</w:t>
              </w:r>
            </w:hyperlink>
          </w:p>
        </w:tc>
        <w:tc>
          <w:tcPr>
            <w:tcW w:w="184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14.</w:t>
            </w:r>
          </w:p>
        </w:tc>
        <w:tc>
          <w:tcPr>
            <w:tcW w:w="460" w:type="dxa"/>
            <w:vAlign w:val="bottom"/>
            <w:gridSpan w:val="3"/>
          </w:tcPr>
          <w:p>
            <w:pPr>
              <w:spacing w:after="0"/>
              <w:rPr>
                <w:sz w:val="17"/>
                <w:szCs w:val="17"/>
                <w:color w:val="auto"/>
              </w:rPr>
            </w:pPr>
          </w:p>
        </w:tc>
        <w:tc>
          <w:tcPr>
            <w:tcW w:w="2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Principal Accountant Fees and Services</w:t>
              </w:r>
            </w:hyperlink>
          </w:p>
        </w:tc>
        <w:tc>
          <w:tcPr>
            <w:tcW w:w="2580" w:type="dxa"/>
            <w:vAlign w:val="bottom"/>
            <w:tcBorders>
              <w:top w:val="single" w:sz="8" w:color="0000EE"/>
            </w:tcBorders>
            <w:gridSpan w:val="3"/>
          </w:tcPr>
          <w:p>
            <w:pPr>
              <w:spacing w:after="0"/>
              <w:rPr>
                <w:sz w:val="17"/>
                <w:szCs w:val="17"/>
                <w:color w:val="auto"/>
              </w:rPr>
            </w:pPr>
          </w:p>
        </w:tc>
        <w:tc>
          <w:tcPr>
            <w:tcW w:w="3680" w:type="dxa"/>
            <w:vAlign w:val="bottom"/>
            <w:gridSpan w:val="2"/>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PART IV</w:t>
            </w:r>
          </w:p>
        </w:tc>
        <w:tc>
          <w:tcPr>
            <w:tcW w:w="44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15.</w:t>
            </w:r>
          </w:p>
        </w:tc>
        <w:tc>
          <w:tcPr>
            <w:tcW w:w="460" w:type="dxa"/>
            <w:vAlign w:val="bottom"/>
            <w:gridSpan w:val="3"/>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Exhibits, Financial Statement Schedules</w:t>
              </w:r>
            </w:hyperlink>
          </w:p>
        </w:tc>
        <w:tc>
          <w:tcPr>
            <w:tcW w:w="6220" w:type="dxa"/>
            <w:vAlign w:val="bottom"/>
            <w:gridSpan w:val="4"/>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9100" w:type="dxa"/>
            <w:vAlign w:val="bottom"/>
            <w:gridSpan w:val="7"/>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44"/>
        </w:trPr>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20" w:type="dxa"/>
            <w:vAlign w:val="bottom"/>
            <w:gridSpan w:val="5"/>
          </w:tcPr>
          <w:p>
            <w:pPr>
              <w:jc w:val="right"/>
              <w:ind w:right="840"/>
              <w:spacing w:after="0"/>
              <w:rPr>
                <w:sz w:val="20"/>
                <w:szCs w:val="20"/>
                <w:color w:val="auto"/>
              </w:rPr>
            </w:pPr>
            <w:r>
              <w:rPr>
                <w:rFonts w:ascii="Arial" w:cs="Arial" w:eastAsia="Arial" w:hAnsi="Arial"/>
                <w:sz w:val="18"/>
                <w:szCs w:val="18"/>
                <w:color w:val="auto"/>
              </w:rPr>
              <w:t>1</w:t>
            </w: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2018, current committee membership, and the year in which each became a director of our Company:</w:t>
      </w:r>
    </w:p>
    <w:tbl>
      <w:tblPr>
        <w:tblLayout w:type="fixed"/>
        <w:tblInd w:w="0" w:type="dxa"/>
        <w:tblCellMar>
          <w:top w:w="0" w:type="dxa"/>
          <w:left w:w="0" w:type="dxa"/>
          <w:bottom w:w="0" w:type="dxa"/>
          <w:right w:w="0" w:type="dxa"/>
        </w:tblCellMar>
      </w:tblPr>
      <w:tr>
        <w:trPr>
          <w:trHeight w:val="150"/>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Nominating and</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Cybersecurity</w:t>
            </w:r>
          </w:p>
        </w:tc>
        <w:tc>
          <w:tcPr>
            <w:tcW w:w="1080" w:type="dxa"/>
            <w:vAlign w:val="bottom"/>
          </w:tcPr>
          <w:p>
            <w:pPr>
              <w:spacing w:after="0"/>
              <w:rPr>
                <w:sz w:val="13"/>
                <w:szCs w:val="13"/>
                <w:color w:val="auto"/>
              </w:rPr>
            </w:pPr>
          </w:p>
        </w:tc>
      </w:tr>
      <w:tr>
        <w:trPr>
          <w:trHeight w:val="149"/>
        </w:trPr>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Director</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Corporate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Marketing</w:t>
            </w:r>
          </w:p>
        </w:tc>
      </w:t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Since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Audit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Compensation</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Governance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Data Privacy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 xml:space="preserve">Strategy </w:t>
            </w:r>
            <w:r>
              <w:rPr>
                <w:rFonts w:ascii="Arial" w:cs="Arial" w:eastAsia="Arial" w:hAnsi="Arial"/>
                <w:sz w:val="11"/>
                <w:szCs w:val="11"/>
                <w:b w:val="1"/>
                <w:bCs w:val="1"/>
                <w:color w:val="auto"/>
                <w:w w:val="89"/>
              </w:rPr>
              <w:t>(1)</w:t>
            </w:r>
          </w:p>
        </w:tc>
      </w:tr>
      <w:tr>
        <w:trPr>
          <w:trHeight w:val="209"/>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Seymour Holtzman, Executive Chairman of the Board</w:t>
            </w: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Director</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w w:val="99"/>
              </w:rPr>
              <w:t>David A. Levin, President and Chief Executive Officer</w:t>
            </w:r>
          </w:p>
        </w:tc>
        <w:tc>
          <w:tcPr>
            <w:tcW w:w="560" w:type="dxa"/>
            <w:vAlign w:val="bottom"/>
          </w:tcPr>
          <w:p>
            <w:pPr>
              <w:ind w:left="1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E. Kyees, Lead Independent Director</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2010</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X</w:t>
            </w:r>
          </w:p>
        </w:tc>
        <w:tc>
          <w:tcPr>
            <w:tcW w:w="1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1"/>
              </w:rPr>
              <w:t>C</w:t>
            </w:r>
          </w:p>
        </w:tc>
        <w:tc>
          <w:tcPr>
            <w:tcW w:w="1080" w:type="dxa"/>
            <w:vAlign w:val="bottom"/>
            <w:shd w:val="clear" w:color="auto" w:fill="CFF0FC"/>
          </w:tcPr>
          <w:p>
            <w:pPr>
              <w:spacing w:after="0"/>
              <w:rPr>
                <w:sz w:val="19"/>
                <w:szCs w:val="19"/>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Jack Boyle, Director</w:t>
            </w:r>
          </w:p>
        </w:tc>
        <w:tc>
          <w:tcPr>
            <w:tcW w:w="560" w:type="dxa"/>
            <w:vAlign w:val="bottom"/>
          </w:tcPr>
          <w:p>
            <w:pPr>
              <w:ind w:left="1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 Director</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X</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C</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560" w:type="dxa"/>
            <w:vAlign w:val="bottom"/>
          </w:tcPr>
          <w:p>
            <w:pPr>
              <w:ind w:left="1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60" w:type="dxa"/>
            <w:vAlign w:val="bottom"/>
          </w:tcPr>
          <w:p>
            <w:pPr>
              <w:spacing w:after="0"/>
              <w:rPr>
                <w:sz w:val="19"/>
                <w:szCs w:val="19"/>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 Director</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2007</w:t>
            </w: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1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C</w:t>
            </w:r>
          </w:p>
        </w:tc>
        <w:tc>
          <w:tcPr>
            <w:tcW w:w="1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Ivy Ross, Director</w:t>
            </w:r>
          </w:p>
        </w:tc>
        <w:tc>
          <w:tcPr>
            <w:tcW w:w="560" w:type="dxa"/>
            <w:vAlign w:val="bottom"/>
          </w:tcPr>
          <w:p>
            <w:pPr>
              <w:ind w:left="1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Oliver Walsh, Director</w:t>
            </w:r>
          </w:p>
        </w:tc>
        <w:tc>
          <w:tcPr>
            <w:tcW w:w="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Marketing Strategy Committee was formed by the Board of Directors on August 3, 2017.</w:t>
      </w:r>
    </w:p>
    <w:p>
      <w:pPr>
        <w:spacing w:after="0" w:line="200" w:lineRule="exact"/>
        <w:rPr>
          <w:sz w:val="20"/>
          <w:szCs w:val="20"/>
          <w:color w:val="auto"/>
        </w:rPr>
      </w:pPr>
    </w:p>
    <w:p>
      <w:pPr>
        <w:spacing w:after="0" w:line="28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Seymour Holtzman </w:t>
      </w:r>
      <w:r>
        <w:rPr>
          <w:rFonts w:ascii="Arial" w:cs="Arial" w:eastAsia="Arial" w:hAnsi="Arial"/>
          <w:sz w:val="17"/>
          <w:szCs w:val="17"/>
          <w:color w:val="auto"/>
        </w:rPr>
        <w:t>has served as our Executive Chairman of the Board since August 2014. From April 2000 to August 2014, Mr. Holtzman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an indirect owner of C.D. Peacock, Inc., a Chicago, Illinois retail jewelry establishment, and is the managing member of Luxury Swiss, LLC, a retail Rolex watch establishment. Mr. Holtzman was formerly an officer of Homeclick LLC, which is currently the subject of an assignment for the benefit of creditors insolvency proceeding. Mr. Holtzman is a successful entrepreneur with extensive experience working with public companies and provides valuable insight to the Board with respect to strategic planning.</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David A. Levin </w:t>
      </w:r>
      <w:r>
        <w:rPr>
          <w:rFonts w:ascii="Arial" w:cs="Arial" w:eastAsia="Arial" w:hAnsi="Arial"/>
          <w:sz w:val="17"/>
          <w:szCs w:val="17"/>
          <w:color w:val="auto"/>
        </w:rPr>
        <w:t>has been our President and Chief Executive Officer and a director since April 2000. From 1999 to 2000, he served as the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In May 2017, Mr. Levin joined the board of directors of Lumber Liquidators, a publicly-traded company. Mr. Levin previously served on the board of directors of Christopher &amp; Banks Corporation, a publicly-traded company. Mr. Levin has extensive knowledge of our Company and valuable experience in merchandising and marketing initiatives. In his role as Chief Executive Officer he also acts as a liaison between the Board and management.</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Jack Boyle </w:t>
      </w:r>
      <w:r>
        <w:rPr>
          <w:rFonts w:ascii="Arial" w:cs="Arial" w:eastAsia="Arial" w:hAnsi="Arial"/>
          <w:sz w:val="17"/>
          <w:szCs w:val="17"/>
          <w:color w:val="auto"/>
        </w:rPr>
        <w:t>has been a director since August 2017. Since December 2017, Mr. Boyle has been the co-president of North America direct to consumer/omni</w:t>
      </w:r>
      <w:r>
        <w:rPr>
          <w:rFonts w:ascii="Arial" w:cs="Arial" w:eastAsia="Arial" w:hAnsi="Arial"/>
          <w:sz w:val="17"/>
          <w:szCs w:val="17"/>
          <w:i w:val="1"/>
          <w:iCs w:val="1"/>
          <w:color w:val="auto"/>
        </w:rPr>
        <w:t xml:space="preserve"> </w:t>
      </w:r>
      <w:r>
        <w:rPr>
          <w:rFonts w:ascii="Arial" w:cs="Arial" w:eastAsia="Arial" w:hAnsi="Arial"/>
          <w:sz w:val="17"/>
          <w:szCs w:val="17"/>
          <w:color w:val="auto"/>
        </w:rPr>
        <w:t>channel for Fanatics, Inc., a market leader for officially licensed sports merchandise, and originally joined the company as president of merchandising in June 2012. Prior to Fanatics, Inc.,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right="20"/>
        <w:spacing w:after="0" w:line="253" w:lineRule="auto"/>
        <w:rPr>
          <w:sz w:val="20"/>
          <w:szCs w:val="20"/>
          <w:color w:val="auto"/>
        </w:rPr>
      </w:pPr>
      <w:r>
        <w:rPr>
          <w:rFonts w:ascii="Arial" w:cs="Arial" w:eastAsia="Arial" w:hAnsi="Arial"/>
          <w:sz w:val="18"/>
          <w:szCs w:val="18"/>
          <w:i w:val="1"/>
          <w:iCs w:val="1"/>
          <w:color w:val="auto"/>
        </w:rPr>
        <w:t xml:space="preserve">John E. Kyees </w:t>
      </w:r>
      <w:r>
        <w:rPr>
          <w:rFonts w:ascii="Arial" w:cs="Arial" w:eastAsia="Arial" w:hAnsi="Arial"/>
          <w:sz w:val="18"/>
          <w:szCs w:val="18"/>
          <w:color w:val="auto"/>
        </w:rPr>
        <w:t>has been a director since May 2010 and has been the Company’s Lead Independent Director since February 2017. From February 2014 until</w:t>
      </w:r>
      <w:r>
        <w:rPr>
          <w:rFonts w:ascii="Arial" w:cs="Arial" w:eastAsia="Arial" w:hAnsi="Arial"/>
          <w:sz w:val="18"/>
          <w:szCs w:val="18"/>
          <w:i w:val="1"/>
          <w:iCs w:val="1"/>
          <w:color w:val="auto"/>
        </w:rPr>
        <w:t xml:space="preserve"> </w:t>
      </w:r>
      <w:r>
        <w:rPr>
          <w:rFonts w:ascii="Arial" w:cs="Arial" w:eastAsia="Arial" w:hAnsi="Arial"/>
          <w:sz w:val="18"/>
          <w:szCs w:val="18"/>
          <w:color w:val="auto"/>
        </w:rPr>
        <w:t>May 2014, Mr. Kyees served as Interim Chief Financial Officer of the Company. In 2010, Mr. Kyees retired as the chief investor relations officer from Urban Outfitters, Inc., a retail chain, after serving as chief financial officer from 2003 to 2010. Mr. Kyees serves as lead independent director and chairman of the audit committee of Vera Bradley, Inc., a publicly-traded company. Mr. Kyees is also a director and chairman of the audit committee of Arhaus Furniture, a privately-held retailer. Mr. Kyees previously served as director and a member of the audit committee of Hot Topic, Inc., a formerly publicly-traded company. Mr. Kyees previously served as a director and member of the audit committee of Teavana, a publicly-traded company. Mr. Kyees previously served as a director and member of the audit committee of Rackwise, Inc.,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Willem Mesdag </w:t>
      </w:r>
      <w:r>
        <w:rPr>
          <w:rFonts w:ascii="Arial" w:cs="Arial" w:eastAsia="Arial" w:hAnsi="Arial"/>
          <w:sz w:val="17"/>
          <w:szCs w:val="17"/>
          <w:color w:val="auto"/>
        </w:rPr>
        <w:t>has been a director since January 2014. Since January 2005, Mr. Mesdag has been the managing partner of Red Mountain Capital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currently serves on the board of Heidrick &amp; Struggles International, Inc., a publicly-traded company, and serves on the human resources and compensation committee and is chairman of the audit and finance Committee. Mr. Mesdag has been nominated for election to the board of directors of Yuma Energy, Inc., a publicly traded company, at its annual meeting of stockholders to be held on June 7, 2018. He previously served on the boards of 3i Group plc, Cost Plus, Inc., Encore Capital Group, Inc., Nature’s Sunshine Products, Inc. and Skandia Group AB, all of which are publicly-traded companies. Having had an extensive career in international investment banking and finance, Mr. Mesdag brings to the Board significant knowledge and experience related to business and financial issues and corporate governance</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2006. Mr. Mooney was a co-founder of Crystal Financial LLC, formerly Crystal Capital, and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CEO from April 2010 until his retirement in December 2017. From April 2006 to April 2010, Mr. Mooney was the Senior Managing Partner of Crystal Capital. Prior to April 2006, Mr. Mooney was the president of Bank of America Retail Finance Group and managing partner of Back Bay Capital, which Mr. Mooney co-founded and both of which were formerly Bank of Boston businesses. Mr. Mooney provides the Board with valuable insight with respect to his extensive experience as a lender in the retail industry. The Board has determined that Mr. Mooney’s extensive knowledge and experience in finance qualifies him as an audit committee financial expert.</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2007. Since July 2014, Mr. Presser has been a partner and the head of U.S. M&amp;A at Freshfields Bruckhaus</w:t>
      </w:r>
      <w:r>
        <w:rPr>
          <w:rFonts w:ascii="Arial" w:cs="Arial" w:eastAsia="Arial" w:hAnsi="Arial"/>
          <w:sz w:val="16"/>
          <w:szCs w:val="16"/>
          <w:i w:val="1"/>
          <w:iCs w:val="1"/>
          <w:color w:val="auto"/>
        </w:rPr>
        <w:t xml:space="preserve"> </w:t>
      </w:r>
      <w:r>
        <w:rPr>
          <w:rFonts w:ascii="Arial" w:cs="Arial" w:eastAsia="Arial" w:hAnsi="Arial"/>
          <w:sz w:val="16"/>
          <w:szCs w:val="16"/>
          <w:color w:val="auto"/>
        </w:rPr>
        <w:t>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design for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i w:val="1"/>
          <w:iCs w:val="1"/>
          <w:color w:val="auto"/>
        </w:rPr>
        <w:t xml:space="preserve">Oliver Walsh </w:t>
      </w:r>
      <w:r>
        <w:rPr>
          <w:rFonts w:ascii="Arial" w:cs="Arial" w:eastAsia="Arial" w:hAnsi="Arial"/>
          <w:sz w:val="16"/>
          <w:szCs w:val="16"/>
          <w:color w:val="auto"/>
        </w:rPr>
        <w:t>has been a director since August 2017. Mr. Walsh also served as the Company’s Interim Chief Marketing Officer from August 2017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2017. Since September 2017, Mr. Walsh has been the founding partner at Bamboo, a consumer brand incubator specializing in the creation and acceleration of direct-to-consumer businesses. From June 2013 to April 2017, Mr. Walsh was the chief marketing officer of Aritzia, a design house and fashion retailer of exclusive brands, and from May 2012 to September 2013, served as a member of the Board of Directors of Aritzia. Prior to that, from April 2009 to June 2013, Mr. Walsh was the co-founder and chief executive officer for Wednesday, an integrated creative agency. From September 2008 to September 2010, Mr. Walsh was the development director for Saturday Group, a marketing group that invests in and manages firms in the fields of fashion and entertainment marketing. Mr. Walsh brings significant marketing and e-Commerce expertise, brand development and digital experience to the Board.</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46, has been our Executive Vice President, Chief Financial Officer and Treasurer since November 2017. Prior to that,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Francis Chane, </w:t>
      </w:r>
      <w:r>
        <w:rPr>
          <w:rFonts w:ascii="Arial" w:cs="Arial" w:eastAsia="Arial" w:hAnsi="Arial"/>
          <w:sz w:val="18"/>
          <w:szCs w:val="18"/>
          <w:color w:val="auto"/>
        </w:rPr>
        <w:t>55, has been our Senior Vice President of Supply Chain and Customer Fulfillment since June 2011. Mr. Chane joined the Company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2008 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35, has been our Vice President of Finance and Managing Director, Corporate Controller and Chief Accounting Officer since May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was 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Jim Davey, 53</w:t>
      </w:r>
      <w:r>
        <w:rPr>
          <w:rFonts w:ascii="Arial" w:cs="Arial" w:eastAsia="Arial" w:hAnsi="Arial"/>
          <w:sz w:val="17"/>
          <w:szCs w:val="17"/>
          <w:color w:val="auto"/>
        </w:rPr>
        <w:t>, joined the Company in March 2018 as our Executive Vice President and Chief Marketing Officer. Prior to joining the Company, Mr. Davey</w:t>
      </w:r>
      <w:r>
        <w:rPr>
          <w:rFonts w:ascii="Arial" w:cs="Arial" w:eastAsia="Arial" w:hAnsi="Arial"/>
          <w:sz w:val="17"/>
          <w:szCs w:val="17"/>
          <w:i w:val="1"/>
          <w:iCs w:val="1"/>
          <w:color w:val="auto"/>
        </w:rPr>
        <w:t xml:space="preserve"> </w:t>
      </w:r>
      <w:r>
        <w:rPr>
          <w:rFonts w:ascii="Arial" w:cs="Arial" w:eastAsia="Arial" w:hAnsi="Arial"/>
          <w:sz w:val="17"/>
          <w:szCs w:val="17"/>
          <w:color w:val="auto"/>
        </w:rPr>
        <w:t>was vice-president of global marketing for Timberland, a VF corporation brand. From August 2009 to March 2012, Jim oversaw global brand marketing, communications, digital marketing, and creative services for Timberland’s footwear and apparel businesses and from March 2012 to March 2018, was additionally responsible for all Timberland’s North American wholesale, retail, and e-com marketing. Prior to joining Timberland, Mr. Davey was senior vice-president of marketing and retail development for Nickelodeon &amp; Viacom Consumer Products and served as their vice-president of hard lines from 2001 to 2009. Prior to 2001, he held senior marketing positions with Polaroid and LEGO Systems, Inc. Mr. Davey has over 25 years of experience building lifestyle brands in categories from toys to entertainment to footwear and apparel</w:t>
      </w:r>
      <w:r>
        <w:rPr>
          <w:rFonts w:ascii="Arial" w:cs="Arial" w:eastAsia="Arial" w:hAnsi="Arial"/>
          <w:sz w:val="15"/>
          <w:szCs w:val="15"/>
          <w:color w:val="auto"/>
        </w:rPr>
        <w:t>.</w:t>
      </w:r>
    </w:p>
    <w:p>
      <w:pPr>
        <w:spacing w:after="0" w:line="13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Anthony J. Gaeta, </w:t>
      </w:r>
      <w:r>
        <w:rPr>
          <w:rFonts w:ascii="Arial" w:cs="Arial" w:eastAsia="Arial" w:hAnsi="Arial"/>
          <w:sz w:val="16"/>
          <w:szCs w:val="16"/>
          <w:color w:val="auto"/>
        </w:rPr>
        <w:t>48, has been our Senior Vice President of Store Sales and Operations since November 2017. Mr. Gaeta joined the Company in April 2010</w:t>
      </w:r>
      <w:r>
        <w:rPr>
          <w:rFonts w:ascii="Arial" w:cs="Arial" w:eastAsia="Arial" w:hAnsi="Arial"/>
          <w:sz w:val="16"/>
          <w:szCs w:val="16"/>
          <w:i w:val="1"/>
          <w:iCs w:val="1"/>
          <w:color w:val="auto"/>
        </w:rPr>
        <w:t xml:space="preserve"> </w:t>
      </w:r>
      <w:r>
        <w:rPr>
          <w:rFonts w:ascii="Arial" w:cs="Arial" w:eastAsia="Arial" w:hAnsi="Arial"/>
          <w:sz w:val="16"/>
          <w:szCs w:val="16"/>
          <w:color w:val="auto"/>
        </w:rPr>
        <w:t>as a 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4"/>
          <w:szCs w:val="14"/>
          <w:color w:val="auto"/>
        </w:rPr>
        <w:t>.</w:t>
      </w:r>
      <w:r>
        <w:rPr>
          <w:rFonts w:ascii="Arial" w:cs="Arial" w:eastAsia="Arial" w:hAnsi="Arial"/>
          <w:sz w:val="16"/>
          <w:szCs w:val="16"/>
          <w:color w:val="auto"/>
        </w:rPr>
        <w:t xml:space="preserve"> Mr. Gaeta has over 25 years of retail sales management experience.</w:t>
      </w:r>
    </w:p>
    <w:p>
      <w:pPr>
        <w:spacing w:after="0" w:line="11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Mary S. Luttrell</w:t>
      </w:r>
      <w:r>
        <w:rPr>
          <w:rFonts w:ascii="Arial" w:cs="Arial" w:eastAsia="Arial" w:hAnsi="Arial"/>
          <w:sz w:val="18"/>
          <w:szCs w:val="18"/>
          <w:color w:val="auto"/>
        </w:rPr>
        <w:t>, 56, has been our Senior Vice President of Marketing since January 2017. From November 2012 until January 2017, Ms. Luttrell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Brand and Marketing. From April 2006 until November 2012, Ms. Luttrell was our Vice President of Advertising. Ms. Luttrell originally joined the Company in October 2000 and held prior positions of Senior Marketing Manager (October 2000 until February 2001) and Advertising Director (February 2001 until April 2006). Prior to joining the Company in October 2000, Ms. Luttrell was the manager of media advertising at Hills department stores and worked on the advertising agency side managing many retail accounts.</w:t>
      </w:r>
    </w:p>
    <w:p>
      <w:pPr>
        <w:spacing w:after="0" w:line="16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58, has been our Senior Vice President, Chief Administrative Officer, General Counsel and Secretary since May 2018, having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Company’s Senior Vice President, General Counsel since April 2010 and Secretary of the Company since May 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Brian S. Reaves, </w:t>
      </w:r>
      <w:r>
        <w:rPr>
          <w:rFonts w:ascii="Arial" w:cs="Arial" w:eastAsia="Arial" w:hAnsi="Arial"/>
          <w:sz w:val="17"/>
          <w:szCs w:val="17"/>
          <w:color w:val="auto"/>
        </w:rPr>
        <w:t>57, has been our Executive Vice President and Chief Customer Officer since November 2017. Prior to that, Mr. Reaves served as our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Chief Sales Officer since November 2014. From May 2010 until November 2014, Mr. Reaves 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Walter E. Sprague</w:t>
      </w:r>
      <w:r>
        <w:rPr>
          <w:rFonts w:ascii="Arial" w:cs="Arial" w:eastAsia="Arial" w:hAnsi="Arial"/>
          <w:sz w:val="18"/>
          <w:szCs w:val="18"/>
          <w:color w:val="auto"/>
        </w:rPr>
        <w:t>, 69, has been our Senior Vice President of Human Resources since May 2006. From August 2003 through April 2006, Mr. Sprague was</w:t>
      </w:r>
      <w:r>
        <w:rPr>
          <w:rFonts w:ascii="Arial" w:cs="Arial" w:eastAsia="Arial" w:hAnsi="Arial"/>
          <w:sz w:val="18"/>
          <w:szCs w:val="18"/>
          <w:i w:val="1"/>
          <w:iCs w:val="1"/>
          <w:color w:val="auto"/>
        </w:rPr>
        <w:t xml:space="preserve"> </w:t>
      </w:r>
      <w:r>
        <w:rPr>
          <w:rFonts w:ascii="Arial" w:cs="Arial" w:eastAsia="Arial" w:hAnsi="Arial"/>
          <w:sz w:val="18"/>
          <w:szCs w:val="18"/>
          <w:color w:val="auto"/>
        </w:rPr>
        <w:t>our 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i w:val="1"/>
          <w:iCs w:val="1"/>
          <w:color w:val="auto"/>
        </w:rPr>
        <w:t>Allison Surette</w:t>
      </w:r>
      <w:r>
        <w:rPr>
          <w:rFonts w:ascii="Arial" w:cs="Arial" w:eastAsia="Arial" w:hAnsi="Arial"/>
          <w:sz w:val="18"/>
          <w:szCs w:val="18"/>
          <w:color w:val="auto"/>
        </w:rPr>
        <w:t>, 37, has been our Senior Vice President General Merchandise Manager since May 2018. Prior to that, Ms. Surette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2017, we believe that the Reporting Persons complied with all applicable Section 16(a) reporting requirements and that all required reports were filed in a timely manner, except for one Form 4 reporting the acquisition of restricted stock units of the Company, which was filed late for Mr. Gaeta.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the our corporate web site, which is at </w:t>
      </w:r>
      <w:r>
        <w:rPr>
          <w:rFonts w:ascii="Arial" w:cs="Arial" w:eastAsia="Arial" w:hAnsi="Arial"/>
          <w:sz w:val="17"/>
          <w:szCs w:val="17"/>
          <w:i w:val="1"/>
          <w:iCs w:val="1"/>
          <w:color w:val="auto"/>
        </w:rPr>
        <w:t xml:space="preserve">http://investor.destinationxl.com. </w:t>
      </w:r>
      <w:r>
        <w:rPr>
          <w:rFonts w:ascii="Arial" w:cs="Arial" w:eastAsia="Arial" w:hAnsi="Arial"/>
          <w:sz w:val="17"/>
          <w:szCs w:val="17"/>
          <w:color w:val="auto"/>
        </w:rPr>
        <w:t>We intend to satisfy the disclosure requirement under Item 5.05 of Form 8-K regarding any amendment to, or waiver from, a</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our Code of Ethics by posting such information on our website. We also have a Code of Ethics for all of our associates. Annually, our directors and associates, including our officers, are asked to certify that they have read and are in compliance with our Code of Ethics.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Kyees, Mesdag and Mooney. Each of the members of the Audit Committee is independent, as independence for Audit Committee members is defined under the rules of Nasdaq.</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 Charters &amp; Policies” on the Investor Relations page of our website at </w:t>
      </w:r>
      <w:r>
        <w:rPr>
          <w:rFonts w:ascii="Arial" w:cs="Arial" w:eastAsia="Arial" w:hAnsi="Arial"/>
          <w:sz w:val="18"/>
          <w:szCs w:val="18"/>
          <w:i w:val="1"/>
          <w:iCs w:val="1"/>
          <w:u w:val="single" w:color="auto"/>
          <w:color w:val="auto"/>
        </w:rPr>
        <w:t>http://investor.destinationxl.com</w:t>
      </w:r>
      <w:r>
        <w:rPr>
          <w:rFonts w:ascii="Arial" w:cs="Arial" w:eastAsia="Arial" w:hAnsi="Arial"/>
          <w:sz w:val="18"/>
          <w:szCs w:val="18"/>
          <w:i w:val="1"/>
          <w:iCs w:val="1"/>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other executive officers for fiscal 2017 (collectively, our “Named Executive Officers”). While not mandated by SEC rules, we have voluntarily chosen to disclose the compensation of Mr. Reaves because two of our three most highly compensated executive officers in fiscal 2017 left the Company in May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2017 were:</w:t>
      </w:r>
    </w:p>
    <w:p>
      <w:pPr>
        <w:spacing w:after="0" w:line="225" w:lineRule="exact"/>
        <w:rPr>
          <w:sz w:val="20"/>
          <w:szCs w:val="20"/>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David A. Levin, President and CEO</w:t>
      </w:r>
    </w:p>
    <w:p>
      <w:pPr>
        <w:spacing w:after="0" w:line="25"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Chief Financial Officer and Treasurer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Brian S. Reaves, Executive Vice President and Chief Customer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Robert S. Molloy, Senior Vice President, Chief Administrative Officer, General Counsel and Secretary</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Kenneth M. Ederle, Former Senior Vice President and Chief Merchandising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Sahal S. Laher, Former Senior Vice President, Chief Digital and Information Officer</w:t>
      </w:r>
    </w:p>
    <w:p>
      <w:pPr>
        <w:spacing w:after="0" w:line="25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March 23, 2018, we announced Mr. Levin’s plan to retire as President, CEO and director of the Company by the end of 2018. In connection with this announcement, we entered into a Transition Agreement with Mr. Levin, which modifies and supplements certain terms of Mr. Levin’s existing employment agreement. See “</w:t>
      </w:r>
      <w:r>
        <w:rPr>
          <w:rFonts w:ascii="Arial" w:cs="Arial" w:eastAsia="Arial" w:hAnsi="Arial"/>
          <w:sz w:val="16"/>
          <w:szCs w:val="16"/>
          <w:i w:val="1"/>
          <w:iCs w:val="1"/>
          <w:color w:val="auto"/>
        </w:rPr>
        <w:t>Employment Agreements-Chief Executive Officer</w:t>
      </w:r>
      <w:r>
        <w:rPr>
          <w:rFonts w:ascii="Arial" w:cs="Arial" w:eastAsia="Arial" w:hAnsi="Arial"/>
          <w:sz w:val="16"/>
          <w:szCs w:val="16"/>
          <w:color w:val="auto"/>
        </w:rPr>
        <w:t>” below for a detailed discussion of the transition and its associated costs.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May 16, 2018, we committed to a corporate restructuring plan (“Restructuring”) to better align the Company’s expense structure with its revenues. The Restructuring eliminated approximately 56 corporate positions, which represented 15% of the Company’s corporate workforce, or 2% of its total workforce. Approximately 36 corporate employees were notified of their terminations on May 16, 2018, including Messrs. Ederle and Laher, and 20 open corporate positions will not be filled.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2017 Financial Highlights</w:t>
      </w:r>
    </w:p>
    <w:p>
      <w:pPr>
        <w:spacing w:after="0" w:line="11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The Company’s key objective for fiscal 2017 was to grow revenue through new marketing initiatives to build brand awareness, increase store traffic, acquire new customers and grow our e-commerce business. We significantly increased our marketing budget in fiscal 2017 in order to drive traffic to our stores and website through enhanced media and digital strategies. While our aided brand awareness increased to 42% by the end of fiscal 2017 from 34% at the end of fiscal 2016, our marketing initiatives did not drive the increase in customer traffic we had anticipated and resulted in comparable sales growth of 0.9%. For fiscal 2017, we increased the number of customers by 3.2% from fiscal 2016.</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fiscal 2017, we had a net loss of $(18.8) million, or $(0.39) per diluted share, compared with a net loss of $(2.3) million, or $(0.05) per diluted share, in fiscal 2016. The decrease of $(0.34) per diluted share was primarily due to an increase of $11.3 million, or $(0.23) per diluted share, in marketing expense and $3.7 million, or $(0.08) per diluted share, of impairment charges. EBITDA excluding impairment charges (“Adjusted EBITDA”), a non-GAAP measure, decreased $14.5 million to $17.1 million, compared to $31.6 million in fiscal 2016, primarily due to the increase in marketing expense and, to a lesser extent, increases in store payroll and other supporting costs associated with a larger DXL store base and e-commerce initiatives. EBITDA in fiscal 2016 benefited from a significantly reduced marketing budget, which had a negative impact on brand awareness, customer traffic and customer acquisition.</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After accounting for the increased marketing expense, inventory management and a reduction in capital expenditures, we generated $8.4 million of free cash flow in fiscal 2017, compared to $5.8 million in fiscal 2016, with which we reduced our total debt by $3.7 million and repurchased $4.7 million of our common stock.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Fiscal 2017 Executive Compensation Highlights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the compensation of our Named Executive Officers should be aligned with the performance of the Company. The Company’s financial performance in fiscal 2017 did not meet expectations and, consequently, total compensation earned by our Named Executive Officers in fiscal 2017 decreased significantly from fiscal 2016. We do believe, however, that our executives have implemented several key initiatives that will be beneficial to revenue growth and profitability in fiscal 2018, including restructuring our corporate cost base, improving our inventory efficiency, driving in-store and e-commerce conversion, growing our direct business and building brand awareness. The following table shows total compensation earned for each Named Executive Officer for fiscal 2017, compared to fiscal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3"/>
              </w:rPr>
              <w:t xml:space="preserve">Fiscal 2017 </w:t>
            </w:r>
            <w:r>
              <w:rPr>
                <w:rFonts w:ascii="Arial" w:cs="Arial" w:eastAsia="Arial" w:hAnsi="Arial"/>
                <w:sz w:val="11"/>
                <w:szCs w:val="11"/>
                <w:b w:val="1"/>
                <w:bCs w:val="1"/>
                <w:color w:val="auto"/>
                <w:w w:val="93"/>
              </w:rPr>
              <w:t>(1)</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8"/>
              </w:rPr>
              <w:t>Fiscal 2016</w:t>
            </w:r>
          </w:p>
        </w:tc>
        <w:tc>
          <w:tcPr>
            <w:tcW w:w="26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1,665,320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2,132,001</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611,119</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629,989</w:t>
            </w:r>
          </w:p>
        </w:tc>
        <w:tc>
          <w:tcPr>
            <w:tcW w:w="2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518,574</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613,118</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573,061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698,522</w:t>
            </w:r>
          </w:p>
        </w:tc>
        <w:tc>
          <w:tcPr>
            <w:tcW w:w="2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30"/>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640,025</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767,168</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w:t>
            </w: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Sahal S. Laher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898,903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760" w:right="20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Stratton received a salary increase in May 2017 to bring him in line with external peers and, in November 2017, Messrs. Stratton and Reaves each received a salary adjustment in connection with their respective promotions to Executive Vice President.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Realized Pay of CEO</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following chart shows the Company’s Adjusted EBITDA over the past five years in relation to Mr. Levin’s compensation on both a Total Direct Compensation (“TDC”) basis, as reported in the Summary Compensation Table, and also on a Realized Pay basis. Realized Pay reflects base salary, cash-based Annual Incentive Compensation paid and cash-based Long-Term Incentive earned, plus the value realized upon vesting of any Restricted Shares and Options exercised. We believe that Mr. Levin’s TDC and Realized Pay correlate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392430</wp:posOffset>
            </wp:positionV>
            <wp:extent cx="4330700" cy="2289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3070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80" w:right="26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objectives goals through a combination of cash and stock-based compensation;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reviewing compensation, the Compensation Committee emphasizes total direct compensation. Total direct compensation consists of total cash compensation (base salary and annual performance-based cash incentive awards) plus long-term incentive awards, which are primarily stock-based. Every year, we assess the effectiveness of our compensation plans and are continually working to strengthen our overall compensation program by adjusting performance metrics to better align compensation with performance that drives stockholder value. We also compare our performance metrics to those used by our peers, and take into consideration the recommendations of proxy advisory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the Named Executive Officers with the interests of our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ind w:left="2420"/>
              <w:spacing w:after="0"/>
              <w:rPr>
                <w:sz w:val="20"/>
                <w:szCs w:val="20"/>
                <w:color w:val="auto"/>
              </w:rPr>
            </w:pPr>
            <w:r>
              <w:rPr>
                <w:rFonts w:ascii="Arial" w:cs="Arial" w:eastAsia="Arial" w:hAnsi="Arial"/>
                <w:sz w:val="18"/>
                <w:szCs w:val="18"/>
                <w:i w:val="1"/>
                <w:iCs w:val="1"/>
                <w:color w:val="auto"/>
              </w:rPr>
              <w:t>What We Do</w:t>
            </w:r>
          </w:p>
        </w:tc>
        <w:tc>
          <w:tcPr>
            <w:tcW w:w="304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4"/>
        </w:trPr>
        <w:tc>
          <w:tcPr>
            <w:tcW w:w="486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560" w:type="dxa"/>
            <w:vAlign w:val="bottom"/>
            <w:gridSpan w:val="3"/>
            <w:shd w:val="clear" w:color="auto" w:fill="CFF0FC"/>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86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560" w:type="dxa"/>
            <w:vAlign w:val="bottom"/>
            <w:gridSpan w:val="3"/>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86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560" w:type="dxa"/>
            <w:vAlign w:val="bottom"/>
            <w:gridSpan w:val="3"/>
            <w:shd w:val="clear" w:color="auto" w:fill="CFF0FC"/>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86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Cap all incentive awards at 150% payout</w:t>
            </w:r>
          </w:p>
        </w:tc>
        <w:tc>
          <w:tcPr>
            <w:tcW w:w="6560" w:type="dxa"/>
            <w:vAlign w:val="bottom"/>
            <w:gridSpan w:val="3"/>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“Claw-back” policy</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Provide executives with very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compensation of our Named Executive Officers. The Compensation Committee may accept, reject or modify any recommendations by compensation consultants or other outside advisors.</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Compensation Committee periodically consults with Sibson Consulting (“Sibson”), an independent firm that specializes in benefits and compensation, with respect to the structure and competitiveness of the Company’s executive compensation program compared to its proxy peer group. The Compensation Committee has assessed Sibson’s independence, and has concluded that no conflict of interest exists with respect to the services that it performs. In early fiscal 2018, the Compensation Committee engaged Sibson to evaluate the compensation of our CEO in comparison to the fiscal 2018 proxy peer group.</w:t>
      </w:r>
    </w:p>
    <w:p>
      <w:pPr>
        <w:spacing w:after="0" w:line="15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fiscal 2017, at the request of the Compensation Committee, the Company engaged Korn Ferry Hay Group (“Korn Ferry”), an independent compensation consultant, to review the base salaries and annual incentives for the Company’s senior executives other than its CEO. Korn Ferry compared the compensation of our senior executives to that of 23 retail companies, with whom we believe we compete directly when hiring executive-level talent (“market peers”).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Fiscal 2017 Target Compensation</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Sibson,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compensation (base salary, annual and long-term incentive compensation (“Direct Compensation”)) to published survey data and data from its proxy peer groups. The following table illustrates that Mr. Levin’s target Direct Compensation for fiscal 2017 was at 91% of the 2017 median of the 2018 proxy peer group. Mr. Levin’s actual Direct Compensation in fiscal 2017 was at 61% of the median target compensation of that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266065</wp:posOffset>
            </wp:positionV>
            <wp:extent cx="5008245" cy="303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824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0" w:hanging="13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4"/>
          <w:szCs w:val="14"/>
          <w:i w:val="1"/>
          <w:iCs w:val="1"/>
          <w:color w:val="auto"/>
        </w:rPr>
        <w:t>prepared by Sibson using peer group for fiscal 2018</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Other Named Executive Officers. </w:t>
      </w:r>
      <w:r>
        <w:rPr>
          <w:rFonts w:ascii="Arial" w:cs="Arial" w:eastAsia="Arial" w:hAnsi="Arial"/>
          <w:sz w:val="16"/>
          <w:szCs w:val="16"/>
          <w:color w:val="auto"/>
        </w:rPr>
        <w:t>Our CEO and our Senior Vice President of Human Resources are primarily responsible for determining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paid to our other Named Executive Officers, subject to the review and approval of the Compensation Committee. Our other Named Executive Officers are provided with a competitive base salary and an opportunity to earn performance awards each year, which are driven by our overall financial targets. As part of the Sibson engagement, Sibson reviewed Mr. Levin’s compensation in relation to the compensation paid to our other Named Executive Officers, and concluded that the relationship was within the median of the 2018 proxy peer group. In addition, Korn Ferry reviewed the base salaries and annual incentive compensation plan for the Company’s senior executives other than its CEO, and concluded that the target Direct Compensation of such executives was between the 25</w:t>
      </w:r>
      <w:r>
        <w:rPr>
          <w:rFonts w:ascii="Arial" w:cs="Arial" w:eastAsia="Arial" w:hAnsi="Arial"/>
          <w:sz w:val="13"/>
          <w:szCs w:val="13"/>
          <w:color w:val="auto"/>
        </w:rPr>
        <w:t>th</w:t>
      </w:r>
      <w:r>
        <w:rPr>
          <w:rFonts w:ascii="Arial" w:cs="Arial" w:eastAsia="Arial" w:hAnsi="Arial"/>
          <w:sz w:val="16"/>
          <w:szCs w:val="16"/>
          <w:color w:val="auto"/>
        </w:rPr>
        <w:t xml:space="preserve"> percentile and the median of its market peer group. See “</w:t>
      </w:r>
      <w:r>
        <w:rPr>
          <w:rFonts w:ascii="Arial" w:cs="Arial" w:eastAsia="Arial" w:hAnsi="Arial"/>
          <w:sz w:val="16"/>
          <w:szCs w:val="16"/>
          <w:i w:val="1"/>
          <w:iCs w:val="1"/>
          <w:color w:val="auto"/>
        </w:rPr>
        <w:t>Compensation Components, Fiscal 2017 Compensation Decisions</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2017 peer group are listed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bebe,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6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MarineMax, Inc.</w:t>
            </w:r>
          </w:p>
        </w:tc>
      </w:tr>
      <w:tr>
        <w:trPr>
          <w:trHeight w:val="338"/>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Big 5 Sporting Goods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6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Sportsman’s Warehouse</w:t>
            </w:r>
          </w:p>
        </w:tc>
      </w:tr>
      <w:tr>
        <w:trPr>
          <w:trHeight w:val="338"/>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Blue Nile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60" w:type="dxa"/>
            <w:vAlign w:val="bottom"/>
          </w:tcPr>
          <w:p>
            <w:pPr>
              <w:ind w:left="100"/>
              <w:spacing w:after="0"/>
              <w:rPr>
                <w:sz w:val="20"/>
                <w:szCs w:val="20"/>
                <w:color w:val="auto"/>
              </w:rPr>
            </w:pPr>
            <w:r>
              <w:rPr>
                <w:rFonts w:ascii="Arial" w:cs="Arial" w:eastAsia="Arial" w:hAnsi="Arial"/>
                <w:sz w:val="18"/>
                <w:szCs w:val="18"/>
                <w:color w:val="auto"/>
              </w:rPr>
              <w:t>Citi Trends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Tilly’s Inc.</w:t>
            </w:r>
          </w:p>
        </w:tc>
      </w:tr>
      <w:tr>
        <w:trPr>
          <w:trHeight w:val="338"/>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Boot Barn Holding,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60" w:type="dxa"/>
            <w:vAlign w:val="bottom"/>
          </w:tcPr>
          <w:p>
            <w:pPr>
              <w:ind w:left="100"/>
              <w:spacing w:after="0"/>
              <w:rPr>
                <w:sz w:val="20"/>
                <w:szCs w:val="20"/>
                <w:color w:val="auto"/>
              </w:rPr>
            </w:pPr>
            <w:r>
              <w:rPr>
                <w:rFonts w:ascii="Arial" w:cs="Arial" w:eastAsia="Arial" w:hAnsi="Arial"/>
                <w:sz w:val="18"/>
                <w:szCs w:val="18"/>
                <w:color w:val="auto"/>
              </w:rPr>
              <w:t>Destination Maternity</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Zumiez, Inc.</w:t>
            </w:r>
          </w:p>
        </w:tc>
      </w:tr>
      <w:tr>
        <w:trPr>
          <w:trHeight w:val="338"/>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The Buckle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60" w:type="dxa"/>
            <w:vAlign w:val="bottom"/>
          </w:tcPr>
          <w:p>
            <w:pPr>
              <w:ind w:left="100"/>
              <w:spacing w:after="0"/>
              <w:rPr>
                <w:sz w:val="20"/>
                <w:szCs w:val="20"/>
                <w:color w:val="auto"/>
              </w:rPr>
            </w:pPr>
            <w:r>
              <w:rPr>
                <w:rFonts w:ascii="Arial" w:cs="Arial" w:eastAsia="Arial" w:hAnsi="Arial"/>
                <w:sz w:val="18"/>
                <w:szCs w:val="18"/>
                <w:color w:val="auto"/>
              </w:rPr>
              <w:t>Hibbett Sports</w:t>
            </w:r>
          </w:p>
        </w:tc>
        <w:tc>
          <w:tcPr>
            <w:tcW w:w="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5"/>
        </w:trPr>
        <w:tc>
          <w:tcPr>
            <w:tcW w:w="1100" w:type="dxa"/>
            <w:vAlign w:val="bottom"/>
          </w:tcPr>
          <w:p>
            <w:pPr>
              <w:ind w:left="580"/>
              <w:spacing w:after="0"/>
              <w:rPr>
                <w:sz w:val="20"/>
                <w:szCs w:val="20"/>
                <w:color w:val="auto"/>
              </w:rPr>
            </w:pPr>
            <w:r>
              <w:rPr>
                <w:rFonts w:ascii="Arial" w:cs="Arial" w:eastAsia="Arial" w:hAnsi="Arial"/>
                <w:sz w:val="18"/>
                <w:szCs w:val="18"/>
                <w:color w:val="auto"/>
              </w:rPr>
              <w:t>•</w:t>
            </w:r>
          </w:p>
        </w:tc>
        <w:tc>
          <w:tcPr>
            <w:tcW w:w="2960" w:type="dxa"/>
            <w:vAlign w:val="bottom"/>
          </w:tcPr>
          <w:p>
            <w:pPr>
              <w:ind w:left="440"/>
              <w:spacing w:after="0"/>
              <w:rPr>
                <w:sz w:val="20"/>
                <w:szCs w:val="20"/>
                <w:color w:val="auto"/>
              </w:rPr>
            </w:pPr>
            <w:r>
              <w:rPr>
                <w:rFonts w:ascii="Arial" w:cs="Arial" w:eastAsia="Arial" w:hAnsi="Arial"/>
                <w:sz w:val="18"/>
                <w:szCs w:val="18"/>
                <w:color w:val="auto"/>
              </w:rPr>
              <w:t>Build-A-Bear Workshop, Inc.</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2360" w:type="dxa"/>
            <w:vAlign w:val="bottom"/>
          </w:tcPr>
          <w:p>
            <w:pPr>
              <w:ind w:left="100"/>
              <w:spacing w:after="0"/>
              <w:rPr>
                <w:sz w:val="20"/>
                <w:szCs w:val="20"/>
                <w:color w:val="auto"/>
              </w:rPr>
            </w:pPr>
            <w:r>
              <w:rPr>
                <w:rFonts w:ascii="Arial" w:cs="Arial" w:eastAsia="Arial" w:hAnsi="Arial"/>
                <w:sz w:val="18"/>
                <w:szCs w:val="18"/>
                <w:color w:val="auto"/>
              </w:rPr>
              <w:t>Kirkland’s, Inc.</w:t>
            </w:r>
          </w:p>
        </w:tc>
        <w:tc>
          <w:tcPr>
            <w:tcW w:w="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1"/>
        </w:trPr>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ind w:left="104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31"/>
        </w:trPr>
        <w:tc>
          <w:tcPr>
            <w:tcW w:w="11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For fiscal 2018, we updated our peer group to create a better alignment with our Company’s revenues and/or market capitalization with the median of the peer group. As a result, we removed larger companies, including MarineMax, Inc., Big 5 Sporting Goods, The Buckle and Hibbett Sports. In addition, we removed Blue Nile, which went private, and bebe, inc., which filed for bankruptcy. We added Trans World Entertainment, Movado Group, Tile Shop Holdings, Francesca’s Holding Corp., Vince Holding Corp. and Vera Bradley.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order to develop an appropriate peer group, we consider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our 2017 Annual Meeting, stockholders had an opportunity to cast a non-binding advisory vote on executive compensation as disclosed in the 2017 Proxy Statement. Of the votes cast on the say-on-pay proposal, 94.0% voted in favor of the proposal. The Compensation Committee considered the results of the 2017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believe that the Company’s compensation programs do not provide incentives for unnecessary risk-taking by our employees. Our performance-based annual and long-term incentive awards are also designed to align executives with preserving stockholder value. Based on these considerations, among others, we do not believe that our compensation policies and practices create risks that are likely to have a material adverse effect on our Company.</w:t>
      </w:r>
    </w:p>
    <w:p>
      <w:pPr>
        <w:spacing w:after="0" w:line="3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2017 Compensation Decisions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826135</wp:posOffset>
            </wp:positionH>
            <wp:positionV relativeFrom="page">
              <wp:posOffset>363220</wp:posOffset>
            </wp:positionV>
            <wp:extent cx="5942965" cy="1800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296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9"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Compensation Committee expects the CEO’s base salary to be at or near the peer group median, and to be approximately one-third of his target Direct Compensation. Our CEO and our Senior Vice President of Human Resources determine the base salary of our other Named Executive Officers, subject to the review and approval of the Compensation Committee. In doing so, they rely on published industry compensation surveys and target the peer group median.</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each Named Executive Officer’s base salary for fiscal 2018, compared to fiscal 2017, and based on a 52-week period:</w:t>
      </w:r>
    </w:p>
    <w:p>
      <w:pPr>
        <w:spacing w:after="0" w:line="4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614"/>
              <w:spacing w:after="0"/>
              <w:rPr>
                <w:sz w:val="20"/>
                <w:szCs w:val="20"/>
                <w:color w:val="auto"/>
              </w:rPr>
            </w:pPr>
            <w:r>
              <w:rPr>
                <w:rFonts w:ascii="Arial" w:cs="Arial" w:eastAsia="Arial" w:hAnsi="Arial"/>
                <w:sz w:val="14"/>
                <w:szCs w:val="14"/>
                <w:color w:val="auto"/>
              </w:rPr>
              <w:t>Fiscal 2018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color w:val="auto"/>
              </w:rPr>
              <w:t>Fiscal 2017</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 change</w:t>
            </w: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(1)</w:t>
            </w:r>
          </w:p>
        </w:tc>
        <w:tc>
          <w:tcPr>
            <w:tcW w:w="4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ind w:right="574"/>
              <w:spacing w:after="0"/>
              <w:rPr>
                <w:sz w:val="20"/>
                <w:szCs w:val="20"/>
                <w:color w:val="auto"/>
              </w:rPr>
            </w:pPr>
            <w:r>
              <w:rPr>
                <w:rFonts w:ascii="Arial" w:cs="Arial" w:eastAsia="Arial" w:hAnsi="Arial"/>
                <w:sz w:val="18"/>
                <w:szCs w:val="18"/>
                <w:color w:val="auto"/>
              </w:rPr>
              <w:t>811,200</w:t>
            </w:r>
          </w:p>
        </w:tc>
        <w:tc>
          <w:tcPr>
            <w:tcW w:w="3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414"/>
              <w:spacing w:after="0"/>
              <w:rPr>
                <w:sz w:val="20"/>
                <w:szCs w:val="20"/>
                <w:color w:val="auto"/>
              </w:rPr>
            </w:pPr>
            <w:r>
              <w:rPr>
                <w:rFonts w:ascii="Arial" w:cs="Arial" w:eastAsia="Arial" w:hAnsi="Arial"/>
                <w:sz w:val="18"/>
                <w:szCs w:val="18"/>
                <w:color w:val="auto"/>
              </w:rPr>
              <w:t>811,200</w:t>
            </w:r>
          </w:p>
        </w:tc>
        <w:tc>
          <w:tcPr>
            <w:tcW w:w="4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Peter H. Stratton, Jr. (2)</w:t>
            </w:r>
          </w:p>
        </w:tc>
        <w:tc>
          <w:tcPr>
            <w:tcW w:w="8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395,000</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4"/>
              <w:spacing w:after="0"/>
              <w:rPr>
                <w:sz w:val="20"/>
                <w:szCs w:val="20"/>
                <w:color w:val="auto"/>
              </w:rPr>
            </w:pPr>
            <w:r>
              <w:rPr>
                <w:rFonts w:ascii="Arial" w:cs="Arial" w:eastAsia="Arial" w:hAnsi="Arial"/>
                <w:sz w:val="18"/>
                <w:szCs w:val="18"/>
                <w:color w:val="auto"/>
              </w:rPr>
              <w:t>370,000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 (2)</w:t>
            </w:r>
          </w:p>
        </w:tc>
        <w:tc>
          <w:tcPr>
            <w:tcW w:w="8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rPr>
              <w:t>400,000</w:t>
            </w:r>
          </w:p>
        </w:tc>
        <w:tc>
          <w:tcPr>
            <w:tcW w:w="7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rPr>
              <w:t>300,000</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33.3%</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Robert S. Molloy (3)</w:t>
            </w:r>
          </w:p>
        </w:tc>
        <w:tc>
          <w:tcPr>
            <w:tcW w:w="8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375,000</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4"/>
              <w:spacing w:after="0"/>
              <w:rPr>
                <w:sz w:val="20"/>
                <w:szCs w:val="20"/>
                <w:color w:val="auto"/>
              </w:rPr>
            </w:pPr>
            <w:r>
              <w:rPr>
                <w:rFonts w:ascii="Arial" w:cs="Arial" w:eastAsia="Arial" w:hAnsi="Arial"/>
                <w:sz w:val="18"/>
                <w:szCs w:val="18"/>
                <w:color w:val="auto"/>
              </w:rPr>
              <w:t>345,000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322" w:lineRule="exact"/>
        <w:rPr>
          <w:sz w:val="20"/>
          <w:szCs w:val="20"/>
          <w:color w:val="auto"/>
        </w:rPr>
      </w:pPr>
    </w:p>
    <w:p>
      <w:pPr>
        <w:ind w:left="1160" w:right="460" w:hanging="382"/>
        <w:spacing w:after="0" w:line="258"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Mr. Levin’s base salary is stated in his employment agreement and has remained unchanged since fiscal 2010 and is modestly above the median of the 2018 proxy peer group.</w:t>
      </w:r>
    </w:p>
    <w:p>
      <w:pPr>
        <w:spacing w:after="0" w:line="1" w:lineRule="exact"/>
        <w:rPr>
          <w:rFonts w:ascii="Arial" w:cs="Arial" w:eastAsia="Arial" w:hAnsi="Arial"/>
          <w:sz w:val="18"/>
          <w:szCs w:val="18"/>
          <w:color w:val="auto"/>
        </w:rPr>
      </w:pPr>
    </w:p>
    <w:p>
      <w:pPr>
        <w:ind w:left="1160" w:right="400" w:hanging="382"/>
        <w:spacing w:after="0" w:line="250"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Mr. Stratton received a salary increase in May 2017 to bring him in line with external peers and in November 2017, Messrs. Stratton and Reaves each received a salary adjustment in connection with their respective promotions to Executive Vice President and added responsibilities.</w:t>
      </w:r>
    </w:p>
    <w:p>
      <w:pPr>
        <w:spacing w:after="0" w:line="1" w:lineRule="exact"/>
        <w:rPr>
          <w:rFonts w:ascii="Arial" w:cs="Arial" w:eastAsia="Arial" w:hAnsi="Arial"/>
          <w:sz w:val="18"/>
          <w:szCs w:val="18"/>
          <w:color w:val="auto"/>
        </w:rPr>
      </w:pPr>
    </w:p>
    <w:p>
      <w:pPr>
        <w:ind w:left="1160" w:hanging="38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Mr. Molloy received a salary adjustment in May 2018 in connection with his additional responsibilities.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80" w:hanging="25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76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Annual Incentive Plan (“AIP”) provides for an annual performance-based cash incentive for all executives as well as certain non-executive employees.</w:t>
      </w:r>
    </w:p>
    <w:p>
      <w:pPr>
        <w:spacing w:after="0" w:line="73" w:lineRule="exact"/>
        <w:rPr>
          <w:rFonts w:ascii="Arial" w:cs="Arial" w:eastAsia="Arial" w:hAnsi="Arial"/>
          <w:sz w:val="18"/>
          <w:szCs w:val="18"/>
          <w:color w:val="auto"/>
        </w:rPr>
      </w:pPr>
    </w:p>
    <w:p>
      <w:pPr>
        <w:ind w:left="760" w:right="160"/>
        <w:spacing w:after="0" w:line="277" w:lineRule="auto"/>
        <w:rPr>
          <w:rFonts w:ascii="Arial" w:cs="Arial" w:eastAsia="Arial" w:hAnsi="Arial"/>
          <w:sz w:val="18"/>
          <w:szCs w:val="18"/>
          <w:color w:val="auto"/>
        </w:rPr>
      </w:pPr>
      <w:r>
        <w:rPr>
          <w:rFonts w:ascii="Arial" w:cs="Arial" w:eastAsia="Arial" w:hAnsi="Arial"/>
          <w:sz w:val="18"/>
          <w:szCs w:val="18"/>
          <w:color w:val="auto"/>
        </w:rPr>
        <w:t>For fiscal 2017, Mr. Levin’s target participation in the AIP was at 100% of his annual salary, whereas our other Named Executive Officers’ target participation in the AIP was at 40% of their respective salaries.</w:t>
      </w:r>
    </w:p>
    <w:p>
      <w:pPr>
        <w:spacing w:after="0" w:line="170" w:lineRule="exact"/>
        <w:rPr>
          <w:rFonts w:ascii="Arial" w:cs="Arial" w:eastAsia="Arial" w:hAnsi="Arial"/>
          <w:sz w:val="18"/>
          <w:szCs w:val="18"/>
          <w:color w:val="auto"/>
        </w:rPr>
      </w:pPr>
    </w:p>
    <w:p>
      <w:pPr>
        <w:ind w:left="780" w:right="520"/>
        <w:spacing w:after="0" w:line="277" w:lineRule="auto"/>
        <w:rPr>
          <w:rFonts w:ascii="Arial" w:cs="Arial" w:eastAsia="Arial" w:hAnsi="Arial"/>
          <w:sz w:val="18"/>
          <w:szCs w:val="18"/>
          <w:color w:val="auto"/>
        </w:rPr>
      </w:pPr>
      <w:r>
        <w:rPr>
          <w:rFonts w:ascii="Arial" w:cs="Arial" w:eastAsia="Arial" w:hAnsi="Arial"/>
          <w:sz w:val="18"/>
          <w:szCs w:val="18"/>
          <w:color w:val="auto"/>
        </w:rPr>
        <w:t>The performance metrics in our 2017 AIP reflected the Board’s objective to drive profitability and free cash flow through revenue growth at acceptable margins. Key areas of focus for fiscal 2017 were the growth of our direct business and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 w:name="page13"/>
    <w:bookmarkEnd w:id="12"/>
    <w:p>
      <w:pPr>
        <w:ind w:left="400" w:right="140"/>
        <w:spacing w:after="0" w:line="264" w:lineRule="auto"/>
        <w:rPr>
          <w:sz w:val="20"/>
          <w:szCs w:val="20"/>
          <w:color w:val="auto"/>
        </w:rPr>
      </w:pPr>
      <w:r>
        <w:rPr>
          <w:rFonts w:ascii="Arial" w:cs="Arial" w:eastAsia="Arial" w:hAnsi="Arial"/>
          <w:sz w:val="18"/>
          <w:szCs w:val="18"/>
          <w:color w:val="auto"/>
        </w:rPr>
        <w:t>customer base through new marketing initiatives. Specific performance metrics for “Sales”, “Direct Comparable Sales”, and “Customer Count” were intended to drive revenue, whereas specific performance metrics for “Adjusted EBITDA”, “Merchandise Margin” and “Free Cash Flow” were intended to drive profitability and free cash flow.</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2017 AIP targets approved by the Compensation Committee and actual results against these targets were as follows:</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i w:val="1"/>
          <w:iCs w:val="1"/>
          <w:color w:val="auto"/>
        </w:rPr>
        <w:t>2017 Annual Incentive Plan</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Award %</w:t>
            </w:r>
          </w:p>
        </w:tc>
        <w:tc>
          <w:tcPr>
            <w:tcW w:w="364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20" w:type="dxa"/>
            <w:vAlign w:val="bottom"/>
            <w:vMerge w:val="restart"/>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36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2017 Target</w:t>
            </w:r>
          </w:p>
        </w:tc>
        <w:tc>
          <w:tcPr>
            <w:tcW w:w="420" w:type="dxa"/>
            <w:vAlign w:val="bottom"/>
          </w:tcPr>
          <w:p>
            <w:pPr>
              <w:spacing w:after="0"/>
              <w:rPr>
                <w:sz w:val="12"/>
                <w:szCs w:val="12"/>
                <w:color w:val="auto"/>
              </w:rPr>
            </w:pPr>
          </w:p>
        </w:tc>
        <w:tc>
          <w:tcPr>
            <w:tcW w:w="154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2"/>
              </w:rPr>
              <w:t>2017 Actual</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to Target</w:t>
            </w:r>
          </w:p>
        </w:tc>
        <w:tc>
          <w:tcPr>
            <w:tcW w:w="3640" w:type="dxa"/>
            <w:vAlign w:val="bottom"/>
            <w:gridSpan w:val="3"/>
          </w:tcPr>
          <w:p>
            <w:pPr>
              <w:ind w:left="1220"/>
              <w:spacing w:after="0" w:line="158" w:lineRule="exact"/>
              <w:rPr>
                <w:sz w:val="20"/>
                <w:szCs w:val="20"/>
                <w:color w:val="auto"/>
              </w:rPr>
            </w:pPr>
            <w:r>
              <w:rPr>
                <w:rFonts w:ascii="Arial" w:cs="Arial" w:eastAsia="Arial" w:hAnsi="Arial"/>
                <w:sz w:val="14"/>
                <w:szCs w:val="14"/>
                <w:b w:val="1"/>
                <w:bCs w:val="1"/>
                <w:color w:val="auto"/>
              </w:rPr>
              <w:t>Potential Payout</w:t>
            </w:r>
          </w:p>
        </w:tc>
        <w:tc>
          <w:tcPr>
            <w:tcW w:w="3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980" w:type="dxa"/>
            <w:vAlign w:val="bottom"/>
            <w:gridSpan w:val="3"/>
            <w:shd w:val="clear" w:color="auto" w:fill="CFF0FC"/>
          </w:tcPr>
          <w:p>
            <w:pPr>
              <w:ind w:left="120"/>
              <w:spacing w:after="0" w:line="123" w:lineRule="exact"/>
              <w:rPr>
                <w:sz w:val="20"/>
                <w:szCs w:val="20"/>
                <w:color w:val="auto"/>
              </w:rPr>
            </w:pPr>
            <w:r>
              <w:rPr>
                <w:rFonts w:ascii="Arial" w:cs="Arial" w:eastAsia="Arial" w:hAnsi="Arial"/>
                <w:sz w:val="14"/>
                <w:szCs w:val="14"/>
                <w:color w:val="auto"/>
              </w:rPr>
              <w:t>Sales</w:t>
            </w:r>
          </w:p>
        </w:tc>
        <w:tc>
          <w:tcPr>
            <w:tcW w:w="760" w:type="dxa"/>
            <w:vAlign w:val="bottom"/>
            <w:gridSpan w:val="2"/>
            <w:shd w:val="clear" w:color="auto" w:fill="CFF0FC"/>
          </w:tcPr>
          <w:p>
            <w:pPr>
              <w:jc w:val="center"/>
              <w:ind w:left="148"/>
              <w:spacing w:after="0" w:line="123" w:lineRule="exact"/>
              <w:rPr>
                <w:sz w:val="20"/>
                <w:szCs w:val="20"/>
                <w:color w:val="auto"/>
              </w:rPr>
            </w:pPr>
            <w:r>
              <w:rPr>
                <w:rFonts w:ascii="Arial" w:cs="Arial" w:eastAsia="Arial" w:hAnsi="Arial"/>
                <w:sz w:val="14"/>
                <w:szCs w:val="14"/>
                <w:color w:val="auto"/>
                <w:w w:val="95"/>
              </w:rPr>
              <w:t>20.0%</w:t>
            </w:r>
          </w:p>
        </w:tc>
        <w:tc>
          <w:tcPr>
            <w:tcW w:w="160" w:type="dxa"/>
            <w:vAlign w:val="bottom"/>
            <w:shd w:val="clear" w:color="auto" w:fill="CFF0FC"/>
          </w:tcPr>
          <w:p>
            <w:pPr>
              <w:spacing w:after="0"/>
              <w:rPr>
                <w:sz w:val="10"/>
                <w:szCs w:val="10"/>
                <w:color w:val="auto"/>
              </w:rPr>
            </w:pPr>
          </w:p>
        </w:tc>
        <w:tc>
          <w:tcPr>
            <w:tcW w:w="364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set target, with 50% payout at 98.9% of</w:t>
            </w:r>
          </w:p>
        </w:tc>
        <w:tc>
          <w:tcPr>
            <w:tcW w:w="1440" w:type="dxa"/>
            <w:vAlign w:val="bottom"/>
            <w:gridSpan w:val="3"/>
            <w:shd w:val="clear" w:color="auto" w:fill="CFF0FC"/>
          </w:tcPr>
          <w:p>
            <w:pPr>
              <w:jc w:val="center"/>
              <w:ind w:right="100"/>
              <w:spacing w:after="0" w:line="123" w:lineRule="exact"/>
              <w:rPr>
                <w:sz w:val="20"/>
                <w:szCs w:val="20"/>
                <w:color w:val="auto"/>
              </w:rPr>
            </w:pPr>
            <w:r>
              <w:rPr>
                <w:rFonts w:ascii="Arial" w:cs="Arial" w:eastAsia="Arial" w:hAnsi="Arial"/>
                <w:sz w:val="14"/>
                <w:szCs w:val="14"/>
                <w:color w:val="auto"/>
                <w:w w:val="99"/>
              </w:rPr>
              <w:t>$475.0 million</w:t>
            </w:r>
          </w:p>
        </w:tc>
        <w:tc>
          <w:tcPr>
            <w:tcW w:w="1960" w:type="dxa"/>
            <w:vAlign w:val="bottom"/>
            <w:gridSpan w:val="3"/>
            <w:shd w:val="clear" w:color="auto" w:fill="CFF0FC"/>
          </w:tcPr>
          <w:p>
            <w:pPr>
              <w:jc w:val="center"/>
              <w:ind w:right="400"/>
              <w:spacing w:after="0" w:line="123" w:lineRule="exact"/>
              <w:rPr>
                <w:sz w:val="20"/>
                <w:szCs w:val="20"/>
                <w:color w:val="auto"/>
              </w:rPr>
            </w:pPr>
            <w:r>
              <w:rPr>
                <w:rFonts w:ascii="Arial" w:cs="Arial" w:eastAsia="Arial" w:hAnsi="Arial"/>
                <w:sz w:val="14"/>
                <w:szCs w:val="14"/>
                <w:color w:val="auto"/>
                <w:w w:val="97"/>
              </w:rPr>
              <w:t>$468.0 million</w:t>
            </w:r>
          </w:p>
        </w:tc>
        <w:tc>
          <w:tcPr>
            <w:tcW w:w="1120" w:type="dxa"/>
            <w:vAlign w:val="bottom"/>
            <w:gridSpan w:val="2"/>
            <w:shd w:val="clear" w:color="auto" w:fill="CFF0FC"/>
          </w:tcPr>
          <w:p>
            <w:pPr>
              <w:jc w:val="center"/>
              <w:ind w:right="500"/>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4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set target and 150% payout at 101.1%.</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9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Adjusted</w:t>
            </w:r>
          </w:p>
        </w:tc>
        <w:tc>
          <w:tcPr>
            <w:tcW w:w="7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5"/>
              </w:rPr>
              <w:t>20.0%</w:t>
            </w:r>
          </w:p>
        </w:tc>
        <w:tc>
          <w:tcPr>
            <w:tcW w:w="160" w:type="dxa"/>
            <w:vAlign w:val="bottom"/>
          </w:tcPr>
          <w:p>
            <w:pPr>
              <w:spacing w:after="0"/>
              <w:rPr>
                <w:sz w:val="11"/>
                <w:szCs w:val="11"/>
                <w:color w:val="auto"/>
              </w:rPr>
            </w:pPr>
          </w:p>
        </w:tc>
        <w:tc>
          <w:tcPr>
            <w:tcW w:w="36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out at set target, with 50% payout at 88.9%</w:t>
            </w:r>
          </w:p>
        </w:tc>
        <w:tc>
          <w:tcPr>
            <w:tcW w:w="1440" w:type="dxa"/>
            <w:vAlign w:val="bottom"/>
            <w:gridSpan w:val="3"/>
          </w:tcPr>
          <w:p>
            <w:pPr>
              <w:jc w:val="center"/>
              <w:ind w:right="100"/>
              <w:spacing w:after="0" w:line="130" w:lineRule="exact"/>
              <w:rPr>
                <w:sz w:val="20"/>
                <w:szCs w:val="20"/>
                <w:color w:val="auto"/>
              </w:rPr>
            </w:pPr>
            <w:r>
              <w:rPr>
                <w:rFonts w:ascii="Arial" w:cs="Arial" w:eastAsia="Arial" w:hAnsi="Arial"/>
                <w:sz w:val="14"/>
                <w:szCs w:val="14"/>
                <w:color w:val="auto"/>
                <w:w w:val="99"/>
              </w:rPr>
              <w:t>$27.0 million</w:t>
            </w:r>
          </w:p>
        </w:tc>
        <w:tc>
          <w:tcPr>
            <w:tcW w:w="1960" w:type="dxa"/>
            <w:vAlign w:val="bottom"/>
            <w:gridSpan w:val="3"/>
          </w:tcPr>
          <w:p>
            <w:pPr>
              <w:jc w:val="center"/>
              <w:ind w:right="400"/>
              <w:spacing w:after="0" w:line="130" w:lineRule="exact"/>
              <w:rPr>
                <w:sz w:val="20"/>
                <w:szCs w:val="20"/>
                <w:color w:val="auto"/>
              </w:rPr>
            </w:pPr>
            <w:r>
              <w:rPr>
                <w:rFonts w:ascii="Arial" w:cs="Arial" w:eastAsia="Arial" w:hAnsi="Arial"/>
                <w:sz w:val="14"/>
                <w:szCs w:val="14"/>
                <w:color w:val="auto"/>
                <w:w w:val="96"/>
              </w:rPr>
              <w:t>$17.1 million</w:t>
            </w:r>
          </w:p>
        </w:tc>
        <w:tc>
          <w:tcPr>
            <w:tcW w:w="1120" w:type="dxa"/>
            <w:vAlign w:val="bottom"/>
            <w:gridSpan w:val="2"/>
          </w:tcPr>
          <w:p>
            <w:pPr>
              <w:jc w:val="center"/>
              <w:ind w:right="500"/>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EBITDA</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3"/>
          </w:tcPr>
          <w:p>
            <w:pPr>
              <w:ind w:left="60"/>
              <w:spacing w:after="0"/>
              <w:rPr>
                <w:sz w:val="20"/>
                <w:szCs w:val="20"/>
                <w:color w:val="auto"/>
              </w:rPr>
            </w:pPr>
            <w:r>
              <w:rPr>
                <w:rFonts w:ascii="Arial" w:cs="Arial" w:eastAsia="Arial" w:hAnsi="Arial"/>
                <w:sz w:val="14"/>
                <w:szCs w:val="14"/>
                <w:color w:val="auto"/>
              </w:rPr>
              <w:t>of set target and 150% payout at 111.1%.</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980" w:type="dxa"/>
            <w:vAlign w:val="bottom"/>
            <w:gridSpan w:val="3"/>
            <w:shd w:val="clear" w:color="auto" w:fill="CFF0FC"/>
          </w:tcPr>
          <w:p>
            <w:pPr>
              <w:ind w:left="120"/>
              <w:spacing w:after="0" w:line="130" w:lineRule="exact"/>
              <w:rPr>
                <w:sz w:val="20"/>
                <w:szCs w:val="20"/>
                <w:color w:val="auto"/>
              </w:rPr>
            </w:pPr>
            <w:r>
              <w:rPr>
                <w:rFonts w:ascii="Arial" w:cs="Arial" w:eastAsia="Arial" w:hAnsi="Arial"/>
                <w:sz w:val="14"/>
                <w:szCs w:val="14"/>
                <w:color w:val="auto"/>
              </w:rPr>
              <w:t>Merchandise</w:t>
            </w:r>
          </w:p>
        </w:tc>
        <w:tc>
          <w:tcPr>
            <w:tcW w:w="760" w:type="dxa"/>
            <w:vAlign w:val="bottom"/>
            <w:gridSpan w:val="2"/>
            <w:shd w:val="clear" w:color="auto" w:fill="CFF0FC"/>
          </w:tcPr>
          <w:p>
            <w:pPr>
              <w:jc w:val="center"/>
              <w:ind w:left="148"/>
              <w:spacing w:after="0" w:line="130" w:lineRule="exact"/>
              <w:rPr>
                <w:sz w:val="20"/>
                <w:szCs w:val="20"/>
                <w:color w:val="auto"/>
              </w:rPr>
            </w:pPr>
            <w:r>
              <w:rPr>
                <w:rFonts w:ascii="Arial" w:cs="Arial" w:eastAsia="Arial" w:hAnsi="Arial"/>
                <w:sz w:val="14"/>
                <w:szCs w:val="14"/>
                <w:color w:val="auto"/>
                <w:w w:val="95"/>
              </w:rPr>
              <w:t>20.0%</w:t>
            </w:r>
          </w:p>
        </w:tc>
        <w:tc>
          <w:tcPr>
            <w:tcW w:w="160" w:type="dxa"/>
            <w:vAlign w:val="bottom"/>
            <w:shd w:val="clear" w:color="auto" w:fill="CFF0FC"/>
          </w:tcPr>
          <w:p>
            <w:pPr>
              <w:spacing w:after="0"/>
              <w:rPr>
                <w:sz w:val="11"/>
                <w:szCs w:val="11"/>
                <w:color w:val="auto"/>
              </w:rPr>
            </w:pPr>
          </w:p>
        </w:tc>
        <w:tc>
          <w:tcPr>
            <w:tcW w:w="364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rPr>
              <w:t>Target must be achieved for a minimum payout of 100%,</w:t>
            </w:r>
          </w:p>
        </w:tc>
        <w:tc>
          <w:tcPr>
            <w:tcW w:w="1020" w:type="dxa"/>
            <w:vAlign w:val="bottom"/>
            <w:gridSpan w:val="2"/>
            <w:shd w:val="clear" w:color="auto" w:fill="CFF0FC"/>
          </w:tcPr>
          <w:p>
            <w:pPr>
              <w:jc w:val="center"/>
              <w:ind w:left="248"/>
              <w:spacing w:after="0" w:line="130" w:lineRule="exact"/>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1"/>
                <w:szCs w:val="11"/>
                <w:color w:val="auto"/>
              </w:rPr>
            </w:pPr>
          </w:p>
        </w:tc>
        <w:tc>
          <w:tcPr>
            <w:tcW w:w="1960" w:type="dxa"/>
            <w:vAlign w:val="bottom"/>
            <w:gridSpan w:val="3"/>
            <w:shd w:val="clear" w:color="auto" w:fill="CFF0FC"/>
          </w:tcPr>
          <w:p>
            <w:pPr>
              <w:jc w:val="center"/>
              <w:ind w:right="400"/>
              <w:spacing w:after="0" w:line="130" w:lineRule="exact"/>
              <w:rPr>
                <w:sz w:val="20"/>
                <w:szCs w:val="20"/>
                <w:color w:val="auto"/>
              </w:rPr>
            </w:pPr>
            <w:r>
              <w:rPr>
                <w:rFonts w:ascii="Arial" w:cs="Arial" w:eastAsia="Arial" w:hAnsi="Arial"/>
                <w:sz w:val="14"/>
                <w:szCs w:val="14"/>
                <w:color w:val="auto"/>
                <w:w w:val="89"/>
              </w:rPr>
              <w:t>70 basis points</w:t>
            </w:r>
          </w:p>
        </w:tc>
        <w:tc>
          <w:tcPr>
            <w:tcW w:w="62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113.3%</w:t>
            </w: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98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Margin</w:t>
            </w: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4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with 125% payout at 102.2% of target and 150% of</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center"/>
              <w:ind w:right="820"/>
              <w:spacing w:after="0" w:line="149" w:lineRule="exact"/>
              <w:rPr>
                <w:sz w:val="20"/>
                <w:szCs w:val="20"/>
                <w:color w:val="auto"/>
              </w:rPr>
            </w:pPr>
            <w:r>
              <w:rPr>
                <w:rFonts w:ascii="Arial" w:cs="Arial" w:eastAsia="Arial" w:hAnsi="Arial"/>
                <w:sz w:val="14"/>
                <w:szCs w:val="14"/>
                <w:color w:val="auto"/>
                <w:w w:val="94"/>
              </w:rPr>
              <w:t>above</w:t>
            </w:r>
          </w:p>
        </w:tc>
        <w:tc>
          <w:tcPr>
            <w:tcW w:w="6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4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payout at 104.2% of target.</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center"/>
              <w:ind w:right="820"/>
              <w:spacing w:after="0"/>
              <w:rPr>
                <w:sz w:val="20"/>
                <w:szCs w:val="20"/>
                <w:color w:val="auto"/>
              </w:rPr>
            </w:pPr>
            <w:r>
              <w:rPr>
                <w:rFonts w:ascii="Arial" w:cs="Arial" w:eastAsia="Arial" w:hAnsi="Arial"/>
                <w:sz w:val="14"/>
                <w:szCs w:val="14"/>
                <w:color w:val="auto"/>
                <w:w w:val="98"/>
              </w:rPr>
              <w:t>minimum</w:t>
            </w:r>
          </w:p>
        </w:tc>
        <w:tc>
          <w:tcPr>
            <w:tcW w:w="6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4"/>
                <w:szCs w:val="14"/>
                <w:b w:val="1"/>
                <w:bCs w:val="1"/>
                <w:color w:val="auto"/>
              </w:rPr>
              <w:t>Target 4</w:t>
            </w:r>
          </w:p>
        </w:tc>
        <w:tc>
          <w:tcPr>
            <w:tcW w:w="9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Free Cash</w:t>
            </w:r>
          </w:p>
        </w:tc>
        <w:tc>
          <w:tcPr>
            <w:tcW w:w="7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5"/>
              </w:rPr>
              <w:t>20.0%</w:t>
            </w:r>
          </w:p>
        </w:tc>
        <w:tc>
          <w:tcPr>
            <w:tcW w:w="160" w:type="dxa"/>
            <w:vAlign w:val="bottom"/>
          </w:tcPr>
          <w:p>
            <w:pPr>
              <w:spacing w:after="0"/>
              <w:rPr>
                <w:sz w:val="11"/>
                <w:szCs w:val="11"/>
                <w:color w:val="auto"/>
              </w:rPr>
            </w:pPr>
          </w:p>
        </w:tc>
        <w:tc>
          <w:tcPr>
            <w:tcW w:w="36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at set target, with 50% payout at 85.7% of</w:t>
            </w:r>
          </w:p>
        </w:tc>
        <w:tc>
          <w:tcPr>
            <w:tcW w:w="1440" w:type="dxa"/>
            <w:vAlign w:val="bottom"/>
            <w:gridSpan w:val="3"/>
          </w:tcPr>
          <w:p>
            <w:pPr>
              <w:jc w:val="center"/>
              <w:ind w:right="100"/>
              <w:spacing w:after="0" w:line="130" w:lineRule="exact"/>
              <w:rPr>
                <w:sz w:val="20"/>
                <w:szCs w:val="20"/>
                <w:color w:val="auto"/>
              </w:rPr>
            </w:pPr>
            <w:r>
              <w:rPr>
                <w:rFonts w:ascii="Arial" w:cs="Arial" w:eastAsia="Arial" w:hAnsi="Arial"/>
                <w:sz w:val="14"/>
                <w:szCs w:val="14"/>
                <w:color w:val="auto"/>
                <w:w w:val="99"/>
              </w:rPr>
              <w:t>$17.5 million</w:t>
            </w:r>
          </w:p>
        </w:tc>
        <w:tc>
          <w:tcPr>
            <w:tcW w:w="420" w:type="dxa"/>
            <w:vAlign w:val="bottom"/>
          </w:tcPr>
          <w:p>
            <w:pPr>
              <w:spacing w:after="0"/>
              <w:rPr>
                <w:sz w:val="11"/>
                <w:szCs w:val="11"/>
                <w:color w:val="auto"/>
              </w:rPr>
            </w:pPr>
          </w:p>
        </w:tc>
        <w:tc>
          <w:tcPr>
            <w:tcW w:w="1540" w:type="dxa"/>
            <w:vAlign w:val="bottom"/>
            <w:gridSpan w:val="2"/>
          </w:tcPr>
          <w:p>
            <w:pPr>
              <w:jc w:val="center"/>
              <w:ind w:right="820"/>
              <w:spacing w:after="0" w:line="130" w:lineRule="exact"/>
              <w:rPr>
                <w:sz w:val="20"/>
                <w:szCs w:val="20"/>
                <w:color w:val="auto"/>
              </w:rPr>
            </w:pPr>
            <w:r>
              <w:rPr>
                <w:rFonts w:ascii="Arial" w:cs="Arial" w:eastAsia="Arial" w:hAnsi="Arial"/>
                <w:sz w:val="14"/>
                <w:szCs w:val="14"/>
                <w:color w:val="auto"/>
              </w:rPr>
              <w:t>$8.4 million</w:t>
            </w:r>
          </w:p>
        </w:tc>
        <w:tc>
          <w:tcPr>
            <w:tcW w:w="1120" w:type="dxa"/>
            <w:vAlign w:val="bottom"/>
            <w:gridSpan w:val="2"/>
          </w:tcPr>
          <w:p>
            <w:pPr>
              <w:jc w:val="center"/>
              <w:ind w:right="500"/>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Flow</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3"/>
          </w:tcPr>
          <w:p>
            <w:pPr>
              <w:ind w:left="60"/>
              <w:spacing w:after="0"/>
              <w:rPr>
                <w:sz w:val="20"/>
                <w:szCs w:val="20"/>
                <w:color w:val="auto"/>
              </w:rPr>
            </w:pPr>
            <w:r>
              <w:rPr>
                <w:rFonts w:ascii="Arial" w:cs="Arial" w:eastAsia="Arial" w:hAnsi="Arial"/>
                <w:sz w:val="14"/>
                <w:szCs w:val="14"/>
                <w:color w:val="auto"/>
              </w:rPr>
              <w:t>target and 150% payout at 114.3% of target.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Target 5</w:t>
            </w: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Direct</w:t>
            </w:r>
          </w:p>
        </w:tc>
        <w:tc>
          <w:tcPr>
            <w:tcW w:w="76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10.0%</w:t>
            </w:r>
          </w:p>
        </w:tc>
        <w:tc>
          <w:tcPr>
            <w:tcW w:w="160" w:type="dxa"/>
            <w:vAlign w:val="bottom"/>
          </w:tcPr>
          <w:p>
            <w:pPr>
              <w:spacing w:after="0"/>
              <w:rPr>
                <w:sz w:val="22"/>
                <w:szCs w:val="22"/>
                <w:color w:val="auto"/>
              </w:rPr>
            </w:pPr>
          </w:p>
        </w:tc>
        <w:tc>
          <w:tcPr>
            <w:tcW w:w="3640" w:type="dxa"/>
            <w:vAlign w:val="bottom"/>
            <w:gridSpan w:val="3"/>
          </w:tcPr>
          <w:p>
            <w:pPr>
              <w:ind w:left="60"/>
              <w:spacing w:after="0"/>
              <w:rPr>
                <w:sz w:val="20"/>
                <w:szCs w:val="20"/>
                <w:color w:val="auto"/>
              </w:rPr>
            </w:pPr>
            <w:r>
              <w:rPr>
                <w:rFonts w:ascii="Arial" w:cs="Arial" w:eastAsia="Arial" w:hAnsi="Arial"/>
                <w:sz w:val="14"/>
                <w:szCs w:val="14"/>
                <w:color w:val="auto"/>
              </w:rPr>
              <w:t>100% payout at set target, with 50% payout at 65.5% of</w:t>
            </w:r>
          </w:p>
        </w:tc>
        <w:tc>
          <w:tcPr>
            <w:tcW w:w="1020" w:type="dxa"/>
            <w:vAlign w:val="bottom"/>
            <w:gridSpan w:val="2"/>
          </w:tcPr>
          <w:p>
            <w:pPr>
              <w:jc w:val="center"/>
              <w:ind w:left="248"/>
              <w:spacing w:after="0"/>
              <w:rPr>
                <w:sz w:val="20"/>
                <w:szCs w:val="20"/>
                <w:color w:val="auto"/>
              </w:rPr>
            </w:pPr>
            <w:r>
              <w:rPr>
                <w:rFonts w:ascii="Arial" w:cs="Arial" w:eastAsia="Arial" w:hAnsi="Arial"/>
                <w:sz w:val="14"/>
                <w:szCs w:val="14"/>
                <w:color w:val="auto"/>
                <w:w w:val="95"/>
              </w:rPr>
              <w:t>14.5%</w:t>
            </w:r>
          </w:p>
        </w:tc>
        <w:tc>
          <w:tcPr>
            <w:tcW w:w="420" w:type="dxa"/>
            <w:vAlign w:val="bottom"/>
          </w:tcPr>
          <w:p>
            <w:pPr>
              <w:spacing w:after="0"/>
              <w:rPr>
                <w:sz w:val="22"/>
                <w:szCs w:val="22"/>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8.4%</w:t>
            </w:r>
          </w:p>
        </w:tc>
        <w:tc>
          <w:tcPr>
            <w:tcW w:w="820" w:type="dxa"/>
            <w:vAlign w:val="bottom"/>
          </w:tcPr>
          <w:p>
            <w:pPr>
              <w:spacing w:after="0"/>
              <w:rPr>
                <w:sz w:val="22"/>
                <w:szCs w:val="22"/>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Comparable</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target and 150% payout at 134.5% of target.</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Sales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6</w:t>
            </w:r>
          </w:p>
        </w:tc>
        <w:tc>
          <w:tcPr>
            <w:tcW w:w="980" w:type="dxa"/>
            <w:vAlign w:val="bottom"/>
            <w:gridSpan w:val="3"/>
            <w:shd w:val="clear" w:color="auto" w:fill="CFF0FC"/>
          </w:tcPr>
          <w:p>
            <w:pPr>
              <w:ind w:left="120"/>
              <w:spacing w:after="0" w:line="130" w:lineRule="exact"/>
              <w:rPr>
                <w:sz w:val="20"/>
                <w:szCs w:val="20"/>
                <w:color w:val="auto"/>
              </w:rPr>
            </w:pPr>
            <w:r>
              <w:rPr>
                <w:rFonts w:ascii="Arial" w:cs="Arial" w:eastAsia="Arial" w:hAnsi="Arial"/>
                <w:sz w:val="14"/>
                <w:szCs w:val="14"/>
                <w:color w:val="auto"/>
              </w:rPr>
              <w:t>Customer</w:t>
            </w:r>
          </w:p>
        </w:tc>
        <w:tc>
          <w:tcPr>
            <w:tcW w:w="760" w:type="dxa"/>
            <w:vAlign w:val="bottom"/>
            <w:gridSpan w:val="2"/>
            <w:shd w:val="clear" w:color="auto" w:fill="CFF0FC"/>
          </w:tcPr>
          <w:p>
            <w:pPr>
              <w:jc w:val="center"/>
              <w:ind w:left="148"/>
              <w:spacing w:after="0" w:line="130" w:lineRule="exact"/>
              <w:rPr>
                <w:sz w:val="20"/>
                <w:szCs w:val="20"/>
                <w:color w:val="auto"/>
              </w:rPr>
            </w:pPr>
            <w:r>
              <w:rPr>
                <w:rFonts w:ascii="Arial" w:cs="Arial" w:eastAsia="Arial" w:hAnsi="Arial"/>
                <w:sz w:val="14"/>
                <w:szCs w:val="14"/>
                <w:color w:val="auto"/>
                <w:w w:val="95"/>
              </w:rPr>
              <w:t>10.0%</w:t>
            </w:r>
          </w:p>
        </w:tc>
        <w:tc>
          <w:tcPr>
            <w:tcW w:w="160" w:type="dxa"/>
            <w:vAlign w:val="bottom"/>
            <w:shd w:val="clear" w:color="auto" w:fill="CFF0FC"/>
          </w:tcPr>
          <w:p>
            <w:pPr>
              <w:spacing w:after="0"/>
              <w:rPr>
                <w:sz w:val="11"/>
                <w:szCs w:val="11"/>
                <w:color w:val="auto"/>
              </w:rPr>
            </w:pPr>
          </w:p>
        </w:tc>
        <w:tc>
          <w:tcPr>
            <w:tcW w:w="3640" w:type="dxa"/>
            <w:vAlign w:val="bottom"/>
            <w:gridSpan w:val="3"/>
            <w:shd w:val="clear" w:color="auto" w:fill="CFF0FC"/>
          </w:tcPr>
          <w:p>
            <w:pPr>
              <w:ind w:left="60"/>
              <w:spacing w:after="0" w:line="130" w:lineRule="exact"/>
              <w:rPr>
                <w:sz w:val="20"/>
                <w:szCs w:val="20"/>
                <w:color w:val="auto"/>
              </w:rPr>
            </w:pPr>
            <w:r>
              <w:rPr>
                <w:rFonts w:ascii="Arial" w:cs="Arial" w:eastAsia="Arial" w:hAnsi="Arial"/>
                <w:sz w:val="14"/>
                <w:szCs w:val="14"/>
                <w:color w:val="auto"/>
                <w:w w:val="99"/>
              </w:rPr>
              <w:t>100% payout at set target, with 50% payout at 99.0%% of</w:t>
            </w:r>
          </w:p>
        </w:tc>
        <w:tc>
          <w:tcPr>
            <w:tcW w:w="1020" w:type="dxa"/>
            <w:vAlign w:val="bottom"/>
            <w:gridSpan w:val="2"/>
            <w:shd w:val="clear" w:color="auto" w:fill="CFF0FC"/>
          </w:tcPr>
          <w:p>
            <w:pPr>
              <w:jc w:val="center"/>
              <w:ind w:left="248"/>
              <w:spacing w:after="0" w:line="130" w:lineRule="exact"/>
              <w:rPr>
                <w:sz w:val="20"/>
                <w:szCs w:val="20"/>
                <w:color w:val="auto"/>
              </w:rPr>
            </w:pPr>
            <w:r>
              <w:rPr>
                <w:rFonts w:ascii="Arial" w:cs="Arial" w:eastAsia="Arial" w:hAnsi="Arial"/>
                <w:sz w:val="14"/>
                <w:szCs w:val="14"/>
                <w:color w:val="auto"/>
                <w:w w:val="93"/>
              </w:rPr>
              <w:t>1,530,000</w:t>
            </w:r>
          </w:p>
        </w:tc>
        <w:tc>
          <w:tcPr>
            <w:tcW w:w="42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
              <w:spacing w:after="0" w:line="130" w:lineRule="exact"/>
              <w:rPr>
                <w:sz w:val="20"/>
                <w:szCs w:val="20"/>
                <w:color w:val="auto"/>
              </w:rPr>
            </w:pPr>
            <w:r>
              <w:rPr>
                <w:rFonts w:ascii="Arial" w:cs="Arial" w:eastAsia="Arial" w:hAnsi="Arial"/>
                <w:sz w:val="14"/>
                <w:szCs w:val="14"/>
                <w:color w:val="auto"/>
              </w:rPr>
              <w:t>1,535,544</w:t>
            </w: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118.5%</w:t>
            </w: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8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Counts</w:t>
            </w: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4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of payout at 101.0% of target.</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right="560" w:firstLine="9"/>
        <w:spacing w:after="0" w:line="277" w:lineRule="auto"/>
        <w:tabs>
          <w:tab w:leader="none" w:pos="9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Merchandise margin is a component of gross margin, net of occupancy costs and is not disclosed because we believe it would be a competitive disadvantage to do so.</w:t>
      </w:r>
    </w:p>
    <w:p>
      <w:pPr>
        <w:spacing w:after="0" w:line="170" w:lineRule="exact"/>
        <w:rPr>
          <w:sz w:val="20"/>
          <w:szCs w:val="20"/>
          <w:color w:val="auto"/>
        </w:rPr>
      </w:pPr>
    </w:p>
    <w:p>
      <w:pPr>
        <w:ind w:left="400"/>
        <w:spacing w:after="0" w:line="257" w:lineRule="auto"/>
        <w:rPr>
          <w:sz w:val="20"/>
          <w:szCs w:val="20"/>
          <w:color w:val="auto"/>
        </w:rPr>
      </w:pPr>
      <w:r>
        <w:rPr>
          <w:rFonts w:ascii="Arial" w:cs="Arial" w:eastAsia="Arial" w:hAnsi="Arial"/>
          <w:sz w:val="18"/>
          <w:szCs w:val="18"/>
          <w:color w:val="auto"/>
        </w:rPr>
        <w:t>The performance targets were derived from the Company’s operating plan for fiscal 2017, and the Compensation Committee believed that it was possible, with an approximate 50% probability, to meet or exceed each of the targets. As a result of achieving some of the performance targets for fiscal 2017, as shown above, on March 31, 2018 the Compensation Committee approved a cash bonus payout of 34.5% of target under the 2017 AIP. The total cash award paid to 103 participants was approximately $1.3 million, with $546,252 of that amount being paid to the Named Executive Officers.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Changes to AIP for Fiscal 2018</w:t>
      </w:r>
    </w:p>
    <w:p>
      <w:pPr>
        <w:spacing w:after="0" w:line="117" w:lineRule="exact"/>
        <w:rPr>
          <w:sz w:val="20"/>
          <w:szCs w:val="20"/>
          <w:color w:val="auto"/>
        </w:rPr>
      </w:pPr>
    </w:p>
    <w:p>
      <w:pPr>
        <w:ind w:left="400" w:right="40"/>
        <w:spacing w:after="0" w:line="291" w:lineRule="auto"/>
        <w:rPr>
          <w:sz w:val="20"/>
          <w:szCs w:val="20"/>
          <w:color w:val="auto"/>
        </w:rPr>
      </w:pPr>
      <w:r>
        <w:rPr>
          <w:rFonts w:ascii="Arial" w:cs="Arial" w:eastAsia="Arial" w:hAnsi="Arial"/>
          <w:sz w:val="16"/>
          <w:szCs w:val="16"/>
          <w:color w:val="auto"/>
        </w:rPr>
        <w:t>The Compensation Committee modified the 2018 AIP performance metrics in keeping with the Board’s objective to drive profitability and free cash flow through revenue growth at acceptable margins. In addition to overall financial and operating performance metrics, we added specific departmental metrics for our marketing, digital, store operations and merchandising, as well as a discretionary component based on individual performance targets. The overall financial and operating performance metrics will represent 80% of the AIP for our executives, including our Named Executive Officers, whereas they will represent 60% of the AIP for certain departmental employees and the departmental metrics will represent 20%. For all employees, the remaining 20% of the AIP award will be discretionary based on individual performance targets. We believe that these modifications will better align the compensation of our employees with their contribution to our business results.</w:t>
      </w:r>
    </w:p>
    <w:p>
      <w:pPr>
        <w:spacing w:after="0" w:line="200" w:lineRule="exact"/>
        <w:rPr>
          <w:sz w:val="20"/>
          <w:szCs w:val="20"/>
          <w:color w:val="auto"/>
        </w:rPr>
      </w:pPr>
    </w:p>
    <w:p>
      <w:pPr>
        <w:spacing w:after="0" w:line="39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208280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620" w:top="557" w:right="339" w:bottom="1440" w:gutter="0" w:footer="0" w:header="0"/>
        </w:sectPr>
      </w:pPr>
    </w:p>
    <w:bookmarkStart w:id="13" w:name="page14"/>
    <w:bookmarkEnd w:id="13"/>
    <w:p>
      <w:pPr>
        <w:ind w:left="460" w:right="520"/>
        <w:spacing w:after="0" w:line="277" w:lineRule="auto"/>
        <w:rPr>
          <w:sz w:val="20"/>
          <w:szCs w:val="20"/>
          <w:color w:val="auto"/>
        </w:rPr>
      </w:pPr>
      <w:r>
        <w:rPr>
          <w:rFonts w:ascii="Arial" w:cs="Arial" w:eastAsia="Arial" w:hAnsi="Arial"/>
          <w:sz w:val="18"/>
          <w:szCs w:val="18"/>
          <w:color w:val="auto"/>
        </w:rPr>
        <w:t>The 2018 AIP performance metrics, as they relate to our Named Executive Officers and as approved by the Compensation Committee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0" w:type="dxa"/>
            <w:vAlign w:val="bottom"/>
            <w:gridSpan w:val="3"/>
          </w:tcPr>
          <w:p>
            <w:pPr>
              <w:ind w:left="960"/>
              <w:spacing w:after="0"/>
              <w:rPr>
                <w:sz w:val="20"/>
                <w:szCs w:val="20"/>
                <w:color w:val="auto"/>
              </w:rPr>
            </w:pPr>
            <w:r>
              <w:rPr>
                <w:rFonts w:ascii="Arial" w:cs="Arial" w:eastAsia="Arial" w:hAnsi="Arial"/>
                <w:sz w:val="18"/>
                <w:szCs w:val="18"/>
                <w:i w:val="1"/>
                <w:iCs w:val="1"/>
                <w:color w:val="auto"/>
              </w:rPr>
              <w:t>2018 Annual Incentive Plan</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7000" w:type="dxa"/>
            <w:vAlign w:val="bottom"/>
            <w:gridSpan w:val="3"/>
            <w:vMerge w:val="restart"/>
          </w:tcPr>
          <w:p>
            <w:pPr>
              <w:ind w:left="288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0" w:type="dxa"/>
            <w:vAlign w:val="bottom"/>
            <w:vMerge w:val="restart"/>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7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3"/>
              </w:rPr>
              <w:t>Target</w:t>
            </w:r>
          </w:p>
        </w:tc>
        <w:tc>
          <w:tcPr>
            <w:tcW w:w="7000" w:type="dxa"/>
            <w:vAlign w:val="bottom"/>
            <w:gridSpan w:val="3"/>
          </w:tcPr>
          <w:p>
            <w:pPr>
              <w:ind w:left="3020"/>
              <w:spacing w:after="0" w:line="158"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Target 1</w:t>
            </w:r>
          </w:p>
        </w:tc>
        <w:tc>
          <w:tcPr>
            <w:tcW w:w="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Sales</w:t>
            </w:r>
          </w:p>
        </w:tc>
        <w:tc>
          <w:tcPr>
            <w:tcW w:w="4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center"/>
              <w:ind w:right="400"/>
              <w:spacing w:after="0"/>
              <w:rPr>
                <w:sz w:val="20"/>
                <w:szCs w:val="20"/>
                <w:color w:val="auto"/>
              </w:rPr>
            </w:pPr>
            <w:r>
              <w:rPr>
                <w:rFonts w:ascii="Arial" w:cs="Arial" w:eastAsia="Arial" w:hAnsi="Arial"/>
                <w:sz w:val="14"/>
                <w:szCs w:val="14"/>
                <w:color w:val="auto"/>
                <w:w w:val="90"/>
              </w:rPr>
              <w:t>25.0%</w:t>
            </w:r>
          </w:p>
        </w:tc>
        <w:tc>
          <w:tcPr>
            <w:tcW w:w="700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100% payout at set target, with 50% payout at 98.5% of set target and 150% payout at 102.1% of target.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Target 2</w:t>
            </w:r>
          </w:p>
        </w:tc>
        <w:tc>
          <w:tcPr>
            <w:tcW w:w="1860" w:type="dxa"/>
            <w:vAlign w:val="bottom"/>
            <w:gridSpan w:val="3"/>
          </w:tcPr>
          <w:p>
            <w:pPr>
              <w:ind w:left="240"/>
              <w:spacing w:after="0"/>
              <w:rPr>
                <w:sz w:val="20"/>
                <w:szCs w:val="20"/>
                <w:color w:val="auto"/>
              </w:rPr>
            </w:pPr>
            <w:r>
              <w:rPr>
                <w:rFonts w:ascii="Arial" w:cs="Arial" w:eastAsia="Arial" w:hAnsi="Arial"/>
                <w:sz w:val="14"/>
                <w:szCs w:val="14"/>
                <w:color w:val="auto"/>
              </w:rPr>
              <w:t>Adjusted EBITDA</w:t>
            </w:r>
          </w:p>
        </w:tc>
        <w:tc>
          <w:tcPr>
            <w:tcW w:w="1240" w:type="dxa"/>
            <w:vAlign w:val="bottom"/>
            <w:gridSpan w:val="3"/>
          </w:tcPr>
          <w:p>
            <w:pPr>
              <w:jc w:val="center"/>
              <w:spacing w:after="0"/>
              <w:rPr>
                <w:sz w:val="20"/>
                <w:szCs w:val="20"/>
                <w:color w:val="auto"/>
              </w:rPr>
            </w:pPr>
            <w:r>
              <w:rPr>
                <w:rFonts w:ascii="Arial" w:cs="Arial" w:eastAsia="Arial" w:hAnsi="Arial"/>
                <w:sz w:val="14"/>
                <w:szCs w:val="14"/>
                <w:color w:val="auto"/>
                <w:w w:val="90"/>
              </w:rPr>
              <w:t>25.0%</w:t>
            </w:r>
          </w:p>
        </w:tc>
        <w:tc>
          <w:tcPr>
            <w:tcW w:w="7000" w:type="dxa"/>
            <w:vAlign w:val="bottom"/>
            <w:gridSpan w:val="3"/>
          </w:tcPr>
          <w:p>
            <w:pPr>
              <w:ind w:left="160"/>
              <w:spacing w:after="0"/>
              <w:rPr>
                <w:sz w:val="20"/>
                <w:szCs w:val="20"/>
                <w:color w:val="auto"/>
              </w:rPr>
            </w:pPr>
            <w:r>
              <w:rPr>
                <w:rFonts w:ascii="Arial" w:cs="Arial" w:eastAsia="Arial" w:hAnsi="Arial"/>
                <w:sz w:val="14"/>
                <w:szCs w:val="14"/>
                <w:color w:val="auto"/>
              </w:rPr>
              <w:t>100% payout at set target, with 50% payout at 86.0% of set target and 150% payout at 120.0% of target.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Target 3</w:t>
            </w:r>
          </w:p>
        </w:tc>
        <w:tc>
          <w:tcPr>
            <w:tcW w:w="18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Gross Margin (dollars)</w:t>
            </w:r>
          </w:p>
        </w:tc>
        <w:tc>
          <w:tcPr>
            <w:tcW w:w="1240" w:type="dxa"/>
            <w:vAlign w:val="bottom"/>
            <w:gridSpan w:val="3"/>
            <w:shd w:val="clear" w:color="auto" w:fill="CFF0FC"/>
          </w:tcPr>
          <w:p>
            <w:pPr>
              <w:jc w:val="center"/>
              <w:spacing w:after="0"/>
              <w:rPr>
                <w:sz w:val="20"/>
                <w:szCs w:val="20"/>
                <w:color w:val="auto"/>
              </w:rPr>
            </w:pPr>
            <w:r>
              <w:rPr>
                <w:rFonts w:ascii="Arial" w:cs="Arial" w:eastAsia="Arial" w:hAnsi="Arial"/>
                <w:sz w:val="14"/>
                <w:szCs w:val="14"/>
                <w:color w:val="auto"/>
                <w:w w:val="90"/>
              </w:rPr>
              <w:t>15.0%</w:t>
            </w:r>
          </w:p>
        </w:tc>
        <w:tc>
          <w:tcPr>
            <w:tcW w:w="700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100% payout at set target, with 50% payout at 96.9% of set target and 150% payout at 103.1% of target.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30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9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Target 4</w:t>
            </w:r>
          </w:p>
        </w:tc>
        <w:tc>
          <w:tcPr>
            <w:tcW w:w="1860" w:type="dxa"/>
            <w:vAlign w:val="bottom"/>
            <w:gridSpan w:val="3"/>
          </w:tcPr>
          <w:p>
            <w:pPr>
              <w:ind w:left="240"/>
              <w:spacing w:after="0"/>
              <w:rPr>
                <w:sz w:val="20"/>
                <w:szCs w:val="20"/>
                <w:color w:val="auto"/>
              </w:rPr>
            </w:pPr>
            <w:r>
              <w:rPr>
                <w:rFonts w:ascii="Arial" w:cs="Arial" w:eastAsia="Arial" w:hAnsi="Arial"/>
                <w:sz w:val="14"/>
                <w:szCs w:val="14"/>
                <w:color w:val="auto"/>
              </w:rPr>
              <w:t>Free Cash Flow</w:t>
            </w:r>
          </w:p>
        </w:tc>
        <w:tc>
          <w:tcPr>
            <w:tcW w:w="1240" w:type="dxa"/>
            <w:vAlign w:val="bottom"/>
            <w:gridSpan w:val="3"/>
          </w:tcPr>
          <w:p>
            <w:pPr>
              <w:jc w:val="center"/>
              <w:spacing w:after="0"/>
              <w:rPr>
                <w:sz w:val="20"/>
                <w:szCs w:val="20"/>
                <w:color w:val="auto"/>
              </w:rPr>
            </w:pPr>
            <w:r>
              <w:rPr>
                <w:rFonts w:ascii="Arial" w:cs="Arial" w:eastAsia="Arial" w:hAnsi="Arial"/>
                <w:sz w:val="14"/>
                <w:szCs w:val="14"/>
                <w:color w:val="auto"/>
                <w:w w:val="90"/>
              </w:rPr>
              <w:t>15.0%</w:t>
            </w:r>
          </w:p>
        </w:tc>
        <w:tc>
          <w:tcPr>
            <w:tcW w:w="7000" w:type="dxa"/>
            <w:vAlign w:val="bottom"/>
            <w:gridSpan w:val="3"/>
          </w:tcPr>
          <w:p>
            <w:pPr>
              <w:ind w:left="160"/>
              <w:spacing w:after="0"/>
              <w:rPr>
                <w:sz w:val="20"/>
                <w:szCs w:val="20"/>
                <w:color w:val="auto"/>
              </w:rPr>
            </w:pPr>
            <w:r>
              <w:rPr>
                <w:rFonts w:ascii="Arial" w:cs="Arial" w:eastAsia="Arial" w:hAnsi="Arial"/>
                <w:sz w:val="14"/>
                <w:szCs w:val="14"/>
                <w:color w:val="auto"/>
              </w:rPr>
              <w:t>100% payout at set target, with 50% payout at 76.9% of target and 150% payout at 123.1% of target.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72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5</w:t>
            </w:r>
          </w:p>
        </w:tc>
        <w:tc>
          <w:tcPr>
            <w:tcW w:w="1860" w:type="dxa"/>
            <w:vAlign w:val="bottom"/>
            <w:gridSpan w:val="3"/>
            <w:shd w:val="clear" w:color="auto" w:fill="CFF0FC"/>
          </w:tcPr>
          <w:p>
            <w:pPr>
              <w:ind w:left="240"/>
              <w:spacing w:after="0" w:line="130" w:lineRule="exact"/>
              <w:rPr>
                <w:sz w:val="20"/>
                <w:szCs w:val="20"/>
                <w:color w:val="auto"/>
              </w:rPr>
            </w:pPr>
            <w:r>
              <w:rPr>
                <w:rFonts w:ascii="Arial" w:cs="Arial" w:eastAsia="Arial" w:hAnsi="Arial"/>
                <w:sz w:val="14"/>
                <w:szCs w:val="14"/>
                <w:color w:val="auto"/>
              </w:rPr>
              <w:t>Discretionary – Personal</w:t>
            </w:r>
          </w:p>
        </w:tc>
        <w:tc>
          <w:tcPr>
            <w:tcW w:w="1240" w:type="dxa"/>
            <w:vAlign w:val="bottom"/>
            <w:gridSpan w:val="3"/>
            <w:shd w:val="clear" w:color="auto" w:fill="CFF0FC"/>
          </w:tcPr>
          <w:p>
            <w:pPr>
              <w:jc w:val="center"/>
              <w:spacing w:after="0" w:line="130" w:lineRule="exact"/>
              <w:rPr>
                <w:sz w:val="20"/>
                <w:szCs w:val="20"/>
                <w:color w:val="auto"/>
              </w:rPr>
            </w:pPr>
            <w:r>
              <w:rPr>
                <w:rFonts w:ascii="Arial" w:cs="Arial" w:eastAsia="Arial" w:hAnsi="Arial"/>
                <w:sz w:val="14"/>
                <w:szCs w:val="14"/>
                <w:color w:val="auto"/>
                <w:w w:val="90"/>
              </w:rPr>
              <w:t>20.0%</w:t>
            </w:r>
          </w:p>
        </w:tc>
        <w:tc>
          <w:tcPr>
            <w:tcW w:w="7000" w:type="dxa"/>
            <w:vAlign w:val="bottom"/>
            <w:gridSpan w:val="3"/>
            <w:shd w:val="clear" w:color="auto" w:fill="CFF0FC"/>
          </w:tcPr>
          <w:p>
            <w:pPr>
              <w:ind w:left="160"/>
              <w:spacing w:after="0" w:line="130" w:lineRule="exact"/>
              <w:rPr>
                <w:sz w:val="20"/>
                <w:szCs w:val="20"/>
                <w:color w:val="auto"/>
              </w:rPr>
            </w:pPr>
            <w:r>
              <w:rPr>
                <w:rFonts w:ascii="Arial" w:cs="Arial" w:eastAsia="Arial" w:hAnsi="Arial"/>
                <w:sz w:val="14"/>
                <w:szCs w:val="14"/>
                <w:color w:val="auto"/>
                <w:w w:val="95"/>
              </w:rPr>
              <w:t>Discretionary, based upon individual performance, as evaluated by the CEO (except with respect to the CEO whose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Goals</w:t>
            </w:r>
          </w:p>
        </w:tc>
        <w:tc>
          <w:tcPr>
            <w:tcW w:w="4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00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individual performance will be evaluated by the Compensation Committee).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target levels for each performance metric are derived from the Company’s annual operating plan and budget for the fiscal year, and are intended to be achievable, with an approximate 50% probability. The likelihood of achieving the 2018 targets reflects the challenges inherent in achieving the goals and objectives of an ambitious operating plan and budget.</w:t>
      </w:r>
    </w:p>
    <w:p>
      <w:pPr>
        <w:spacing w:after="0" w:line="73"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color w:val="auto"/>
        </w:rPr>
        <w:t>For fiscal 2018, Mr. Levin’s participation in the annual incentive plan is at 100% of his annual salary (as stipulated in his employment contract), whereas Messrs. Stratton and Reaves, as Executive Vice Presidents, will participate at 55% of their respective salaries and Mr. Molloy, as a Senior Vice President, will participate at 40% of his salary.</w:t>
      </w:r>
    </w:p>
    <w:p>
      <w:pPr>
        <w:spacing w:after="0" w:line="181" w:lineRule="exact"/>
        <w:rPr>
          <w:sz w:val="20"/>
          <w:szCs w:val="20"/>
          <w:color w:val="auto"/>
        </w:rPr>
      </w:pPr>
    </w:p>
    <w:p>
      <w:pPr>
        <w:jc w:val="both"/>
        <w:ind w:left="340" w:right="60"/>
        <w:spacing w:after="0" w:line="254" w:lineRule="auto"/>
        <w:rPr>
          <w:sz w:val="20"/>
          <w:szCs w:val="20"/>
          <w:color w:val="auto"/>
        </w:rPr>
      </w:pPr>
      <w:r>
        <w:rPr>
          <w:rFonts w:ascii="Arial" w:cs="Arial" w:eastAsia="Arial" w:hAnsi="Arial"/>
          <w:sz w:val="18"/>
          <w:szCs w:val="18"/>
          <w:color w:val="auto"/>
        </w:rPr>
        <w:t>Assuming we achieve 100% of the 2018 AIP targets and each participant earns 100% of their individual performance target, the total payout under the 2018 AIP would be approximately $4.0 million, of which $1.4 million would be paid to Messrs. Levin, Stratton, Reaves and Molloy as set forth below. The remaining amount would be paid to approximately 90 other participants. The cost of the 2018 AIP is reflected in the Adjusted EBITDA metric for the 2018 AIP.</w:t>
      </w:r>
    </w:p>
    <w:tbl>
      <w:tblPr>
        <w:tblLayout w:type="fixed"/>
        <w:tblInd w:w="400" w:type="dxa"/>
        <w:tblCellMar>
          <w:top w:w="0" w:type="dxa"/>
          <w:left w:w="0" w:type="dxa"/>
          <w:bottom w:w="0" w:type="dxa"/>
          <w:right w:w="0" w:type="dxa"/>
        </w:tblCellMar>
      </w:tblPr>
      <w:tr>
        <w:trPr>
          <w:trHeight w:val="152"/>
        </w:trPr>
        <w:tc>
          <w:tcPr>
            <w:tcW w:w="8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85"/>
              </w:rPr>
              <w:t>Fiscal 2018</w:t>
            </w: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Potential Payout</w:t>
            </w:r>
          </w:p>
        </w:tc>
      </w:tr>
      <w:tr>
        <w:trPr>
          <w:trHeight w:val="161"/>
        </w:trPr>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at Target</w:t>
            </w:r>
          </w:p>
        </w:tc>
      </w:tr>
      <w:tr>
        <w:trPr>
          <w:trHeight w:val="223"/>
        </w:trPr>
        <w:tc>
          <w:tcPr>
            <w:tcW w:w="8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217,250</w:t>
            </w:r>
          </w:p>
        </w:tc>
        <w:tc>
          <w:tcPr>
            <w:tcW w:w="8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220,000</w:t>
            </w:r>
          </w:p>
        </w:tc>
        <w:tc>
          <w:tcPr>
            <w:tcW w:w="8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480" w:hanging="259"/>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52"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97" w:lineRule="exact"/>
        <w:rPr>
          <w:rFonts w:ascii="Arial" w:cs="Arial" w:eastAsia="Arial" w:hAnsi="Arial"/>
          <w:sz w:val="18"/>
          <w:szCs w:val="18"/>
          <w:color w:val="auto"/>
        </w:rPr>
      </w:pPr>
    </w:p>
    <w:p>
      <w:pPr>
        <w:ind w:left="460" w:right="40"/>
        <w:spacing w:after="0" w:line="255" w:lineRule="auto"/>
        <w:rPr>
          <w:rFonts w:ascii="Arial" w:cs="Arial" w:eastAsia="Arial" w:hAnsi="Arial"/>
          <w:sz w:val="18"/>
          <w:szCs w:val="18"/>
          <w:color w:val="auto"/>
        </w:rPr>
      </w:pPr>
      <w:r>
        <w:rPr>
          <w:rFonts w:ascii="Arial" w:cs="Arial" w:eastAsia="Arial" w:hAnsi="Arial"/>
          <w:sz w:val="18"/>
          <w:szCs w:val="18"/>
          <w:color w:val="auto"/>
        </w:rPr>
        <w:t>In March 2016, the Compensation Committee approved the Destination XL Group, Inc. Long-Term Incentive Plan (“LTIP”). Under the terms of that LTIP, which govern the “2016-2017 LTIP” and “2017-2018 LTIP” discussed below, the Compensation Committee established performance targets covering two overlapping two-year performance periods (each a “Performance Period”). No performance targets have been established for the 2018-2019 performance period, because it is the Compensation Committee’s intention to amend the current LTIP to increase the performance period from two-years to three-years. In addition, because no LTIP plan has been approved for fiscal 2018, there has been no grant of time-based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208280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5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2-year LTIP</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is entitled to receive an award based on his or her “Target Cash Value” which is defined as the participant’s annual base salary (on the participant’s effective date) multiplied by his or her LTIP percentage, which is 100% for the Company’s CEO and 70% for other senior executives.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each participant, 50% of the Target Cash Value is subject to time-based vesting and 50% is subject to performance-based vesting. In addition to being subject to forfeiture, the time-based vesting portion of the award vests in two installments with 50% vesting on April 1 following the fiscal year-end which marks the end of the applicable Performance Period and 50% vesting on April 1 of the succeeding year. The performance-based vesting portion of the award is subject to the achievement of the performance target(s) for the applicable Performance Period. Any award for performance will be granted after the end of the Performance Period and will vest on August 31 following the end of the applicable Performance Period. There is no opportunity to earn any awards for performance in the first year of a Performance Period.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2016-2017 Performance Period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15, 2016, the Compensation Committee established two performance targets for the 2016-2017 Performance Period under the LTIP (the “2016-2017 LTIP”), each weighted 50%, and further approved that all awards under the 2016-2017 LTIP would be issued in restricted stock units (“RSUs”). The following is a summary of the performance targets under the 2016-2017 Performance Period and actual performance achieved:</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356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3560" w:type="dxa"/>
            <w:vAlign w:val="bottom"/>
            <w:gridSpan w:val="3"/>
            <w:vMerge w:val="continue"/>
          </w:tcPr>
          <w:p>
            <w:pPr>
              <w:spacing w:after="0"/>
              <w:rPr>
                <w:sz w:val="12"/>
                <w:szCs w:val="12"/>
                <w:color w:val="auto"/>
              </w:rPr>
            </w:pPr>
          </w:p>
        </w:tc>
        <w:tc>
          <w:tcPr>
            <w:tcW w:w="12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2017 Target</w:t>
            </w:r>
          </w:p>
        </w:tc>
        <w:tc>
          <w:tcPr>
            <w:tcW w:w="2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2017 Actual</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3"/>
              </w:rPr>
              <w:t>to Target</w:t>
            </w:r>
          </w:p>
        </w:tc>
        <w:tc>
          <w:tcPr>
            <w:tcW w:w="3560" w:type="dxa"/>
            <w:vAlign w:val="bottom"/>
            <w:gridSpan w:val="3"/>
          </w:tcPr>
          <w:p>
            <w:pPr>
              <w:ind w:left="1220"/>
              <w:spacing w:after="0" w:line="158" w:lineRule="exact"/>
              <w:rPr>
                <w:sz w:val="20"/>
                <w:szCs w:val="20"/>
                <w:color w:val="auto"/>
              </w:rPr>
            </w:pPr>
            <w:r>
              <w:rPr>
                <w:rFonts w:ascii="Arial" w:cs="Arial" w:eastAsia="Arial" w:hAnsi="Arial"/>
                <w:sz w:val="14"/>
                <w:szCs w:val="14"/>
                <w:b w:val="1"/>
                <w:bCs w:val="1"/>
                <w:color w:val="auto"/>
              </w:rPr>
              <w:t>Potential Payout</w:t>
            </w:r>
          </w:p>
        </w:tc>
        <w:tc>
          <w:tcPr>
            <w:tcW w:w="12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2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1280" w:type="dxa"/>
            <w:vAlign w:val="bottom"/>
            <w:gridSpan w:val="3"/>
            <w:shd w:val="clear" w:color="auto" w:fill="CFF0FC"/>
          </w:tcPr>
          <w:p>
            <w:pPr>
              <w:ind w:left="120"/>
              <w:spacing w:after="0" w:line="123" w:lineRule="exact"/>
              <w:rPr>
                <w:sz w:val="20"/>
                <w:szCs w:val="20"/>
                <w:color w:val="auto"/>
              </w:rPr>
            </w:pPr>
            <w:r>
              <w:rPr>
                <w:rFonts w:ascii="Arial" w:cs="Arial" w:eastAsia="Arial" w:hAnsi="Arial"/>
                <w:sz w:val="14"/>
                <w:szCs w:val="14"/>
                <w:color w:val="auto"/>
              </w:rPr>
              <w:t>Adjusted EBITDA</w:t>
            </w:r>
          </w:p>
        </w:tc>
        <w:tc>
          <w:tcPr>
            <w:tcW w:w="720" w:type="dxa"/>
            <w:vAlign w:val="bottom"/>
            <w:gridSpan w:val="2"/>
            <w:shd w:val="clear" w:color="auto" w:fill="CFF0FC"/>
          </w:tcPr>
          <w:p>
            <w:pPr>
              <w:jc w:val="center"/>
              <w:ind w:left="88"/>
              <w:spacing w:after="0" w:line="123" w:lineRule="exact"/>
              <w:rPr>
                <w:sz w:val="20"/>
                <w:szCs w:val="20"/>
                <w:color w:val="auto"/>
              </w:rPr>
            </w:pPr>
            <w:r>
              <w:rPr>
                <w:rFonts w:ascii="Arial" w:cs="Arial" w:eastAsia="Arial" w:hAnsi="Arial"/>
                <w:sz w:val="14"/>
                <w:szCs w:val="14"/>
                <w:color w:val="auto"/>
                <w:w w:val="90"/>
              </w:rPr>
              <w:t>50.0%</w:t>
            </w:r>
          </w:p>
        </w:tc>
        <w:tc>
          <w:tcPr>
            <w:tcW w:w="160" w:type="dxa"/>
            <w:vAlign w:val="bottom"/>
            <w:shd w:val="clear" w:color="auto" w:fill="CFF0FC"/>
          </w:tcPr>
          <w:p>
            <w:pPr>
              <w:spacing w:after="0"/>
              <w:rPr>
                <w:sz w:val="10"/>
                <w:szCs w:val="10"/>
                <w:color w:val="auto"/>
              </w:rPr>
            </w:pPr>
          </w:p>
        </w:tc>
        <w:tc>
          <w:tcPr>
            <w:tcW w:w="356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set target, with 50% payout at 85.0% of</w:t>
            </w:r>
          </w:p>
        </w:tc>
        <w:tc>
          <w:tcPr>
            <w:tcW w:w="1240" w:type="dxa"/>
            <w:vAlign w:val="bottom"/>
            <w:gridSpan w:val="3"/>
            <w:shd w:val="clear" w:color="auto" w:fill="CFF0FC"/>
          </w:tcPr>
          <w:p>
            <w:pPr>
              <w:jc w:val="center"/>
              <w:ind w:right="60"/>
              <w:spacing w:after="0" w:line="123" w:lineRule="exact"/>
              <w:rPr>
                <w:sz w:val="20"/>
                <w:szCs w:val="20"/>
                <w:color w:val="auto"/>
              </w:rPr>
            </w:pPr>
            <w:r>
              <w:rPr>
                <w:rFonts w:ascii="Arial" w:cs="Arial" w:eastAsia="Arial" w:hAnsi="Arial"/>
                <w:sz w:val="14"/>
                <w:szCs w:val="14"/>
                <w:color w:val="auto"/>
                <w:w w:val="99"/>
              </w:rPr>
              <w:t>$41.9 million</w:t>
            </w:r>
          </w:p>
        </w:tc>
        <w:tc>
          <w:tcPr>
            <w:tcW w:w="1380" w:type="dxa"/>
            <w:vAlign w:val="bottom"/>
            <w:gridSpan w:val="3"/>
            <w:shd w:val="clear" w:color="auto" w:fill="CFF0FC"/>
          </w:tcPr>
          <w:p>
            <w:pPr>
              <w:jc w:val="center"/>
              <w:ind w:right="120"/>
              <w:spacing w:after="0" w:line="123" w:lineRule="exact"/>
              <w:rPr>
                <w:sz w:val="20"/>
                <w:szCs w:val="20"/>
                <w:color w:val="auto"/>
              </w:rPr>
            </w:pPr>
            <w:r>
              <w:rPr>
                <w:rFonts w:ascii="Arial" w:cs="Arial" w:eastAsia="Arial" w:hAnsi="Arial"/>
                <w:sz w:val="14"/>
                <w:szCs w:val="14"/>
                <w:color w:val="auto"/>
                <w:w w:val="99"/>
              </w:rPr>
              <w:t>$17.1 million</w:t>
            </w:r>
          </w:p>
        </w:tc>
        <w:tc>
          <w:tcPr>
            <w:tcW w:w="780" w:type="dxa"/>
            <w:vAlign w:val="bottom"/>
            <w:gridSpan w:val="2"/>
            <w:shd w:val="clear" w:color="auto" w:fill="CFF0FC"/>
          </w:tcPr>
          <w:p>
            <w:pPr>
              <w:jc w:val="right"/>
              <w:ind w:right="420"/>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56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set target and 150% payout at 115.0%.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28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DXL Comparable</w:t>
            </w:r>
          </w:p>
        </w:tc>
        <w:tc>
          <w:tcPr>
            <w:tcW w:w="7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w w:val="90"/>
              </w:rPr>
              <w:t>50.0%</w:t>
            </w:r>
          </w:p>
        </w:tc>
        <w:tc>
          <w:tcPr>
            <w:tcW w:w="160" w:type="dxa"/>
            <w:vAlign w:val="bottom"/>
          </w:tcPr>
          <w:p>
            <w:pPr>
              <w:spacing w:after="0"/>
              <w:rPr>
                <w:sz w:val="11"/>
                <w:szCs w:val="11"/>
                <w:color w:val="auto"/>
              </w:rPr>
            </w:pPr>
          </w:p>
        </w:tc>
        <w:tc>
          <w:tcPr>
            <w:tcW w:w="3560" w:type="dxa"/>
            <w:vAlign w:val="bottom"/>
            <w:gridSpan w:val="3"/>
          </w:tcPr>
          <w:p>
            <w:pPr>
              <w:ind w:left="60"/>
              <w:spacing w:after="0" w:line="130" w:lineRule="exact"/>
              <w:rPr>
                <w:sz w:val="20"/>
                <w:szCs w:val="20"/>
                <w:color w:val="auto"/>
              </w:rPr>
            </w:pPr>
            <w:r>
              <w:rPr>
                <w:rFonts w:ascii="Arial" w:cs="Arial" w:eastAsia="Arial" w:hAnsi="Arial"/>
                <w:sz w:val="14"/>
                <w:szCs w:val="14"/>
                <w:color w:val="auto"/>
                <w:w w:val="98"/>
              </w:rPr>
              <w:t>100% payout out at set target, with 50% payout at 92.3%</w:t>
            </w:r>
          </w:p>
        </w:tc>
        <w:tc>
          <w:tcPr>
            <w:tcW w:w="960" w:type="dxa"/>
            <w:vAlign w:val="bottom"/>
            <w:gridSpan w:val="2"/>
          </w:tcPr>
          <w:p>
            <w:pPr>
              <w:jc w:val="center"/>
              <w:ind w:left="148"/>
              <w:spacing w:after="0" w:line="130" w:lineRule="exact"/>
              <w:rPr>
                <w:sz w:val="20"/>
                <w:szCs w:val="20"/>
                <w:color w:val="auto"/>
              </w:rPr>
            </w:pPr>
            <w:r>
              <w:rPr>
                <w:rFonts w:ascii="Arial" w:cs="Arial" w:eastAsia="Arial" w:hAnsi="Arial"/>
                <w:sz w:val="14"/>
                <w:szCs w:val="14"/>
                <w:color w:val="auto"/>
                <w:w w:val="95"/>
              </w:rPr>
              <w:t>65.0%</w:t>
            </w:r>
          </w:p>
        </w:tc>
        <w:tc>
          <w:tcPr>
            <w:tcW w:w="280" w:type="dxa"/>
            <w:vAlign w:val="bottom"/>
          </w:tcPr>
          <w:p>
            <w:pPr>
              <w:spacing w:after="0"/>
              <w:rPr>
                <w:sz w:val="11"/>
                <w:szCs w:val="11"/>
                <w:color w:val="auto"/>
              </w:rPr>
            </w:pPr>
          </w:p>
        </w:tc>
        <w:tc>
          <w:tcPr>
            <w:tcW w:w="1000" w:type="dxa"/>
            <w:vAlign w:val="bottom"/>
            <w:gridSpan w:val="2"/>
          </w:tcPr>
          <w:p>
            <w:pPr>
              <w:jc w:val="center"/>
              <w:ind w:left="208"/>
              <w:spacing w:after="0" w:line="130" w:lineRule="exact"/>
              <w:rPr>
                <w:sz w:val="20"/>
                <w:szCs w:val="20"/>
                <w:color w:val="auto"/>
              </w:rPr>
            </w:pPr>
            <w:r>
              <w:rPr>
                <w:rFonts w:ascii="Arial" w:cs="Arial" w:eastAsia="Arial" w:hAnsi="Arial"/>
                <w:sz w:val="14"/>
                <w:szCs w:val="14"/>
                <w:color w:val="auto"/>
                <w:w w:val="90"/>
              </w:rPr>
              <w:t>60.4%</w:t>
            </w:r>
          </w:p>
        </w:tc>
        <w:tc>
          <w:tcPr>
            <w:tcW w:w="380" w:type="dxa"/>
            <w:vAlign w:val="bottom"/>
          </w:tcPr>
          <w:p>
            <w:pPr>
              <w:spacing w:after="0"/>
              <w:rPr>
                <w:sz w:val="11"/>
                <w:szCs w:val="11"/>
                <w:color w:val="auto"/>
              </w:rPr>
            </w:pPr>
          </w:p>
        </w:tc>
        <w:tc>
          <w:tcPr>
            <w:tcW w:w="600" w:type="dxa"/>
            <w:vAlign w:val="bottom"/>
          </w:tcPr>
          <w:p>
            <w:pPr>
              <w:jc w:val="right"/>
              <w:ind w:right="48"/>
              <w:spacing w:after="0" w:line="130" w:lineRule="exact"/>
              <w:rPr>
                <w:sz w:val="20"/>
                <w:szCs w:val="20"/>
                <w:color w:val="auto"/>
              </w:rPr>
            </w:pPr>
            <w:r>
              <w:rPr>
                <w:rFonts w:ascii="Arial" w:cs="Arial" w:eastAsia="Arial" w:hAnsi="Arial"/>
                <w:sz w:val="14"/>
                <w:szCs w:val="14"/>
                <w:color w:val="auto"/>
              </w:rPr>
              <w:t>54.4%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Store Marginal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of set target and 150% payout at 107.7%.</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Cash-Over-Cash</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color w:val="auto"/>
              </w:rPr>
              <w:t>Return*</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60" w:right="20" w:firstLine="8"/>
        <w:spacing w:after="0" w:line="253" w:lineRule="auto"/>
        <w:tabs>
          <w:tab w:leader="none" w:pos="39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DXL Comparable Store Marginal Cash-Over-Cash Return is defined as the aggregate of each comparable DXL store’s four-wall cash flow for fiscal 2017 divided by the aggregate capital investment, net of any tenant allowance, for each comparable DXL store.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minimum threshold for the EBITDA target was not achieved, but the Company did achieve its DXL Comparable Store Marginal Cash-Over-Cash Return for a payout of 54.4% of target, resulting in a blended payout of performance-based compensation of 27.2% of target. Accordingly, subsequent to the end of fiscal 2017, on March 21, 2018 the Compensation Committee approved the grant of RSU awards totaling $0.5 million, with a grant date of April 2, 2018, with $0.3 million of that amount being awarded to the Named Executive Officers. The awards are subject to further vesting through August 31, 2018.</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2017-2018 Performance Period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2017, the Compensation Committee established two performance targets under the LTIP (the “2017-2018 LTIP”), each weighted 50%, and further approved that all awards under the 2017-2018 LTIP would be issued in RSUs. The performance targets for the 2017-2018 Performance Period are:</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422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3"/>
            <w:vMerge w:val="restart"/>
          </w:tcPr>
          <w:p>
            <w:pPr>
              <w:ind w:left="2420"/>
              <w:spacing w:after="0"/>
              <w:rPr>
                <w:sz w:val="20"/>
                <w:szCs w:val="20"/>
                <w:color w:val="auto"/>
              </w:rPr>
            </w:pPr>
            <w:r>
              <w:rPr>
                <w:rFonts w:ascii="Arial" w:cs="Arial" w:eastAsia="Arial" w:hAnsi="Arial"/>
                <w:sz w:val="14"/>
                <w:szCs w:val="14"/>
                <w:b w:val="1"/>
                <w:bCs w:val="1"/>
                <w:color w:val="auto"/>
              </w:rPr>
              <w:t>Metric</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4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to Target</w:t>
            </w:r>
          </w:p>
        </w:tc>
        <w:tc>
          <w:tcPr>
            <w:tcW w:w="4220" w:type="dxa"/>
            <w:vAlign w:val="bottom"/>
            <w:gridSpan w:val="3"/>
          </w:tcPr>
          <w:p>
            <w:pPr>
              <w:ind w:left="1220"/>
              <w:spacing w:after="0" w:line="158"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4580" w:type="dxa"/>
            <w:vAlign w:val="bottom"/>
            <w:gridSpan w:val="3"/>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 xml:space="preserve">Target 1   </w:t>
            </w:r>
            <w:r>
              <w:rPr>
                <w:rFonts w:ascii="Arial" w:cs="Arial" w:eastAsia="Arial" w:hAnsi="Arial"/>
                <w:sz w:val="14"/>
                <w:szCs w:val="14"/>
                <w:color w:val="auto"/>
              </w:rPr>
              <w:t>Total Company Comparable Sales</w:t>
            </w:r>
          </w:p>
        </w:tc>
        <w:tc>
          <w:tcPr>
            <w:tcW w:w="720" w:type="dxa"/>
            <w:vAlign w:val="bottom"/>
            <w:gridSpan w:val="2"/>
            <w:shd w:val="clear" w:color="auto" w:fill="CFF0FC"/>
          </w:tcPr>
          <w:p>
            <w:pPr>
              <w:jc w:val="center"/>
              <w:ind w:left="88"/>
              <w:spacing w:after="0" w:line="123" w:lineRule="exact"/>
              <w:rPr>
                <w:sz w:val="20"/>
                <w:szCs w:val="20"/>
                <w:color w:val="auto"/>
              </w:rPr>
            </w:pPr>
            <w:r>
              <w:rPr>
                <w:rFonts w:ascii="Arial" w:cs="Arial" w:eastAsia="Arial" w:hAnsi="Arial"/>
                <w:sz w:val="14"/>
                <w:szCs w:val="14"/>
                <w:color w:val="auto"/>
                <w:w w:val="90"/>
              </w:rPr>
              <w:t>50.0%</w:t>
            </w:r>
          </w:p>
        </w:tc>
        <w:tc>
          <w:tcPr>
            <w:tcW w:w="160" w:type="dxa"/>
            <w:vAlign w:val="bottom"/>
            <w:shd w:val="clear" w:color="auto" w:fill="CFF0FC"/>
          </w:tcPr>
          <w:p>
            <w:pPr>
              <w:spacing w:after="0"/>
              <w:rPr>
                <w:sz w:val="10"/>
                <w:szCs w:val="10"/>
                <w:color w:val="auto"/>
              </w:rPr>
            </w:pPr>
          </w:p>
        </w:tc>
        <w:tc>
          <w:tcPr>
            <w:tcW w:w="422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set target, with 50% payout at 60.6%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3"/>
            <w:shd w:val="clear" w:color="auto" w:fill="CFF0FC"/>
          </w:tcPr>
          <w:p>
            <w:pPr>
              <w:ind w:left="720"/>
              <w:spacing w:after="0" w:line="149" w:lineRule="exact"/>
              <w:rPr>
                <w:sz w:val="20"/>
                <w:szCs w:val="20"/>
                <w:color w:val="auto"/>
              </w:rPr>
            </w:pPr>
            <w:r>
              <w:rPr>
                <w:rFonts w:ascii="Arial" w:cs="Arial" w:eastAsia="Arial" w:hAnsi="Arial"/>
                <w:sz w:val="14"/>
                <w:szCs w:val="14"/>
                <w:color w:val="auto"/>
                <w:w w:val="94"/>
              </w:rPr>
              <w:t>(Two-year stack, which is the sum of Total Company Comparable</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2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set target and 150% payout at 136.4%.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3"/>
            <w:shd w:val="clear" w:color="auto" w:fill="CFF0FC"/>
          </w:tcPr>
          <w:p>
            <w:pPr>
              <w:ind w:left="720"/>
              <w:spacing w:after="0" w:line="149" w:lineRule="exact"/>
              <w:rPr>
                <w:sz w:val="20"/>
                <w:szCs w:val="20"/>
                <w:color w:val="auto"/>
              </w:rPr>
            </w:pPr>
            <w:r>
              <w:rPr>
                <w:rFonts w:ascii="Arial" w:cs="Arial" w:eastAsia="Arial" w:hAnsi="Arial"/>
                <w:sz w:val="14"/>
                <w:szCs w:val="14"/>
                <w:color w:val="auto"/>
              </w:rPr>
              <w:t>Sales for fiscal 2017 and fiscal 2018, with an annual minimum</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shd w:val="clear" w:color="auto" w:fill="CFF0FC"/>
          </w:tcPr>
          <w:p>
            <w:pPr>
              <w:ind w:left="720"/>
              <w:spacing w:after="0"/>
              <w:rPr>
                <w:sz w:val="20"/>
                <w:szCs w:val="20"/>
                <w:color w:val="auto"/>
              </w:rPr>
            </w:pPr>
            <w:r>
              <w:rPr>
                <w:rFonts w:ascii="Arial" w:cs="Arial" w:eastAsia="Arial" w:hAnsi="Arial"/>
                <w:sz w:val="14"/>
                <w:szCs w:val="14"/>
                <w:color w:val="auto"/>
              </w:rPr>
              <w:t>comp requirement in fiscal 2018)</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58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 xml:space="preserve">Target 2   </w:t>
            </w:r>
            <w:r>
              <w:rPr>
                <w:rFonts w:ascii="Arial" w:cs="Arial" w:eastAsia="Arial" w:hAnsi="Arial"/>
                <w:sz w:val="14"/>
                <w:szCs w:val="14"/>
                <w:color w:val="auto"/>
              </w:rPr>
              <w:t>Modified ROIC (Operating Income divided by Invested Capital,</w:t>
            </w:r>
          </w:p>
        </w:tc>
        <w:tc>
          <w:tcPr>
            <w:tcW w:w="7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w w:val="90"/>
              </w:rPr>
              <w:t>50.0%</w:t>
            </w:r>
          </w:p>
        </w:tc>
        <w:tc>
          <w:tcPr>
            <w:tcW w:w="160" w:type="dxa"/>
            <w:vAlign w:val="bottom"/>
          </w:tcPr>
          <w:p>
            <w:pPr>
              <w:spacing w:after="0"/>
              <w:rPr>
                <w:sz w:val="11"/>
                <w:szCs w:val="11"/>
                <w:color w:val="auto"/>
              </w:rPr>
            </w:pPr>
          </w:p>
        </w:tc>
        <w:tc>
          <w:tcPr>
            <w:tcW w:w="42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at set target, with 50% payout at 31.3%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3"/>
          </w:tcPr>
          <w:p>
            <w:pPr>
              <w:ind w:left="720"/>
              <w:spacing w:after="0" w:line="149" w:lineRule="exact"/>
              <w:rPr>
                <w:sz w:val="20"/>
                <w:szCs w:val="20"/>
                <w:color w:val="auto"/>
              </w:rPr>
            </w:pPr>
            <w:r>
              <w:rPr>
                <w:rFonts w:ascii="Arial" w:cs="Arial" w:eastAsia="Arial" w:hAnsi="Arial"/>
                <w:sz w:val="14"/>
                <w:szCs w:val="14"/>
                <w:color w:val="auto"/>
                <w:w w:val="94"/>
              </w:rPr>
              <w:t>defined as Total Debt plus Stockholders’ Equity and excludes any</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set target and 150% payout at 171.9%.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tcPr>
          <w:p>
            <w:pPr>
              <w:ind w:left="720"/>
              <w:spacing w:after="0"/>
              <w:rPr>
                <w:sz w:val="20"/>
                <w:szCs w:val="20"/>
                <w:color w:val="auto"/>
              </w:rPr>
            </w:pPr>
            <w:r>
              <w:rPr>
                <w:rFonts w:ascii="Arial" w:cs="Arial" w:eastAsia="Arial" w:hAnsi="Arial"/>
                <w:sz w:val="14"/>
                <w:szCs w:val="14"/>
                <w:color w:val="auto"/>
              </w:rPr>
              <w:t>deduction of Cash)</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208280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37" w:right="239" w:bottom="1440" w:gutter="0" w:footer="0" w:header="0"/>
        </w:sectPr>
      </w:pPr>
    </w:p>
    <w:bookmarkStart w:id="15" w:name="page16"/>
    <w:bookmarkEnd w:id="15"/>
    <w:p>
      <w:pPr>
        <w:jc w:val="both"/>
        <w:ind w:left="620"/>
        <w:spacing w:after="0" w:line="264" w:lineRule="auto"/>
        <w:rPr>
          <w:sz w:val="20"/>
          <w:szCs w:val="20"/>
          <w:color w:val="auto"/>
        </w:rPr>
      </w:pPr>
      <w:r>
        <w:rPr>
          <w:rFonts w:ascii="Arial" w:cs="Arial" w:eastAsia="Arial" w:hAnsi="Arial"/>
          <w:sz w:val="18"/>
          <w:szCs w:val="18"/>
          <w:color w:val="auto"/>
        </w:rPr>
        <w:t>For the 2017-2018 Performance Period, the metrics reflect the Company’s initiatives to drive comparable sales through increased customer acquisition and retention while earning an acceptable return on the capital invested in the business. As with our AIP and 2016-2017 LTIP, we will disclose our targets under the 2017-2018 LTIP once the performance period has ended.</w:t>
      </w:r>
    </w:p>
    <w:p>
      <w:pPr>
        <w:spacing w:after="0" w:line="73" w:lineRule="exact"/>
        <w:rPr>
          <w:sz w:val="20"/>
          <w:szCs w:val="20"/>
          <w:color w:val="auto"/>
        </w:rPr>
      </w:pPr>
    </w:p>
    <w:p>
      <w:pPr>
        <w:jc w:val="both"/>
        <w:ind w:left="620" w:right="20"/>
        <w:spacing w:after="0" w:line="277" w:lineRule="auto"/>
        <w:rPr>
          <w:sz w:val="20"/>
          <w:szCs w:val="20"/>
          <w:color w:val="auto"/>
        </w:rPr>
      </w:pPr>
      <w:r>
        <w:rPr>
          <w:rFonts w:ascii="Arial" w:cs="Arial" w:eastAsia="Arial" w:hAnsi="Arial"/>
          <w:sz w:val="18"/>
          <w:szCs w:val="18"/>
          <w:color w:val="auto"/>
        </w:rPr>
        <w:t>The following table illustrates the components of the LTIP with the respective vesting dates, illustrating that the time-based portion of the LTIP acts as a retention tool: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 of</w:t>
            </w:r>
          </w:p>
        </w:tc>
        <w:tc>
          <w:tcPr>
            <w:tcW w:w="2860" w:type="dxa"/>
            <w:vAlign w:val="bottom"/>
            <w:gridSpan w:val="6"/>
          </w:tcPr>
          <w:p>
            <w:pPr>
              <w:jc w:val="right"/>
              <w:ind w:right="540"/>
              <w:spacing w:after="0"/>
              <w:rPr>
                <w:sz w:val="20"/>
                <w:szCs w:val="20"/>
                <w:color w:val="auto"/>
              </w:rPr>
            </w:pPr>
            <w:r>
              <w:rPr>
                <w:rFonts w:ascii="Arial" w:cs="Arial" w:eastAsia="Arial" w:hAnsi="Arial"/>
                <w:sz w:val="14"/>
                <w:szCs w:val="14"/>
                <w:color w:val="auto"/>
              </w:rPr>
              <w:t>Vesting of Awards by Fiscal Year:</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tcPr>
          <w:p>
            <w:pPr>
              <w:jc w:val="right"/>
              <w:ind w:right="168"/>
              <w:spacing w:after="0"/>
              <w:rPr>
                <w:sz w:val="20"/>
                <w:szCs w:val="20"/>
                <w:color w:val="auto"/>
              </w:rPr>
            </w:pPr>
            <w:r>
              <w:rPr>
                <w:rFonts w:ascii="Arial" w:cs="Arial" w:eastAsia="Arial" w:hAnsi="Arial"/>
                <w:sz w:val="14"/>
                <w:szCs w:val="14"/>
                <w:color w:val="auto"/>
              </w:rPr>
              <w:t>Approval date</w:t>
            </w:r>
          </w:p>
        </w:tc>
        <w:tc>
          <w:tcPr>
            <w:tcW w:w="80" w:type="dxa"/>
            <w:vAlign w:val="bottom"/>
          </w:tcPr>
          <w:p>
            <w:pPr>
              <w:spacing w:after="0"/>
              <w:rPr>
                <w:sz w:val="14"/>
                <w:szCs w:val="14"/>
                <w:color w:val="auto"/>
              </w:rPr>
            </w:pPr>
          </w:p>
        </w:tc>
        <w:tc>
          <w:tcPr>
            <w:tcW w:w="5880" w:type="dxa"/>
            <w:vAlign w:val="bottom"/>
            <w:gridSpan w:val="2"/>
          </w:tcPr>
          <w:p>
            <w:pPr>
              <w:ind w:left="2320"/>
              <w:spacing w:after="0"/>
              <w:rPr>
                <w:sz w:val="20"/>
                <w:szCs w:val="20"/>
                <w:color w:val="auto"/>
              </w:rPr>
            </w:pPr>
            <w:r>
              <w:rPr>
                <w:rFonts w:ascii="Arial" w:cs="Arial" w:eastAsia="Arial" w:hAnsi="Arial"/>
                <w:sz w:val="14"/>
                <w:szCs w:val="14"/>
                <w:color w:val="auto"/>
              </w:rPr>
              <w:t>Performance Period</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total award</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Fiscal 2018</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Fiscal 2019</w:t>
            </w: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Fiscal 2020</w:t>
            </w:r>
          </w:p>
        </w:tc>
        <w:tc>
          <w:tcPr>
            <w:tcW w:w="0" w:type="dxa"/>
            <w:vAlign w:val="bottom"/>
          </w:tcPr>
          <w:p>
            <w:pPr>
              <w:spacing w:after="0"/>
              <w:rPr>
                <w:sz w:val="1"/>
                <w:szCs w:val="1"/>
                <w:color w:val="auto"/>
              </w:rPr>
            </w:pPr>
          </w:p>
        </w:tc>
      </w:tr>
      <w:tr>
        <w:trPr>
          <w:trHeight w:val="156"/>
        </w:trPr>
        <w:tc>
          <w:tcPr>
            <w:tcW w:w="1260" w:type="dxa"/>
            <w:vAlign w:val="bottom"/>
            <w:tcBorders>
              <w:top w:val="single" w:sz="8" w:color="auto"/>
            </w:tcBorders>
            <w:shd w:val="clear" w:color="auto" w:fill="CFF0FC"/>
          </w:tcPr>
          <w:p>
            <w:pPr>
              <w:jc w:val="right"/>
              <w:ind w:right="608"/>
              <w:spacing w:after="0" w:line="155" w:lineRule="exact"/>
              <w:rPr>
                <w:sz w:val="20"/>
                <w:szCs w:val="20"/>
                <w:color w:val="auto"/>
              </w:rPr>
            </w:pPr>
            <w:r>
              <w:rPr>
                <w:rFonts w:ascii="Arial" w:cs="Arial" w:eastAsia="Arial" w:hAnsi="Arial"/>
                <w:sz w:val="14"/>
                <w:szCs w:val="14"/>
                <w:color w:val="auto"/>
                <w:w w:val="89"/>
              </w:rPr>
              <w:t>3/15/2016</w:t>
            </w:r>
          </w:p>
        </w:tc>
        <w:tc>
          <w:tcPr>
            <w:tcW w:w="80" w:type="dxa"/>
            <w:vAlign w:val="bottom"/>
            <w:tcBorders>
              <w:top w:val="single" w:sz="8" w:color="CFF0FC"/>
            </w:tcBorders>
            <w:shd w:val="clear" w:color="auto" w:fill="CFF0FC"/>
          </w:tcPr>
          <w:p>
            <w:pPr>
              <w:spacing w:after="0"/>
              <w:rPr>
                <w:sz w:val="13"/>
                <w:szCs w:val="13"/>
                <w:color w:val="auto"/>
              </w:rPr>
            </w:pPr>
          </w:p>
        </w:tc>
        <w:tc>
          <w:tcPr>
            <w:tcW w:w="58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2016-2017 LTIP</w:t>
            </w:r>
          </w:p>
        </w:tc>
        <w:tc>
          <w:tcPr>
            <w:tcW w:w="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9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89"/>
              </w:rPr>
              <w:t>3/31/2017</w:t>
            </w:r>
          </w:p>
        </w:tc>
        <w:tc>
          <w:tcPr>
            <w:tcW w:w="596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2017-2018 LTIP</w:t>
            </w: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80" w:type="dxa"/>
            <w:vAlign w:val="bottom"/>
            <w:gridSpan w:val="2"/>
          </w:tcPr>
          <w:p>
            <w:pPr>
              <w:ind w:left="120"/>
              <w:spacing w:after="0"/>
              <w:rPr>
                <w:sz w:val="20"/>
                <w:szCs w:val="20"/>
                <w:color w:val="auto"/>
              </w:rPr>
            </w:pPr>
            <w:r>
              <w:rPr>
                <w:rFonts w:ascii="Arial" w:cs="Arial" w:eastAsia="Arial" w:hAnsi="Arial"/>
                <w:sz w:val="14"/>
                <w:szCs w:val="14"/>
                <w:color w:val="auto"/>
              </w:rPr>
              <w:t>Time-Based Awards, vests April 1, subject to forfeiture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Performance-Based Awards, vests August 31, if achieved</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w:t>
            </w:r>
          </w:p>
        </w:tc>
        <w:tc>
          <w:tcPr>
            <w:tcW w:w="98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20" w:hanging="25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8" w:lineRule="exact"/>
        <w:rPr>
          <w:rFonts w:ascii="Arial" w:cs="Arial" w:eastAsia="Arial" w:hAnsi="Arial"/>
          <w:sz w:val="18"/>
          <w:szCs w:val="18"/>
          <w:color w:val="auto"/>
        </w:rPr>
      </w:pPr>
    </w:p>
    <w:p>
      <w:pPr>
        <w:ind w:left="620" w:right="420"/>
        <w:spacing w:after="0" w:line="277" w:lineRule="auto"/>
        <w:rPr>
          <w:rFonts w:ascii="Arial" w:cs="Arial" w:eastAsia="Arial" w:hAnsi="Arial"/>
          <w:sz w:val="18"/>
          <w:szCs w:val="18"/>
          <w:color w:val="auto"/>
        </w:rPr>
      </w:pPr>
      <w:r>
        <w:rPr>
          <w:rFonts w:ascii="Arial" w:cs="Arial" w:eastAsia="Arial" w:hAnsi="Arial"/>
          <w:sz w:val="18"/>
          <w:szCs w:val="18"/>
          <w:color w:val="auto"/>
        </w:rPr>
        <w:t>With the exception of the grant of equity awards to Mr. Laher in connection with his hiring, there were no discretionary cash or equity awards granted to our Named Executive Officers in fiscal 2017.</w:t>
      </w:r>
    </w:p>
    <w:p>
      <w:pPr>
        <w:spacing w:after="0" w:line="62" w:lineRule="exact"/>
        <w:rPr>
          <w:rFonts w:ascii="Arial" w:cs="Arial" w:eastAsia="Arial" w:hAnsi="Arial"/>
          <w:sz w:val="18"/>
          <w:szCs w:val="18"/>
          <w:color w:val="auto"/>
        </w:rPr>
      </w:pPr>
    </w:p>
    <w:p>
      <w:pPr>
        <w:ind w:left="620" w:hanging="25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620" w:right="1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62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62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620" w:right="120"/>
        <w:spacing w:after="0" w:line="255"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Historically, our employees have been eligible to receive a Company match, which matched 100% of the first 1% of deferred compensation and 50% of the next 5% (with a maximum contribution of 3.5% of eligible compensation). In May 2018, in connection with our cost reduction initiatives, the Board of Directors ratified and approved the recommendation of our management team to suspend any further employer contributions to the 401(k) Plan, effective July 1, 2018, until the end of calendar year 2019 at the latest.</w:t>
      </w:r>
    </w:p>
    <w:p>
      <w:pPr>
        <w:spacing w:after="0" w:line="85" w:lineRule="exact"/>
        <w:rPr>
          <w:rFonts w:ascii="Arial" w:cs="Arial" w:eastAsia="Arial" w:hAnsi="Arial"/>
          <w:sz w:val="18"/>
          <w:szCs w:val="18"/>
          <w:color w:val="auto"/>
        </w:rPr>
      </w:pPr>
    </w:p>
    <w:p>
      <w:pPr>
        <w:jc w:val="both"/>
        <w:ind w:left="620" w:right="60"/>
        <w:spacing w:after="0" w:line="276" w:lineRule="auto"/>
        <w:rPr>
          <w:rFonts w:ascii="Arial" w:cs="Arial" w:eastAsia="Arial" w:hAnsi="Arial"/>
          <w:sz w:val="18"/>
          <w:szCs w:val="18"/>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“Employment Agreements” following the “Summary Compensation Table.” Our employment agreements do not contain any tax gross-ups pursuant to Section 280(g) of the Internal Revenue Code.</w:t>
      </w:r>
    </w:p>
    <w:p>
      <w:pPr>
        <w:spacing w:after="0" w:line="64" w:lineRule="exact"/>
        <w:rPr>
          <w:rFonts w:ascii="Arial" w:cs="Arial" w:eastAsia="Arial" w:hAnsi="Arial"/>
          <w:sz w:val="18"/>
          <w:szCs w:val="18"/>
          <w:color w:val="auto"/>
        </w:rPr>
      </w:pPr>
    </w:p>
    <w:p>
      <w:pPr>
        <w:ind w:left="620" w:hanging="25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620" w:right="60"/>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Prior to the passage of the Tax Cut and Jobs Act of 2017 (“Tax Act”), Section </w:t>
      </w:r>
      <w:r>
        <w:rPr>
          <w:rFonts w:ascii="Arial" w:cs="Arial" w:eastAsia="Arial" w:hAnsi="Arial"/>
          <w:sz w:val="17"/>
          <w:szCs w:val="17"/>
          <w:color w:val="252525"/>
        </w:rPr>
        <w:t>162</w:t>
      </w:r>
      <w:r>
        <w:rPr>
          <w:rFonts w:ascii="Arial" w:cs="Arial" w:eastAsia="Arial" w:hAnsi="Arial"/>
          <w:sz w:val="17"/>
          <w:szCs w:val="17"/>
          <w:color w:val="auto"/>
        </w:rPr>
        <w:t>(</w:t>
      </w:r>
      <w:r>
        <w:rPr>
          <w:rFonts w:ascii="Arial" w:cs="Arial" w:eastAsia="Arial" w:hAnsi="Arial"/>
          <w:sz w:val="17"/>
          <w:szCs w:val="17"/>
          <w:color w:val="252525"/>
        </w:rPr>
        <w:t>m</w:t>
      </w:r>
      <w:r>
        <w:rPr>
          <w:rFonts w:ascii="Arial" w:cs="Arial" w:eastAsia="Arial" w:hAnsi="Arial"/>
          <w:sz w:val="17"/>
          <w:szCs w:val="17"/>
          <w:color w:val="auto"/>
        </w:rPr>
        <w:t xml:space="preserve">) of the Internal Revenue Code of 1986, as amended generally disallowed a tax deduction for compensation in excess of $1.0 million a year to certain officers, including the Chief Executive Officer, unless such excess compensation qualified as “performance-based compensation.” The Tax Act, among other things, repealed the performance-based compensation exemption with respect to taxable years beginning after December 31, 2017, subject to certain transition rules. In addition, the Tax Act expanded the group of officers whose compensation is subject to the Section </w:t>
      </w:r>
      <w:r>
        <w:rPr>
          <w:rFonts w:ascii="Arial" w:cs="Arial" w:eastAsia="Arial" w:hAnsi="Arial"/>
          <w:sz w:val="17"/>
          <w:szCs w:val="17"/>
          <w:color w:val="252525"/>
        </w:rPr>
        <w:t>162</w:t>
      </w:r>
      <w:r>
        <w:rPr>
          <w:rFonts w:ascii="Arial" w:cs="Arial" w:eastAsia="Arial" w:hAnsi="Arial"/>
          <w:sz w:val="17"/>
          <w:szCs w:val="17"/>
          <w:color w:val="auto"/>
        </w:rPr>
        <w:t>(</w:t>
      </w:r>
      <w:r>
        <w:rPr>
          <w:rFonts w:ascii="Arial" w:cs="Arial" w:eastAsia="Arial" w:hAnsi="Arial"/>
          <w:sz w:val="17"/>
          <w:szCs w:val="17"/>
          <w:color w:val="252525"/>
        </w:rPr>
        <w:t>m</w:t>
      </w:r>
      <w:r>
        <w:rPr>
          <w:rFonts w:ascii="Arial" w:cs="Arial" w:eastAsia="Arial" w:hAnsi="Arial"/>
          <w:sz w:val="17"/>
          <w:szCs w:val="17"/>
          <w:color w:val="auto"/>
        </w:rPr>
        <w:t>) deduction limitations. Accordingly, other than with respect to certain grandfathered compensation,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 We previously</w:t>
      </w:r>
    </w:p>
    <w:p>
      <w:pPr>
        <w:spacing w:after="0" w:line="1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208280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400" w:top="449" w:right="239" w:bottom="1440" w:gutter="0" w:footer="0" w:header="0"/>
        </w:sectPr>
      </w:pPr>
    </w:p>
    <w:bookmarkStart w:id="16" w:name="page17"/>
    <w:bookmarkEnd w:id="16"/>
    <w:p>
      <w:pPr>
        <w:ind w:left="780" w:right="880"/>
        <w:spacing w:after="0" w:line="277" w:lineRule="auto"/>
        <w:rPr>
          <w:sz w:val="20"/>
          <w:szCs w:val="20"/>
          <w:color w:val="auto"/>
        </w:rPr>
      </w:pPr>
      <w:r>
        <w:rPr>
          <w:rFonts w:ascii="Arial" w:cs="Arial" w:eastAsia="Arial" w:hAnsi="Arial"/>
          <w:sz w:val="18"/>
          <w:szCs w:val="18"/>
          <w:color w:val="auto"/>
        </w:rPr>
        <w:t xml:space="preserve">considered the effect of Section </w:t>
      </w:r>
      <w:r>
        <w:rPr>
          <w:rFonts w:ascii="Arial" w:cs="Arial" w:eastAsia="Arial" w:hAnsi="Arial"/>
          <w:sz w:val="18"/>
          <w:szCs w:val="18"/>
          <w:color w:val="252525"/>
        </w:rPr>
        <w:t>162</w:t>
      </w:r>
      <w:r>
        <w:rPr>
          <w:rFonts w:ascii="Arial" w:cs="Arial" w:eastAsia="Arial" w:hAnsi="Arial"/>
          <w:sz w:val="18"/>
          <w:szCs w:val="18"/>
          <w:color w:val="auto"/>
        </w:rPr>
        <w:t>(</w:t>
      </w:r>
      <w:r>
        <w:rPr>
          <w:rFonts w:ascii="Arial" w:cs="Arial" w:eastAsia="Arial" w:hAnsi="Arial"/>
          <w:sz w:val="18"/>
          <w:szCs w:val="18"/>
          <w:color w:val="252525"/>
        </w:rPr>
        <w:t>m</w:t>
      </w:r>
      <w:r>
        <w:rPr>
          <w:rFonts w:ascii="Arial" w:cs="Arial" w:eastAsia="Arial" w:hAnsi="Arial"/>
          <w:sz w:val="18"/>
          <w:szCs w:val="18"/>
          <w:color w:val="auto"/>
        </w:rPr>
        <w:t xml:space="preserve">) when structuring our executive compensation and, when feasible, complied with exemptions in Section </w:t>
      </w:r>
      <w:r>
        <w:rPr>
          <w:rFonts w:ascii="Arial" w:cs="Arial" w:eastAsia="Arial" w:hAnsi="Arial"/>
          <w:sz w:val="18"/>
          <w:szCs w:val="18"/>
          <w:color w:val="252525"/>
        </w:rPr>
        <w:t>162</w:t>
      </w:r>
      <w:r>
        <w:rPr>
          <w:rFonts w:ascii="Arial" w:cs="Arial" w:eastAsia="Arial" w:hAnsi="Arial"/>
          <w:sz w:val="18"/>
          <w:szCs w:val="18"/>
          <w:color w:val="auto"/>
        </w:rPr>
        <w:t>(</w:t>
      </w:r>
      <w:r>
        <w:rPr>
          <w:rFonts w:ascii="Arial" w:cs="Arial" w:eastAsia="Arial" w:hAnsi="Arial"/>
          <w:sz w:val="18"/>
          <w:szCs w:val="18"/>
          <w:color w:val="252525"/>
        </w:rPr>
        <w:t>m</w:t>
      </w:r>
      <w:r>
        <w:rPr>
          <w:rFonts w:ascii="Arial" w:cs="Arial" w:eastAsia="Arial" w:hAnsi="Arial"/>
          <w:sz w:val="18"/>
          <w:szCs w:val="18"/>
          <w:color w:val="auto"/>
        </w:rPr>
        <w:t>) so that the compensation remained tax deductible to us.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discussion references non-GAAP measures that we use on a regular basis in order to track the progress of our business. These measures include EBITDA (earnings before interest, taxes, depreciation and amortization) and Adjusted EBITDA (EBITDA before impairment of assets). We believe these measures provide helpful information with respect to the Company’s operating performance.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net income (loss) or cash flows from operating activities in accordance with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Adjusted EBITDA and EBITDA from Net Loss, on a GAAP basis: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1"/>
              </w:rPr>
              <w:t>(in millions)</w:t>
            </w:r>
          </w:p>
        </w:tc>
        <w:tc>
          <w:tcPr>
            <w:tcW w:w="44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Fiscal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Fiscal 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Fiscal 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Fiscal 2014</w:t>
            </w: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20"/>
        </w:trPr>
        <w:tc>
          <w:tcPr>
            <w:tcW w:w="5180" w:type="dxa"/>
            <w:vAlign w:val="bottom"/>
            <w:gridSpan w:val="3"/>
            <w:vMerge w:val="restart"/>
            <w:shd w:val="clear" w:color="auto" w:fill="CFF0FC"/>
          </w:tcPr>
          <w:p>
            <w:pPr>
              <w:spacing w:after="0"/>
              <w:rPr>
                <w:sz w:val="20"/>
                <w:szCs w:val="20"/>
                <w:color w:val="auto"/>
              </w:rPr>
            </w:pPr>
            <w:r>
              <w:rPr>
                <w:rFonts w:ascii="Arial" w:cs="Arial" w:eastAsia="Arial" w:hAnsi="Arial"/>
                <w:sz w:val="14"/>
                <w:szCs w:val="14"/>
                <w:b w:val="1"/>
                <w:bCs w:val="1"/>
                <w:color w:val="auto"/>
              </w:rPr>
              <w:t>Net loss, on a GAAP basis (1)</w:t>
            </w: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gridSpan w:val="3"/>
            <w:vMerge w:val="continue"/>
            <w:shd w:val="clear" w:color="auto" w:fill="CFF0FC"/>
          </w:tcPr>
          <w:p>
            <w:pPr>
              <w:spacing w:after="0"/>
              <w:rPr>
                <w:sz w:val="12"/>
                <w:szCs w:val="12"/>
                <w:color w:val="auto"/>
              </w:rPr>
            </w:pPr>
          </w:p>
        </w:tc>
        <w:tc>
          <w:tcPr>
            <w:tcW w:w="1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4"/>
                <w:szCs w:val="14"/>
                <w:b w:val="1"/>
                <w:bCs w:val="1"/>
                <w:color w:val="auto"/>
              </w:rPr>
              <w:t>(18.8)</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(2.3)</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(8.4)</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(12.3)</w:t>
            </w:r>
          </w:p>
        </w:tc>
        <w:tc>
          <w:tcPr>
            <w:tcW w:w="2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(59.8)</w:t>
            </w:r>
          </w:p>
        </w:tc>
        <w:tc>
          <w:tcPr>
            <w:tcW w:w="0" w:type="dxa"/>
            <w:vAlign w:val="bottom"/>
          </w:tcPr>
          <w:p>
            <w:pPr>
              <w:spacing w:after="0"/>
              <w:rPr>
                <w:sz w:val="1"/>
                <w:szCs w:val="1"/>
                <w:color w:val="auto"/>
              </w:rPr>
            </w:pPr>
          </w:p>
        </w:tc>
      </w:tr>
      <w:tr>
        <w:trPr>
          <w:trHeight w:val="162"/>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Add back: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62"/>
        </w:trPr>
        <w:tc>
          <w:tcPr>
            <w:tcW w:w="51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51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(23.7)</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56"/>
        </w:trPr>
        <w:tc>
          <w:tcPr>
            <w:tcW w:w="5180" w:type="dxa"/>
            <w:vAlign w:val="bottom"/>
            <w:gridSpan w:val="3"/>
          </w:tcPr>
          <w:p>
            <w:pPr>
              <w:spacing w:after="0" w:line="155" w:lineRule="exact"/>
              <w:rPr>
                <w:sz w:val="20"/>
                <w:szCs w:val="20"/>
                <w:color w:val="auto"/>
              </w:rPr>
            </w:pPr>
            <w:r>
              <w:rPr>
                <w:rFonts w:ascii="Arial" w:cs="Arial" w:eastAsia="Arial" w:hAnsi="Arial"/>
                <w:sz w:val="14"/>
                <w:szCs w:val="14"/>
                <w:color w:val="auto"/>
              </w:rPr>
              <w:t>EBITDA</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Deduct</w:t>
            </w:r>
            <w:r>
              <w:rPr>
                <w:rFonts w:ascii="Arial" w:cs="Arial" w:eastAsia="Arial" w:hAnsi="Arial"/>
                <w:sz w:val="14"/>
                <w:szCs w:val="14"/>
                <w:color w:val="auto"/>
              </w:rPr>
              <w:t>: Income (loss) from discontinuing operations</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gridSpan w:val="3"/>
          </w:tcPr>
          <w:p>
            <w:pPr>
              <w:spacing w:after="0" w:line="155" w:lineRule="exact"/>
              <w:rPr>
                <w:sz w:val="20"/>
                <w:szCs w:val="20"/>
                <w:color w:val="auto"/>
              </w:rPr>
            </w:pPr>
            <w:r>
              <w:rPr>
                <w:rFonts w:ascii="Arial" w:cs="Arial" w:eastAsia="Arial" w:hAnsi="Arial"/>
                <w:sz w:val="14"/>
                <w:szCs w:val="14"/>
                <w:color w:val="auto"/>
              </w:rPr>
              <w:t>EBITDA from continuing operations</w:t>
            </w:r>
          </w:p>
        </w:tc>
        <w:tc>
          <w:tcPr>
            <w:tcW w:w="14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120" w:type="dxa"/>
            <w:vAlign w:val="bottom"/>
          </w:tcPr>
          <w:p>
            <w:pPr>
              <w:spacing w:after="0"/>
              <w:rPr>
                <w:sz w:val="13"/>
                <w:szCs w:val="13"/>
                <w:color w:val="auto"/>
              </w:rPr>
            </w:pPr>
          </w:p>
        </w:tc>
        <w:tc>
          <w:tcPr>
            <w:tcW w:w="240" w:type="dxa"/>
            <w:vAlign w:val="bottom"/>
            <w:tcBorders>
              <w:top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14.9</w:t>
            </w:r>
          </w:p>
        </w:tc>
        <w:tc>
          <w:tcPr>
            <w:tcW w:w="120" w:type="dxa"/>
            <w:vAlign w:val="bottom"/>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Impairment of Assets</w:t>
            </w:r>
          </w:p>
        </w:tc>
        <w:tc>
          <w:tcPr>
            <w:tcW w:w="140" w:type="dxa"/>
            <w:vAlign w:val="bottom"/>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940" w:type="dxa"/>
            <w:vAlign w:val="bottom"/>
            <w:shd w:val="clear" w:color="auto" w:fill="CFF0FC"/>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2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3940" w:type="dxa"/>
            <w:vAlign w:val="bottom"/>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17.1</w:t>
            </w:r>
          </w:p>
        </w:tc>
        <w:tc>
          <w:tcPr>
            <w:tcW w:w="1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6"/>
                <w:szCs w:val="16"/>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760" w:hanging="374"/>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net loss for fiscal 2013 includes a charge of $51.3 million to establish a full valuation allowance against our deferred tax assets.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28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Willem Mesdag, Chairman</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Mitchell Presser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Ward K. Mooney</w:t>
      </w:r>
    </w:p>
    <w:p>
      <w:pPr>
        <w:spacing w:after="0" w:line="200" w:lineRule="exact"/>
        <w:rPr>
          <w:sz w:val="20"/>
          <w:szCs w:val="20"/>
          <w:color w:val="auto"/>
        </w:rPr>
      </w:pPr>
    </w:p>
    <w:p>
      <w:pPr>
        <w:spacing w:after="0" w:line="24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E. Kyees * (former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Kyees, a current director, served on the Compensation Committee until February 2, 2017.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553" w:right="639" w:bottom="1440" w:gutter="0" w:footer="0" w:header="0"/>
        </w:sectPr>
      </w:pPr>
    </w:p>
    <w:bookmarkStart w:id="18" w:name="page19"/>
    <w:bookmarkEnd w:id="18"/>
    <w:p>
      <w:pPr>
        <w:ind w:right="28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 ($)</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 ($)</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 (1) (2)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($)(1)(3)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2017</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826,800</w:t>
            </w:r>
          </w:p>
        </w:tc>
        <w:tc>
          <w:tcPr>
            <w:tcW w:w="18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ind w:left="68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515,923</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285,246</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37,351</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1,665,320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President and Chief Executive</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610,834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670,052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39,915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2,132,001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1,174,618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2,026,290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20" w:type="dxa"/>
            <w:vAlign w:val="bottom"/>
          </w:tcPr>
          <w:p>
            <w:pPr>
              <w:spacing w:after="0" w:line="157" w:lineRule="exact"/>
              <w:rPr>
                <w:sz w:val="20"/>
                <w:szCs w:val="20"/>
                <w:color w:val="auto"/>
              </w:rPr>
            </w:pPr>
            <w:r>
              <w:rPr>
                <w:rFonts w:ascii="Arial" w:cs="Arial" w:eastAsia="Arial" w:hAnsi="Arial"/>
                <w:sz w:val="14"/>
                <w:szCs w:val="14"/>
                <w:color w:val="auto"/>
              </w:rPr>
              <w:t>Peter H. Stratton, Jr.</w:t>
            </w:r>
          </w:p>
        </w:tc>
        <w:tc>
          <w:tcPr>
            <w:tcW w:w="100" w:type="dxa"/>
            <w:vAlign w:val="bottom"/>
          </w:tcPr>
          <w:p>
            <w:pPr>
              <w:spacing w:after="0"/>
              <w:rPr>
                <w:sz w:val="13"/>
                <w:szCs w:val="13"/>
                <w:color w:val="auto"/>
              </w:rPr>
            </w:pPr>
          </w:p>
        </w:tc>
        <w:tc>
          <w:tcPr>
            <w:tcW w:w="960" w:type="dxa"/>
            <w:vAlign w:val="bottom"/>
          </w:tcPr>
          <w:p>
            <w:pPr>
              <w:ind w:left="340"/>
              <w:spacing w:after="0" w:line="157" w:lineRule="exact"/>
              <w:rPr>
                <w:sz w:val="20"/>
                <w:szCs w:val="20"/>
                <w:color w:val="auto"/>
              </w:rPr>
            </w:pPr>
            <w:r>
              <w:rPr>
                <w:rFonts w:ascii="Arial" w:cs="Arial" w:eastAsia="Arial" w:hAnsi="Arial"/>
                <w:sz w:val="14"/>
                <w:szCs w:val="14"/>
                <w:color w:val="auto"/>
              </w:rPr>
              <w:t>2017</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374,904</w:t>
            </w:r>
          </w:p>
        </w:tc>
        <w:tc>
          <w:tcPr>
            <w:tcW w:w="180" w:type="dxa"/>
            <w:vAlign w:val="bottom"/>
          </w:tcPr>
          <w:p>
            <w:pPr>
              <w:spacing w:after="0"/>
              <w:rPr>
                <w:sz w:val="13"/>
                <w:szCs w:val="13"/>
                <w:color w:val="auto"/>
              </w:rPr>
            </w:pPr>
          </w:p>
        </w:tc>
        <w:tc>
          <w:tcPr>
            <w:tcW w:w="10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158,496</w:t>
            </w:r>
          </w:p>
        </w:tc>
        <w:tc>
          <w:tcPr>
            <w:tcW w:w="18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52,997</w:t>
            </w:r>
          </w:p>
        </w:tc>
        <w:tc>
          <w:tcPr>
            <w:tcW w:w="18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24,722</w:t>
            </w:r>
          </w:p>
        </w:tc>
        <w:tc>
          <w:tcPr>
            <w:tcW w:w="2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611,119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Executive Vice President, Chief</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2016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333,462</w:t>
            </w:r>
          </w:p>
        </w:tc>
        <w:tc>
          <w:tcPr>
            <w:tcW w:w="180" w:type="dxa"/>
            <w:vAlign w:val="bottom"/>
          </w:tcPr>
          <w:p>
            <w:pPr>
              <w:spacing w:after="0"/>
              <w:rPr>
                <w:sz w:val="14"/>
                <w:szCs w:val="1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157,649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113,574</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25,305</w:t>
            </w:r>
          </w:p>
        </w:tc>
        <w:tc>
          <w:tcPr>
            <w:tcW w:w="20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629,989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Financial Officer and Treasurer</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2015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285,000</w:t>
            </w:r>
          </w:p>
        </w:tc>
        <w:tc>
          <w:tcPr>
            <w:tcW w:w="180" w:type="dxa"/>
            <w:vAlign w:val="bottom"/>
          </w:tcPr>
          <w:p>
            <w:pPr>
              <w:spacing w:after="0"/>
              <w:rPr>
                <w:sz w:val="15"/>
                <w:szCs w:val="15"/>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170,272</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24,565</w:t>
            </w:r>
          </w:p>
        </w:tc>
        <w:tc>
          <w:tcPr>
            <w:tcW w:w="20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479,837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06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313,462</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133,560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518,574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Executive Vice President and</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153,703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131,963</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27,452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613,118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Chief Customer Officer</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188,260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515,288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20" w:type="dxa"/>
            <w:vAlign w:val="bottom"/>
          </w:tcPr>
          <w:p>
            <w:pPr>
              <w:spacing w:after="0" w:line="157" w:lineRule="exact"/>
              <w:rPr>
                <w:sz w:val="20"/>
                <w:szCs w:val="20"/>
                <w:color w:val="auto"/>
              </w:rPr>
            </w:pPr>
            <w:r>
              <w:rPr>
                <w:rFonts w:ascii="Arial" w:cs="Arial" w:eastAsia="Arial" w:hAnsi="Arial"/>
                <w:sz w:val="14"/>
                <w:szCs w:val="14"/>
                <w:color w:val="auto"/>
              </w:rPr>
              <w:t>Robert S. Molloy</w:t>
            </w:r>
          </w:p>
        </w:tc>
        <w:tc>
          <w:tcPr>
            <w:tcW w:w="100" w:type="dxa"/>
            <w:vAlign w:val="bottom"/>
          </w:tcPr>
          <w:p>
            <w:pPr>
              <w:spacing w:after="0"/>
              <w:rPr>
                <w:sz w:val="13"/>
                <w:szCs w:val="13"/>
                <w:color w:val="auto"/>
              </w:rPr>
            </w:pPr>
          </w:p>
        </w:tc>
        <w:tc>
          <w:tcPr>
            <w:tcW w:w="960" w:type="dxa"/>
            <w:vAlign w:val="bottom"/>
          </w:tcPr>
          <w:p>
            <w:pPr>
              <w:ind w:left="340"/>
              <w:spacing w:after="0" w:line="157" w:lineRule="exact"/>
              <w:rPr>
                <w:sz w:val="20"/>
                <w:szCs w:val="20"/>
                <w:color w:val="auto"/>
              </w:rPr>
            </w:pPr>
            <w:r>
              <w:rPr>
                <w:rFonts w:ascii="Arial" w:cs="Arial" w:eastAsia="Arial" w:hAnsi="Arial"/>
                <w:sz w:val="14"/>
                <w:szCs w:val="14"/>
                <w:color w:val="auto"/>
              </w:rPr>
              <w:t>2017</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345,000</w:t>
            </w:r>
          </w:p>
        </w:tc>
        <w:tc>
          <w:tcPr>
            <w:tcW w:w="180" w:type="dxa"/>
            <w:vAlign w:val="bottom"/>
          </w:tcPr>
          <w:p>
            <w:pPr>
              <w:spacing w:after="0"/>
              <w:rPr>
                <w:sz w:val="13"/>
                <w:szCs w:val="13"/>
                <w:color w:val="auto"/>
              </w:rPr>
            </w:pPr>
          </w:p>
        </w:tc>
        <w:tc>
          <w:tcPr>
            <w:tcW w:w="10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152,642</w:t>
            </w:r>
          </w:p>
        </w:tc>
        <w:tc>
          <w:tcPr>
            <w:tcW w:w="18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48,526</w:t>
            </w:r>
          </w:p>
        </w:tc>
        <w:tc>
          <w:tcPr>
            <w:tcW w:w="18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26,893</w:t>
            </w:r>
          </w:p>
        </w:tc>
        <w:tc>
          <w:tcPr>
            <w:tcW w:w="2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573,061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Senior Vice President, Chief Administrative</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2016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341,923</w:t>
            </w:r>
          </w:p>
        </w:tc>
        <w:tc>
          <w:tcPr>
            <w:tcW w:w="180" w:type="dxa"/>
            <w:vAlign w:val="bottom"/>
          </w:tcPr>
          <w:p>
            <w:pPr>
              <w:spacing w:after="0"/>
              <w:rPr>
                <w:sz w:val="14"/>
                <w:szCs w:val="1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174,808</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154,130</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27,661</w:t>
            </w:r>
          </w:p>
        </w:tc>
        <w:tc>
          <w:tcPr>
            <w:tcW w:w="20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698,522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Officer, General Counsel and Secretary</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2015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335,000</w:t>
            </w:r>
          </w:p>
        </w:tc>
        <w:tc>
          <w:tcPr>
            <w:tcW w:w="180" w:type="dxa"/>
            <w:vAlign w:val="bottom"/>
          </w:tcPr>
          <w:p>
            <w:pPr>
              <w:spacing w:after="0"/>
              <w:rPr>
                <w:sz w:val="15"/>
                <w:szCs w:val="15"/>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212,732</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27,259</w:t>
            </w:r>
          </w:p>
        </w:tc>
        <w:tc>
          <w:tcPr>
            <w:tcW w:w="20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574,991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106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390,000</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54,855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21,542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640,025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Former Senior Vice President and Chief</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390,000</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194,058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161,246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767,168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Merchandising Officer</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380,769</w:t>
            </w:r>
          </w:p>
        </w:tc>
        <w:tc>
          <w:tcPr>
            <w:tcW w:w="1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236,348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638,967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720" w:type="dxa"/>
            <w:vAlign w:val="bottom"/>
          </w:tcPr>
          <w:p>
            <w:pPr>
              <w:spacing w:after="0" w:line="157" w:lineRule="exact"/>
              <w:rPr>
                <w:sz w:val="20"/>
                <w:szCs w:val="20"/>
                <w:color w:val="auto"/>
              </w:rPr>
            </w:pPr>
            <w:r>
              <w:rPr>
                <w:rFonts w:ascii="Arial" w:cs="Arial" w:eastAsia="Arial" w:hAnsi="Arial"/>
                <w:sz w:val="14"/>
                <w:szCs w:val="14"/>
                <w:color w:val="auto"/>
              </w:rPr>
              <w:t>Sahal S. Laher</w:t>
            </w:r>
          </w:p>
        </w:tc>
        <w:tc>
          <w:tcPr>
            <w:tcW w:w="100" w:type="dxa"/>
            <w:vAlign w:val="bottom"/>
          </w:tcPr>
          <w:p>
            <w:pPr>
              <w:spacing w:after="0"/>
              <w:rPr>
                <w:sz w:val="13"/>
                <w:szCs w:val="13"/>
                <w:color w:val="auto"/>
              </w:rPr>
            </w:pPr>
          </w:p>
        </w:tc>
        <w:tc>
          <w:tcPr>
            <w:tcW w:w="960" w:type="dxa"/>
            <w:vAlign w:val="bottom"/>
          </w:tcPr>
          <w:p>
            <w:pPr>
              <w:ind w:left="340"/>
              <w:spacing w:after="0" w:line="157" w:lineRule="exact"/>
              <w:rPr>
                <w:sz w:val="20"/>
                <w:szCs w:val="20"/>
                <w:color w:val="auto"/>
              </w:rPr>
            </w:pPr>
            <w:r>
              <w:rPr>
                <w:rFonts w:ascii="Arial" w:cs="Arial" w:eastAsia="Arial" w:hAnsi="Arial"/>
                <w:sz w:val="14"/>
                <w:szCs w:val="14"/>
                <w:color w:val="auto"/>
              </w:rPr>
              <w:t>2017</w:t>
            </w:r>
          </w:p>
        </w:tc>
        <w:tc>
          <w:tcPr>
            <w:tcW w:w="1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408,654</w:t>
            </w:r>
          </w:p>
        </w:tc>
        <w:tc>
          <w:tcPr>
            <w:tcW w:w="180" w:type="dxa"/>
            <w:vAlign w:val="bottom"/>
          </w:tcPr>
          <w:p>
            <w:pPr>
              <w:spacing w:after="0"/>
              <w:rPr>
                <w:sz w:val="13"/>
                <w:szCs w:val="13"/>
                <w:color w:val="auto"/>
              </w:rPr>
            </w:pPr>
          </w:p>
        </w:tc>
        <w:tc>
          <w:tcPr>
            <w:tcW w:w="102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415,064</w:t>
            </w:r>
          </w:p>
        </w:tc>
        <w:tc>
          <w:tcPr>
            <w:tcW w:w="18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59,778</w:t>
            </w:r>
          </w:p>
        </w:tc>
        <w:tc>
          <w:tcPr>
            <w:tcW w:w="180" w:type="dxa"/>
            <w:vAlign w:val="bottom"/>
          </w:tcPr>
          <w:p>
            <w:pPr>
              <w:spacing w:after="0"/>
              <w:rPr>
                <w:sz w:val="13"/>
                <w:szCs w:val="13"/>
                <w:color w:val="auto"/>
              </w:rPr>
            </w:pP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15,407</w:t>
            </w:r>
          </w:p>
        </w:tc>
        <w:tc>
          <w:tcPr>
            <w:tcW w:w="2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898,903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Former Senior Vice President, Chief</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Pr>
          <w:p>
            <w:pPr>
              <w:ind w:left="240"/>
              <w:spacing w:after="0"/>
              <w:rPr>
                <w:sz w:val="20"/>
                <w:szCs w:val="20"/>
                <w:color w:val="auto"/>
              </w:rPr>
            </w:pPr>
            <w:r>
              <w:rPr>
                <w:rFonts w:ascii="Arial" w:cs="Arial" w:eastAsia="Arial" w:hAnsi="Arial"/>
                <w:sz w:val="14"/>
                <w:szCs w:val="14"/>
                <w:color w:val="auto"/>
              </w:rPr>
              <w:t>Digital and Information Officer</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760" w:right="20" w:hanging="374"/>
        <w:spacing w:after="0" w:line="305"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Additional information regarding the assumptions used to estimate the fair value of awards is included in Note A to Consolidated Financial Statements contained in our Annual Report on Form 10-K for the fiscal year ended February 3, 2018.</w:t>
      </w:r>
    </w:p>
    <w:p>
      <w:pPr>
        <w:spacing w:after="0" w:line="58" w:lineRule="exact"/>
        <w:rPr>
          <w:rFonts w:ascii="Arial" w:cs="Arial" w:eastAsia="Arial" w:hAnsi="Arial"/>
          <w:sz w:val="15"/>
          <w:szCs w:val="15"/>
          <w:color w:val="auto"/>
        </w:rPr>
      </w:pPr>
    </w:p>
    <w:p>
      <w:pPr>
        <w:ind w:left="760" w:right="80" w:hanging="374"/>
        <w:spacing w:after="0" w:line="335"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amounts shown in the Stock Award column for fiscal 2017 represent the fair value, as of grant date, of (a) time-based restricted stock units (RSUs) granted pursuant to the 2017-2018 LTIP and (b) RSUs earned for the partial achievement of performance targets under the 2016-2017 LTIP. See “</w:t>
      </w:r>
      <w:r>
        <w:rPr>
          <w:rFonts w:ascii="Arial" w:cs="Arial" w:eastAsia="Arial" w:hAnsi="Arial"/>
          <w:sz w:val="14"/>
          <w:szCs w:val="14"/>
          <w:i w:val="1"/>
          <w:iCs w:val="1"/>
          <w:color w:val="auto"/>
        </w:rPr>
        <w:t>2017 Stock Awards</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w:t>
      </w:r>
      <w:r>
        <w:rPr>
          <w:rFonts w:ascii="Arial" w:cs="Arial" w:eastAsia="Arial" w:hAnsi="Arial"/>
          <w:sz w:val="14"/>
          <w:szCs w:val="14"/>
          <w:color w:val="auto"/>
        </w:rPr>
        <w:t>” below for a breakdown of stock awards. See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for more information regarding equity awards granted in fiscal 2017.</w:t>
      </w:r>
    </w:p>
    <w:p>
      <w:pPr>
        <w:spacing w:after="0" w:line="41" w:lineRule="exact"/>
        <w:rPr>
          <w:rFonts w:ascii="Arial" w:cs="Arial" w:eastAsia="Arial" w:hAnsi="Arial"/>
          <w:sz w:val="14"/>
          <w:szCs w:val="14"/>
          <w:color w:val="auto"/>
        </w:rPr>
      </w:pPr>
    </w:p>
    <w:p>
      <w:pPr>
        <w:ind w:left="760" w:right="140"/>
        <w:spacing w:after="0" w:line="271" w:lineRule="auto"/>
        <w:rPr>
          <w:rFonts w:ascii="Arial" w:cs="Arial" w:eastAsia="Arial" w:hAnsi="Arial"/>
          <w:sz w:val="14"/>
          <w:szCs w:val="14"/>
          <w:color w:val="auto"/>
        </w:rPr>
      </w:pPr>
      <w:r>
        <w:rPr>
          <w:rFonts w:ascii="Arial" w:cs="Arial" w:eastAsia="Arial" w:hAnsi="Arial"/>
          <w:sz w:val="16"/>
          <w:szCs w:val="16"/>
          <w:color w:val="auto"/>
        </w:rPr>
        <w:t>The fair value associated with the performance-based component of the equity awards granted under the 2017-2018 LTIP was determined based on the probable outcome of the performance conditions as of the service-inception date. Because the achievement of the performance targets under the 2017-2018 LTIP was not deemed probable as of the service-inception date, no value was attributed to the performance-based portion of these awards. The following reflects the fair values of the performance-based portion of the 2017-2018 LTIP assuming the highest level of performance conditions will be achieved for each of the Named Executive Officers:</w:t>
      </w:r>
    </w:p>
    <w:p>
      <w:pPr>
        <w:spacing w:after="0" w:line="180" w:lineRule="exact"/>
        <w:rPr>
          <w:sz w:val="20"/>
          <w:szCs w:val="20"/>
          <w:color w:val="auto"/>
        </w:rPr>
      </w:pPr>
    </w:p>
    <w:tbl>
      <w:tblPr>
        <w:tblLayout w:type="fixed"/>
        <w:tblInd w:w="2800" w:type="dxa"/>
        <w:tblCellMar>
          <w:top w:w="0" w:type="dxa"/>
          <w:left w:w="0" w:type="dxa"/>
          <w:bottom w:w="0" w:type="dxa"/>
          <w:right w:w="0" w:type="dxa"/>
        </w:tblCellMar>
      </w:tblPr>
      <w:tr>
        <w:trPr>
          <w:trHeight w:val="230"/>
        </w:trPr>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David A. Levin</w:t>
            </w:r>
          </w:p>
        </w:tc>
        <w:tc>
          <w:tcPr>
            <w:tcW w:w="2000" w:type="dxa"/>
            <w:vAlign w:val="bottom"/>
            <w:tcBorders>
              <w:top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608,400</w:t>
            </w:r>
          </w:p>
        </w:tc>
        <w:tc>
          <w:tcPr>
            <w:tcW w:w="60" w:type="dxa"/>
            <w:vAlign w:val="bottom"/>
            <w:tcBorders>
              <w:top w:val="single" w:sz="8" w:color="CFF0FC"/>
            </w:tcBorders>
            <w:shd w:val="clear" w:color="auto" w:fill="CFF0FC"/>
          </w:tcPr>
          <w:p>
            <w:pPr>
              <w:spacing w:after="0"/>
              <w:rPr>
                <w:sz w:val="19"/>
                <w:szCs w:val="19"/>
                <w:color w:val="auto"/>
              </w:rPr>
            </w:pPr>
          </w:p>
        </w:tc>
      </w:tr>
      <w:tr>
        <w:trPr>
          <w:trHeight w:val="213"/>
        </w:trPr>
        <w:tc>
          <w:tcPr>
            <w:tcW w:w="2720" w:type="dxa"/>
            <w:vAlign w:val="bottom"/>
          </w:tcPr>
          <w:p>
            <w:pPr>
              <w:spacing w:after="0"/>
              <w:rPr>
                <w:sz w:val="20"/>
                <w:szCs w:val="20"/>
                <w:color w:val="auto"/>
              </w:rPr>
            </w:pPr>
            <w:r>
              <w:rPr>
                <w:rFonts w:ascii="Arial" w:cs="Arial" w:eastAsia="Arial" w:hAnsi="Arial"/>
                <w:sz w:val="16"/>
                <w:szCs w:val="16"/>
                <w:color w:val="auto"/>
              </w:rPr>
              <w:t>Peter H. Stratton, Jr.</w:t>
            </w:r>
          </w:p>
        </w:tc>
        <w:tc>
          <w:tcPr>
            <w:tcW w:w="20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186,375</w:t>
            </w:r>
          </w:p>
        </w:tc>
        <w:tc>
          <w:tcPr>
            <w:tcW w:w="60" w:type="dxa"/>
            <w:vAlign w:val="bottom"/>
          </w:tcPr>
          <w:p>
            <w:pPr>
              <w:spacing w:after="0"/>
              <w:rPr>
                <w:sz w:val="18"/>
                <w:szCs w:val="18"/>
                <w:color w:val="auto"/>
              </w:rPr>
            </w:pPr>
          </w:p>
        </w:tc>
      </w:tr>
      <w:tr>
        <w:trPr>
          <w:trHeight w:val="219"/>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20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157,500</w:t>
            </w:r>
          </w:p>
        </w:tc>
        <w:tc>
          <w:tcPr>
            <w:tcW w:w="60" w:type="dxa"/>
            <w:vAlign w:val="bottom"/>
            <w:shd w:val="clear" w:color="auto" w:fill="CFF0FC"/>
          </w:tcPr>
          <w:p>
            <w:pPr>
              <w:spacing w:after="0"/>
              <w:rPr>
                <w:sz w:val="19"/>
                <w:szCs w:val="19"/>
                <w:color w:val="auto"/>
              </w:rPr>
            </w:pPr>
          </w:p>
        </w:tc>
      </w:tr>
      <w:tr>
        <w:trPr>
          <w:trHeight w:val="213"/>
        </w:trPr>
        <w:tc>
          <w:tcPr>
            <w:tcW w:w="2720" w:type="dxa"/>
            <w:vAlign w:val="bottom"/>
          </w:tcPr>
          <w:p>
            <w:pPr>
              <w:spacing w:after="0"/>
              <w:rPr>
                <w:sz w:val="20"/>
                <w:szCs w:val="20"/>
                <w:color w:val="auto"/>
              </w:rPr>
            </w:pPr>
            <w:r>
              <w:rPr>
                <w:rFonts w:ascii="Arial" w:cs="Arial" w:eastAsia="Arial" w:hAnsi="Arial"/>
                <w:sz w:val="16"/>
                <w:szCs w:val="16"/>
                <w:color w:val="auto"/>
              </w:rPr>
              <w:t>Robert S. Molloy</w:t>
            </w:r>
          </w:p>
        </w:tc>
        <w:tc>
          <w:tcPr>
            <w:tcW w:w="20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181,125</w:t>
            </w:r>
          </w:p>
        </w:tc>
        <w:tc>
          <w:tcPr>
            <w:tcW w:w="60" w:type="dxa"/>
            <w:vAlign w:val="bottom"/>
          </w:tcPr>
          <w:p>
            <w:pPr>
              <w:spacing w:after="0"/>
              <w:rPr>
                <w:sz w:val="18"/>
                <w:szCs w:val="18"/>
                <w:color w:val="auto"/>
              </w:rPr>
            </w:pPr>
          </w:p>
        </w:tc>
      </w:tr>
      <w:tr>
        <w:trPr>
          <w:trHeight w:val="219"/>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Kenneth M. Ederle</w:t>
            </w:r>
          </w:p>
        </w:tc>
        <w:tc>
          <w:tcPr>
            <w:tcW w:w="20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204,750</w:t>
            </w:r>
          </w:p>
        </w:tc>
        <w:tc>
          <w:tcPr>
            <w:tcW w:w="60" w:type="dxa"/>
            <w:vAlign w:val="bottom"/>
            <w:shd w:val="clear" w:color="auto" w:fill="CFF0FC"/>
          </w:tcPr>
          <w:p>
            <w:pPr>
              <w:spacing w:after="0"/>
              <w:rPr>
                <w:sz w:val="19"/>
                <w:szCs w:val="19"/>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6"/>
                <w:szCs w:val="16"/>
                <w:color w:val="auto"/>
              </w:rPr>
              <w:t>Sahal S. Laher</w:t>
            </w:r>
          </w:p>
        </w:tc>
        <w:tc>
          <w:tcPr>
            <w:tcW w:w="20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223,125</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5"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cash awards earned under the 2017 AIP.</w:t>
      </w:r>
    </w:p>
    <w:p>
      <w:pPr>
        <w:spacing w:after="0" w:line="126" w:lineRule="exact"/>
        <w:rPr>
          <w:rFonts w:ascii="Arial" w:cs="Arial" w:eastAsia="Arial" w:hAnsi="Arial"/>
          <w:sz w:val="16"/>
          <w:szCs w:val="16"/>
          <w:color w:val="auto"/>
        </w:rPr>
      </w:pPr>
    </w:p>
    <w:p>
      <w:pPr>
        <w:ind w:left="760" w:hanging="374"/>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 of 2017 amounts reflected in this column.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40"/>
        <w:spacing w:after="0" w:line="258" w:lineRule="auto"/>
        <w:rPr>
          <w:sz w:val="20"/>
          <w:szCs w:val="20"/>
          <w:color w:val="auto"/>
        </w:rPr>
      </w:pPr>
      <w:r>
        <w:rPr>
          <w:rFonts w:ascii="Arial" w:cs="Arial" w:eastAsia="Arial" w:hAnsi="Arial"/>
          <w:sz w:val="18"/>
          <w:szCs w:val="18"/>
          <w:color w:val="auto"/>
        </w:rPr>
        <w:t>The following is a supplement to the Summary Compensation Table and provides a breakdown of the stock awards granted to each Named Executive Officer in fiscal 2017:</w:t>
      </w:r>
    </w:p>
    <w:tbl>
      <w:tblPr>
        <w:tblLayout w:type="fixed"/>
        <w:tblInd w:w="980" w:type="dxa"/>
        <w:tblCellMar>
          <w:top w:w="0" w:type="dxa"/>
          <w:left w:w="0" w:type="dxa"/>
          <w:bottom w:w="0" w:type="dxa"/>
          <w:right w:w="0" w:type="dxa"/>
        </w:tblCellMar>
      </w:tblPr>
      <w:tr>
        <w:trPr>
          <w:trHeight w:val="141"/>
        </w:trPr>
        <w:tc>
          <w:tcPr>
            <w:tcW w:w="20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48"/>
              <w:spacing w:after="0" w:line="141" w:lineRule="exact"/>
              <w:rPr>
                <w:sz w:val="20"/>
                <w:szCs w:val="20"/>
                <w:color w:val="auto"/>
              </w:rPr>
            </w:pPr>
            <w:r>
              <w:rPr>
                <w:rFonts w:ascii="Arial" w:cs="Arial" w:eastAsia="Arial" w:hAnsi="Arial"/>
                <w:sz w:val="14"/>
                <w:szCs w:val="14"/>
                <w:b w:val="1"/>
                <w:bCs w:val="1"/>
                <w:color w:val="auto"/>
              </w:rPr>
              <w:t>2016-2017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328"/>
              <w:spacing w:after="0" w:line="141" w:lineRule="exact"/>
              <w:rPr>
                <w:sz w:val="20"/>
                <w:szCs w:val="20"/>
                <w:color w:val="auto"/>
              </w:rPr>
            </w:pPr>
            <w:r>
              <w:rPr>
                <w:rFonts w:ascii="Arial" w:cs="Arial" w:eastAsia="Arial" w:hAnsi="Arial"/>
                <w:sz w:val="14"/>
                <w:szCs w:val="14"/>
                <w:b w:val="1"/>
                <w:bCs w:val="1"/>
                <w:color w:val="auto"/>
              </w:rPr>
              <w:t>2017-2018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Discretionary</w:t>
            </w:r>
            <w:r>
              <w:rPr>
                <w:rFonts w:ascii="Arial" w:cs="Arial" w:eastAsia="Arial" w:hAnsi="Arial"/>
                <w:sz w:val="12"/>
                <w:szCs w:val="12"/>
                <w:b w:val="1"/>
                <w:bCs w:val="1"/>
                <w:color w:val="auto"/>
              </w:rPr>
              <w:t>(3)</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Total Stock</w:t>
            </w: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LTIP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 xml:space="preserve">LTIP </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56"/>
        </w:trPr>
        <w:tc>
          <w:tcPr>
            <w:tcW w:w="2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6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110,323</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405,600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515,923</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Peter H. Stratton, Jr.</w:t>
            </w: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33,246</w:t>
            </w:r>
          </w:p>
        </w:tc>
        <w:tc>
          <w:tcPr>
            <w:tcW w:w="2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125,250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158,496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28,560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133,560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Arial" w:cs="Arial" w:eastAsia="Arial" w:hAnsi="Arial"/>
                <w:sz w:val="14"/>
                <w:szCs w:val="14"/>
                <w:color w:val="auto"/>
              </w:rPr>
              <w:t>Robert S. Molloy</w:t>
            </w: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31,892</w:t>
            </w:r>
          </w:p>
        </w:tc>
        <w:tc>
          <w:tcPr>
            <w:tcW w:w="2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120,750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152,642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37,128</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Sahal S. Laher</w:t>
            </w: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101,314</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148,750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165,000</w:t>
            </w:r>
          </w:p>
        </w:tc>
        <w:tc>
          <w:tcPr>
            <w:tcW w:w="2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415,064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80" w:hanging="374"/>
        <w:spacing w:after="0" w:line="278"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RSUs granted in March 2018 earned for performance targets achieved under the 2016-2017 LTIP. The potential value of this award at threshold, target and maximum was previously reported in the “</w:t>
      </w:r>
      <w:r>
        <w:rPr>
          <w:rFonts w:ascii="Arial" w:cs="Arial" w:eastAsia="Arial" w:hAnsi="Arial"/>
          <w:sz w:val="16"/>
          <w:szCs w:val="16"/>
          <w:i w:val="1"/>
          <w:iCs w:val="1"/>
          <w:color w:val="auto"/>
        </w:rPr>
        <w:t>2016 Grants of Plan-Based Awards</w:t>
      </w:r>
      <w:r>
        <w:rPr>
          <w:rFonts w:ascii="Arial" w:cs="Arial" w:eastAsia="Arial" w:hAnsi="Arial"/>
          <w:sz w:val="16"/>
          <w:szCs w:val="16"/>
          <w:color w:val="auto"/>
        </w:rPr>
        <w:t>” under “</w:t>
      </w:r>
      <w:r>
        <w:rPr>
          <w:rFonts w:ascii="Arial" w:cs="Arial" w:eastAsia="Arial" w:hAnsi="Arial"/>
          <w:sz w:val="16"/>
          <w:szCs w:val="16"/>
          <w:i w:val="1"/>
          <w:iCs w:val="1"/>
          <w:color w:val="auto"/>
        </w:rPr>
        <w:t>Estimated Future Payouts Under Equity Incentive Plan Awards</w:t>
      </w:r>
      <w:r>
        <w:rPr>
          <w:rFonts w:ascii="Arial" w:cs="Arial" w:eastAsia="Arial" w:hAnsi="Arial"/>
          <w:sz w:val="16"/>
          <w:szCs w:val="16"/>
          <w:color w:val="auto"/>
        </w:rPr>
        <w:t>” as of the service inception date of April 16, 2016.</w:t>
      </w:r>
    </w:p>
    <w:p>
      <w:pPr>
        <w:spacing w:after="0" w:line="184" w:lineRule="exact"/>
        <w:rPr>
          <w:rFonts w:ascii="Arial" w:cs="Arial" w:eastAsia="Arial" w:hAnsi="Arial"/>
          <w:sz w:val="16"/>
          <w:szCs w:val="16"/>
          <w:color w:val="auto"/>
        </w:rPr>
      </w:pPr>
    </w:p>
    <w:p>
      <w:pPr>
        <w:ind w:left="380" w:right="240" w:hanging="374"/>
        <w:spacing w:after="0" w:line="293"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grant of time-based RSUs issued, which will vest in two tranches with the first 50% vesting on April 1, 2019 and the remaining 50% vesting on April 1, 2020.</w:t>
      </w:r>
    </w:p>
    <w:p>
      <w:pPr>
        <w:spacing w:after="0" w:line="172" w:lineRule="exact"/>
        <w:rPr>
          <w:rFonts w:ascii="Arial" w:cs="Arial" w:eastAsia="Arial" w:hAnsi="Arial"/>
          <w:sz w:val="16"/>
          <w:szCs w:val="16"/>
          <w:color w:val="auto"/>
        </w:rPr>
      </w:pPr>
    </w:p>
    <w:p>
      <w:pPr>
        <w:ind w:left="380" w:right="400" w:hanging="374"/>
        <w:spacing w:after="0" w:line="293"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grant of 50,000 unvested RSAs that vest ratably over three years, with the first one-third vesting on January 30, 2018. In connection with Mr. Laher’s termination of employment, the unvested RSAs of 33,333 were forfeited.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2017 All Other Compensation column listed above in the Summary Compensation Table:</w:t>
      </w:r>
    </w:p>
    <w:p>
      <w:pPr>
        <w:spacing w:after="0" w:line="13"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Auto</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401(k)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Supplemental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3"/>
              </w:rPr>
              <w:t>Insurance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Healthcare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Disability</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Allowance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Match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w w:val="91"/>
              </w:rPr>
              <w:t>Premiums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10,000</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9,275</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4,350</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6,033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7,693</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37,351</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Peter H. Stratton, Jr.</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8,400</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9,275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4,034</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3,013</w:t>
            </w:r>
          </w:p>
        </w:tc>
        <w:tc>
          <w:tcPr>
            <w:tcW w:w="4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24,722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36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4,312</w:t>
            </w:r>
          </w:p>
        </w:tc>
        <w:tc>
          <w:tcPr>
            <w:tcW w:w="420" w:type="dxa"/>
            <w:vAlign w:val="bottom"/>
            <w:gridSpan w:val="2"/>
            <w:shd w:val="clear" w:color="auto" w:fill="CFF0FC"/>
          </w:tcPr>
          <w:p>
            <w:pPr>
              <w:jc w:val="right"/>
              <w:ind w:right="5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Robert S. Molloy</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8,400</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9,275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4,821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4,397</w:t>
            </w:r>
          </w:p>
        </w:tc>
        <w:tc>
          <w:tcPr>
            <w:tcW w:w="4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26,893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8,400</w:t>
            </w:r>
          </w:p>
        </w:tc>
        <w:tc>
          <w:tcPr>
            <w:tcW w:w="36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3,867</w:t>
            </w:r>
          </w:p>
        </w:tc>
        <w:tc>
          <w:tcPr>
            <w:tcW w:w="420" w:type="dxa"/>
            <w:vAlign w:val="bottom"/>
            <w:gridSpan w:val="2"/>
            <w:shd w:val="clear" w:color="auto" w:fill="CFF0FC"/>
          </w:tcPr>
          <w:p>
            <w:pPr>
              <w:jc w:val="right"/>
              <w:ind w:right="5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21,542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Sahal S. Laher</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8,057</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7,350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5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15,407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208280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0"/>
          </w:cols>
          <w:pgMar w:left="620" w:top="55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required by Regulation S-K under the Exchange Act, we are providing the following information concerning the relationship of the total annual compensation of our CEO, David Levin, and the total annual compensation of our employees.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fiscal 2017, Mr. Levin’s total annual compensation was $1,665,320 and the total annual compensation of our median employee was $26,293. Based on this information, for 2017 the ratio of the annual total compensation of Mr. Levin, our CEO, to the median of the annual total compensation of all employees was 63 to 1.</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 identify the median of the annual total compensation of all of our employees, as well as to determine the annual total compensation of our median employee and our CEO we utilized the following methodology:</w:t>
      </w:r>
    </w:p>
    <w:p>
      <w:pPr>
        <w:spacing w:after="0" w:line="170" w:lineRule="exact"/>
        <w:rPr>
          <w:sz w:val="20"/>
          <w:szCs w:val="20"/>
          <w:color w:val="auto"/>
        </w:rPr>
      </w:pPr>
    </w:p>
    <w:p>
      <w:pPr>
        <w:ind w:left="760" w:right="200" w:hanging="374"/>
        <w:spacing w:after="0" w:line="286"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determined that, as of December 31, 2017, our employee population consisted of approximately 2,729 individuals, with 2,696 of these individuals located in the U.S. and 33 of these individuals located outside the U.S. This population includes our full-time, part-time, and seasonal employees. Approximately 59% of our total employee population at December 31, 2017 was considered a full-time employee.</w:t>
      </w:r>
    </w:p>
    <w:p>
      <w:pPr>
        <w:spacing w:after="0" w:line="165" w:lineRule="exact"/>
        <w:rPr>
          <w:rFonts w:ascii="Arial" w:cs="Arial" w:eastAsia="Arial" w:hAnsi="Arial"/>
          <w:sz w:val="17"/>
          <w:szCs w:val="17"/>
          <w:color w:val="auto"/>
        </w:rPr>
      </w:pPr>
    </w:p>
    <w:p>
      <w:pPr>
        <w:ind w:left="760" w:right="10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170" w:lineRule="exact"/>
        <w:rPr>
          <w:rFonts w:ascii="Arial" w:cs="Arial" w:eastAsia="Arial" w:hAnsi="Arial"/>
          <w:sz w:val="18"/>
          <w:szCs w:val="18"/>
          <w:color w:val="auto"/>
        </w:rPr>
      </w:pPr>
    </w:p>
    <w:p>
      <w:pPr>
        <w:ind w:left="760" w:right="280" w:hanging="374"/>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23" w:lineRule="exact"/>
        <w:rPr>
          <w:rFonts w:ascii="Arial" w:cs="Arial" w:eastAsia="Arial" w:hAnsi="Arial"/>
          <w:sz w:val="16"/>
          <w:szCs w:val="16"/>
          <w:color w:val="auto"/>
        </w:rPr>
      </w:pPr>
    </w:p>
    <w:p>
      <w:pPr>
        <w:ind w:left="760" w:right="220" w:hanging="374"/>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181"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Once we identified our median employee, we calculated that employee’s annual compensation in the same manner as for our CEO as presented in the Summary Compensation Table. Our median employee is a 35-hour, full-time retail store associate.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Employment Agreement and Transition Agreement</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As disclosed above, on March 23, 2018, in connection with Mr. Levin’s retirement announcement, the Company and Mr. Levin entered into a Transition Agreement (“Transition Agreement”) addressing Mr. Levin’s future retirement and related successor issues. The Transition Agreement modifies and supplements certain terms of Mr. Levin’s Employment Agreement, which was last revised and restated as of November 5, 2009. Pursuant to the Transition Agreement, the current term of Mr. Levin’s employment agreement will end December 31, 2019.</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Employment Agreement provides that Mr. Levin be paid a base salary at annual rate of $811,200, with an annual automobile allowance of $10,000. Mr. Levin participates in our AIP at a target rate of 100% of his actual annual base salary, as defined in that plan, and in our LTIP at a target incentive rate of 100% of his annual based salary on the effective plan of the respective LTIP. The Employment Agreement also provides for the payment of discretionary bonuses in such amounts as may be determined by the Compensation Committee or Board of Directors.</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terms of the Transition Agreement, Mr. Levin will continue to serve as Chief Executive Officer until the earlier of December 31, 2018 or the date that the Company employs a full-time successor Chief Executive Officer (the “Transition Date”). As of the Transition Date, Mr. Levin will resign and retire as President and Chief Executive Officer and as a Director of the Company. After the Transition Date and through December 31, 2019, Mr. Levin shall remain employed by the Company to perform reasonable transition duties or other consulting activities or projects, unless his employment is terminated as provided for in the Employment Agreement. If the Company employs a new Chief Executive Officer prior to December 31, 2018, Mr. Levin may elect to terminate his employment for “good reason” within ten days and will receive the payments provided for under the Employment Agreement as a result of such separation. Apart from this time period, Mr. Levin has no other opportunity to terminate his employment for “good reason.”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60"/>
        <w:spacing w:after="0" w:line="272" w:lineRule="auto"/>
        <w:rPr>
          <w:sz w:val="20"/>
          <w:szCs w:val="20"/>
          <w:color w:val="auto"/>
        </w:rPr>
      </w:pPr>
      <w:r>
        <w:rPr>
          <w:rFonts w:ascii="Arial" w:cs="Arial" w:eastAsia="Arial" w:hAnsi="Arial"/>
          <w:sz w:val="17"/>
          <w:szCs w:val="17"/>
          <w:color w:val="auto"/>
        </w:rPr>
        <w:t>If Mr. Levin remains employed after the Transition Date, he will perform transition duties and projects as requested through December 31, 2019 and continue to receive all compensation otherwise due him under the Employment Agreement. With respect to his ongoing employment through December 31, 2019, payments associated with Mr. Levin’s incentive awards for the fiscal year ending February 2, 2019 will be based on actual performance results and payments associated with his incentive awards for the fiscal year ending February 1, 2020 will be paid at target (regardless of actual performance). If there is a change in control of the Company while Mr. Levin remains employed, payments that would have otherwise been due him through December 31, 2019 shall be paid to him in a lump sum (with a limited gross up). So long as Mr. Levin remains employed through December 31, 2019 the vesting of his outstanding long-term incentive awards will be treated based on the retirement provisions of the applicable plans.</w:t>
      </w:r>
    </w:p>
    <w:p>
      <w:pPr>
        <w:spacing w:after="0" w:line="7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Except as otherwise modified by the Transition Agreement, Mr. Levin remains subject to the provisions of the Employment Agreement, including various restrictive covenants. The applicable restricted periods associated with those covenants commence on the earlier of December 31, 2018 or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 executing a general release within thirty days of the execution of the Transition Agreement and again within thirty days of his termination of employment.</w:t>
      </w:r>
    </w:p>
    <w:p>
      <w:pPr>
        <w:spacing w:after="0" w:line="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Mr. Levin elects to resign for “good reason” under the Transition Agreement, pursuant to his Employment Agreement, we will be required to pay Mr. Levin the following:</w:t>
      </w:r>
    </w:p>
    <w:p>
      <w:pPr>
        <w:spacing w:after="0" w:line="62" w:lineRule="exact"/>
        <w:rPr>
          <w:sz w:val="20"/>
          <w:szCs w:val="20"/>
          <w:color w:val="auto"/>
        </w:rPr>
      </w:pPr>
    </w:p>
    <w:p>
      <w:pPr>
        <w:ind w:left="1520" w:hanging="378"/>
        <w:spacing w:after="0" w:line="257" w:lineRule="auto"/>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80" w:lineRule="exact"/>
        <w:rPr>
          <w:rFonts w:ascii="Arial" w:cs="Arial" w:eastAsia="Arial" w:hAnsi="Arial"/>
          <w:sz w:val="18"/>
          <w:szCs w:val="18"/>
          <w:color w:val="auto"/>
        </w:rPr>
      </w:pPr>
    </w:p>
    <w:p>
      <w:pPr>
        <w:ind w:left="1520" w:hanging="378"/>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Acceleration of equity awards in accordance with the LTIP agreement; and,</w:t>
      </w:r>
    </w:p>
    <w:p>
      <w:pPr>
        <w:spacing w:after="0" w:line="117" w:lineRule="exact"/>
        <w:rPr>
          <w:rFonts w:ascii="Arial" w:cs="Arial" w:eastAsia="Arial" w:hAnsi="Arial"/>
          <w:sz w:val="18"/>
          <w:szCs w:val="18"/>
          <w:color w:val="auto"/>
        </w:rPr>
      </w:pPr>
    </w:p>
    <w:p>
      <w:pPr>
        <w:ind w:left="1520" w:hanging="378"/>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pro-rata bonus under the 2018 AIP.</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Potential Payments to Mr. Levin under the Transition Agreement</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shows the payments and value of equity that Mr. Levin would be entitled to pursuant to the Transition Agreement if he retires or resigns for Good Reason within ten days of the Transition Date discussed above. The table assumes that with respect to his retirement, Mr. Levin continues to be employed through December 31, 2018 and, therefore, has earned his annual salary.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Retirement</w:t>
            </w:r>
          </w:p>
        </w:tc>
        <w:tc>
          <w:tcPr>
            <w:tcW w:w="1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Resign for Good Reason</w:t>
            </w:r>
          </w:p>
        </w:tc>
        <w:tc>
          <w:tcPr>
            <w:tcW w:w="0" w:type="dxa"/>
            <w:vAlign w:val="bottom"/>
          </w:tcPr>
          <w:p>
            <w:pPr>
              <w:spacing w:after="0"/>
              <w:rPr>
                <w:sz w:val="1"/>
                <w:szCs w:val="1"/>
                <w:color w:val="auto"/>
              </w:rPr>
            </w:pPr>
          </w:p>
        </w:tc>
      </w:tr>
      <w:tr>
        <w:trPr>
          <w:trHeight w:val="156"/>
        </w:trPr>
        <w:tc>
          <w:tcPr>
            <w:tcW w:w="7620" w:type="dxa"/>
            <w:vAlign w:val="bottom"/>
            <w:gridSpan w:val="3"/>
          </w:tcPr>
          <w:p>
            <w:pPr>
              <w:spacing w:after="0" w:line="155" w:lineRule="exact"/>
              <w:rPr>
                <w:sz w:val="20"/>
                <w:szCs w:val="20"/>
                <w:color w:val="auto"/>
              </w:rPr>
            </w:pPr>
            <w:r>
              <w:rPr>
                <w:rFonts w:ascii="Arial" w:cs="Arial" w:eastAsia="Arial" w:hAnsi="Arial"/>
                <w:sz w:val="14"/>
                <w:szCs w:val="14"/>
                <w:color w:val="auto"/>
              </w:rPr>
              <w:t>2019 Salary continuance through December 31, 2019</w:t>
            </w: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743,600</w:t>
            </w: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Severance, assuming resignation in fiscal 2018 (1)</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2,961,184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6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Annual Incentive Plans</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tcPr>
          <w:p>
            <w:pPr>
              <w:ind w:left="120"/>
              <w:spacing w:after="0"/>
              <w:rPr>
                <w:sz w:val="20"/>
                <w:szCs w:val="20"/>
                <w:color w:val="auto"/>
              </w:rPr>
            </w:pPr>
            <w:r>
              <w:rPr>
                <w:rFonts w:ascii="Arial" w:cs="Arial" w:eastAsia="Arial" w:hAnsi="Arial"/>
                <w:sz w:val="14"/>
                <w:szCs w:val="14"/>
                <w:color w:val="auto"/>
              </w:rPr>
              <w:t>Fiscal 2018, assumes target (2)</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811,200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743,600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Fiscal 2019, guaranteed</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6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Long-Term Incentive Plans</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tcPr>
          <w:p>
            <w:pPr>
              <w:ind w:left="120"/>
              <w:spacing w:after="0"/>
              <w:rPr>
                <w:sz w:val="20"/>
                <w:szCs w:val="20"/>
                <w:color w:val="auto"/>
              </w:rPr>
            </w:pPr>
            <w:r>
              <w:rPr>
                <w:rFonts w:ascii="Arial" w:cs="Arial" w:eastAsia="Arial" w:hAnsi="Arial"/>
                <w:sz w:val="14"/>
                <w:szCs w:val="14"/>
                <w:color w:val="auto"/>
              </w:rPr>
              <w:t>Time-Based Awards, accelerated (3)</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2016-2017 LTIP</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58,953</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tcPr>
          <w:p>
            <w:pPr>
              <w:ind w:left="240"/>
              <w:spacing w:after="0"/>
              <w:rPr>
                <w:sz w:val="20"/>
                <w:szCs w:val="20"/>
                <w:color w:val="auto"/>
              </w:rPr>
            </w:pPr>
            <w:r>
              <w:rPr>
                <w:rFonts w:ascii="Arial" w:cs="Arial" w:eastAsia="Arial" w:hAnsi="Arial"/>
                <w:sz w:val="14"/>
                <w:szCs w:val="14"/>
                <w:color w:val="auto"/>
              </w:rPr>
              <w:t>2017-2018 LTIP</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213,474</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213,474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4"/>
                <w:szCs w:val="14"/>
                <w:color w:val="auto"/>
                <w:w w:val="92"/>
              </w:rPr>
              <w:t>2018-2020</w:t>
            </w:r>
          </w:p>
        </w:tc>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LTIP, guaranteed</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405,600</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gridSpan w:val="2"/>
          </w:tcPr>
          <w:p>
            <w:pPr>
              <w:ind w:left="120"/>
              <w:spacing w:after="0"/>
              <w:rPr>
                <w:sz w:val="20"/>
                <w:szCs w:val="20"/>
                <w:color w:val="auto"/>
              </w:rPr>
            </w:pPr>
            <w:r>
              <w:rPr>
                <w:rFonts w:ascii="Arial" w:cs="Arial" w:eastAsia="Arial" w:hAnsi="Arial"/>
                <w:sz w:val="14"/>
                <w:szCs w:val="14"/>
                <w:color w:val="auto"/>
              </w:rPr>
              <w:t>Performance-Based Awards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4"/>
                <w:szCs w:val="14"/>
                <w:color w:val="auto"/>
                <w:w w:val="92"/>
              </w:rPr>
              <w:t>2016-2017</w:t>
            </w:r>
          </w:p>
        </w:tc>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LTIP</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94,562</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color w:val="auto"/>
                <w:w w:val="92"/>
              </w:rPr>
              <w:t>2017-2018</w:t>
            </w:r>
          </w:p>
        </w:tc>
        <w:tc>
          <w:tcPr>
            <w:tcW w:w="6720" w:type="dxa"/>
            <w:vAlign w:val="bottom"/>
          </w:tcPr>
          <w:p>
            <w:pPr>
              <w:ind w:left="20"/>
              <w:spacing w:after="0"/>
              <w:rPr>
                <w:sz w:val="20"/>
                <w:szCs w:val="20"/>
                <w:color w:val="auto"/>
              </w:rPr>
            </w:pPr>
            <w:r>
              <w:rPr>
                <w:rFonts w:ascii="Arial" w:cs="Arial" w:eastAsia="Arial" w:hAnsi="Arial"/>
                <w:sz w:val="14"/>
                <w:szCs w:val="14"/>
                <w:color w:val="auto"/>
              </w:rPr>
              <w:t>LTIP (4)</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shd w:val="clear" w:color="auto" w:fill="CFF0FC"/>
          </w:tcPr>
          <w:p>
            <w:pPr>
              <w:ind w:left="240"/>
              <w:spacing w:after="0"/>
              <w:rPr>
                <w:sz w:val="20"/>
                <w:szCs w:val="20"/>
                <w:color w:val="auto"/>
              </w:rPr>
            </w:pPr>
            <w:r>
              <w:rPr>
                <w:rFonts w:ascii="Arial" w:cs="Arial" w:eastAsia="Arial" w:hAnsi="Arial"/>
                <w:sz w:val="14"/>
                <w:szCs w:val="14"/>
                <w:color w:val="auto"/>
                <w:w w:val="92"/>
              </w:rPr>
              <w:t>2018-2020</w:t>
            </w:r>
          </w:p>
        </w:tc>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LTIP, guaranteed</w:t>
            </w: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405,600</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cash value of Mr. Levin's retirement or severance</w:t>
            </w: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3,544,189</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4,071,773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760" w:right="420" w:hanging="374"/>
        <w:spacing w:after="0" w:line="293"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Mr. Levin resigns for good reason during the period provided in the Transition Agreement, he would be entitled to receive severance in accordance with his Employment Agreement, to be paid over 24 months.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ind w:left="760" w:hanging="374"/>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2018 AIP payout assumes Resignation for Good Reason occurs on December 31, 2018, and therefore he would receive a pro-rata payout of the 2018 AIP at target.</w:t>
      </w:r>
    </w:p>
    <w:p>
      <w:pPr>
        <w:spacing w:after="0" w:line="149" w:lineRule="exact"/>
        <w:rPr>
          <w:rFonts w:ascii="Arial" w:cs="Arial" w:eastAsia="Arial" w:hAnsi="Arial"/>
          <w:sz w:val="14"/>
          <w:szCs w:val="14"/>
          <w:color w:val="auto"/>
        </w:rPr>
      </w:pPr>
    </w:p>
    <w:p>
      <w:pPr>
        <w:ind w:left="760" w:right="40" w:hanging="374"/>
        <w:spacing w:after="0" w:line="29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value of the accelerated equity awards was calculated by taking the number of RSUs outstanding and multiplying those RSUs by $1.50, the closing stock price of our common stock on May 15, 2018.</w:t>
      </w:r>
    </w:p>
    <w:p>
      <w:pPr>
        <w:spacing w:after="0" w:line="63" w:lineRule="exact"/>
        <w:rPr>
          <w:rFonts w:ascii="Arial" w:cs="Arial" w:eastAsia="Arial" w:hAnsi="Arial"/>
          <w:sz w:val="16"/>
          <w:szCs w:val="16"/>
          <w:color w:val="auto"/>
        </w:rPr>
      </w:pPr>
    </w:p>
    <w:p>
      <w:pPr>
        <w:ind w:left="760" w:hanging="374"/>
        <w:spacing w:after="0" w:line="273"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the end of the first quarter of fiscal 2018, the Company does not expect that the performance targets under the 2017-2018 LTIP will be achieved, therefore, no expected compensation is included in the above table. However, if the Company were to achieve the performance targets under the 2017-2018 LTIP, Mr. Levin would be entitled to receive the cash value of such award, if and at such time that the award is approved and granted by the Compensation Committee. At target, Mr. Levin would be entitled to $405,600.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have employment agreements with each of our Senior Executives, which includes our Executive Vice Presidents and our Senior Vice Presidents (the “Sr. Exec. Employment Agreements”). The term of each employment agreement begins on the respective effective date and continues until terminated by either party. Our Senior Executives are eligible to participate in our AIP. During fiscal 2017, they participated at a target rate of 40% of their respective average base salaries. For fiscal 2018, our Executive Vice Presidents will participate at a target rate of 55% and our Senior Vice Presidents will remain at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Estimated Potential Payments to Other Named Executive Officers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the payments that would be made to our other Named Executive Officers assuming a “termination without cause” or a “resignation for good reason” (each a “Qualifying Termination”) or a Qualifying Termination following a Change in Control, described above, as of February 3, 2018. See “Estimated Potential Payments to Chief Executive Officer” for a discussion of Mr. Levin’s potential payouts under the Company’s Transition Agreement with him.</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40" w:type="dxa"/>
            <w:vAlign w:val="bottom"/>
            <w:tcBorders>
              <w:bottom w:val="single" w:sz="8" w:color="CFF0FC"/>
            </w:tcBorders>
            <w:shd w:val="clear" w:color="auto" w:fill="CFF0FC"/>
          </w:tcPr>
          <w:p>
            <w:pPr>
              <w:spacing w:after="0"/>
              <w:rPr>
                <w:sz w:val="14"/>
                <w:szCs w:val="14"/>
                <w:color w:val="auto"/>
              </w:rPr>
            </w:pPr>
          </w:p>
        </w:tc>
        <w:tc>
          <w:tcPr>
            <w:tcW w:w="4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900" w:type="dxa"/>
            <w:vAlign w:val="bottom"/>
            <w:tcBorders>
              <w:bottom w:val="single" w:sz="8" w:color="auto"/>
            </w:tcBorders>
            <w:gridSpan w:val="4"/>
            <w:shd w:val="clear" w:color="auto" w:fill="CFF0FC"/>
          </w:tcPr>
          <w:p>
            <w:pPr>
              <w:jc w:val="right"/>
              <w:ind w:right="108"/>
              <w:spacing w:after="0"/>
              <w:rPr>
                <w:sz w:val="20"/>
                <w:szCs w:val="20"/>
                <w:color w:val="auto"/>
              </w:rPr>
            </w:pPr>
            <w:r>
              <w:rPr>
                <w:rFonts w:ascii="Arial" w:cs="Arial" w:eastAsia="Arial" w:hAnsi="Arial"/>
                <w:sz w:val="14"/>
                <w:szCs w:val="14"/>
                <w:color w:val="auto"/>
                <w:w w:val="97"/>
              </w:rPr>
              <w:t>Long-Term Incentive Plan</w:t>
            </w:r>
            <w:r>
              <w:rPr>
                <w:rFonts w:ascii="Arial" w:cs="Arial" w:eastAsia="Arial" w:hAnsi="Arial"/>
                <w:sz w:val="12"/>
                <w:szCs w:val="12"/>
                <w:color w:val="auto"/>
                <w:w w:val="97"/>
              </w:rPr>
              <w:t>(3)</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r>
      <w:tr>
        <w:trPr>
          <w:trHeight w:val="137"/>
        </w:trPr>
        <w:tc>
          <w:tcPr>
            <w:tcW w:w="340" w:type="dxa"/>
            <w:vAlign w:val="bottom"/>
            <w:shd w:val="clear" w:color="auto" w:fill="CFF0FC"/>
          </w:tcPr>
          <w:p>
            <w:pPr>
              <w:spacing w:after="0"/>
              <w:rPr>
                <w:sz w:val="11"/>
                <w:szCs w:val="11"/>
                <w:color w:val="auto"/>
              </w:rPr>
            </w:pPr>
          </w:p>
        </w:tc>
        <w:tc>
          <w:tcPr>
            <w:tcW w:w="4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center"/>
              <w:spacing w:after="0" w:line="137" w:lineRule="exact"/>
              <w:rPr>
                <w:sz w:val="20"/>
                <w:szCs w:val="20"/>
                <w:color w:val="auto"/>
              </w:rPr>
            </w:pPr>
            <w:r>
              <w:rPr>
                <w:rFonts w:ascii="Arial" w:cs="Arial" w:eastAsia="Arial" w:hAnsi="Arial"/>
                <w:sz w:val="14"/>
                <w:szCs w:val="14"/>
                <w:color w:val="auto"/>
                <w:w w:val="94"/>
              </w:rPr>
              <w:t>Performance-</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40" w:type="dxa"/>
            <w:vAlign w:val="bottom"/>
            <w:shd w:val="clear" w:color="auto" w:fill="CFF0FC"/>
          </w:tcPr>
          <w:p>
            <w:pPr>
              <w:spacing w:after="0"/>
              <w:rPr>
                <w:sz w:val="12"/>
                <w:szCs w:val="12"/>
                <w:color w:val="auto"/>
              </w:rPr>
            </w:pPr>
          </w:p>
        </w:tc>
        <w:tc>
          <w:tcPr>
            <w:tcW w:w="4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ind w:left="20"/>
              <w:spacing w:after="0" w:line="149" w:lineRule="exact"/>
              <w:rPr>
                <w:sz w:val="20"/>
                <w:szCs w:val="20"/>
                <w:color w:val="auto"/>
              </w:rPr>
            </w:pPr>
            <w:r>
              <w:rPr>
                <w:rFonts w:ascii="Arial" w:cs="Arial" w:eastAsia="Arial" w:hAnsi="Arial"/>
                <w:sz w:val="14"/>
                <w:szCs w:val="14"/>
                <w:color w:val="auto"/>
                <w:w w:val="92"/>
              </w:rPr>
              <w:t>Continued Base</w:t>
            </w:r>
          </w:p>
        </w:tc>
        <w:tc>
          <w:tcPr>
            <w:tcW w:w="2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w w:val="96"/>
              </w:rPr>
              <w:t>Annual Incentive</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w w:val="90"/>
              </w:rPr>
              <w:t>Time-Based</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6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center"/>
              <w:ind w:right="120"/>
              <w:spacing w:after="0" w:line="149" w:lineRule="exact"/>
              <w:rPr>
                <w:sz w:val="20"/>
                <w:szCs w:val="20"/>
                <w:color w:val="auto"/>
              </w:rPr>
            </w:pPr>
            <w:r>
              <w:rPr>
                <w:rFonts w:ascii="Arial" w:cs="Arial" w:eastAsia="Arial" w:hAnsi="Arial"/>
                <w:sz w:val="14"/>
                <w:szCs w:val="14"/>
                <w:color w:val="auto"/>
                <w:w w:val="93"/>
              </w:rPr>
              <w:t>Total Potential</w:t>
            </w:r>
          </w:p>
        </w:tc>
      </w:tr>
      <w:tr>
        <w:trPr>
          <w:trHeight w:val="174"/>
        </w:trPr>
        <w:tc>
          <w:tcPr>
            <w:tcW w:w="340" w:type="dxa"/>
            <w:vAlign w:val="bottom"/>
            <w:tcBorders>
              <w:bottom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w w:val="85"/>
              </w:rPr>
              <w:t>Name</w:t>
            </w:r>
          </w:p>
        </w:tc>
        <w:tc>
          <w:tcPr>
            <w:tcW w:w="4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ind w:right="128"/>
              <w:spacing w:after="0" w:line="154" w:lineRule="exact"/>
              <w:rPr>
                <w:sz w:val="20"/>
                <w:szCs w:val="20"/>
                <w:color w:val="auto"/>
              </w:rPr>
            </w:pPr>
            <w:r>
              <w:rPr>
                <w:rFonts w:ascii="Arial" w:cs="Arial" w:eastAsia="Arial" w:hAnsi="Arial"/>
                <w:sz w:val="14"/>
                <w:szCs w:val="14"/>
                <w:color w:val="auto"/>
              </w:rPr>
              <w:t xml:space="preserve">Salary </w:t>
            </w:r>
            <w:r>
              <w:rPr>
                <w:rFonts w:ascii="Arial" w:cs="Arial" w:eastAsia="Arial" w:hAnsi="Arial"/>
                <w:sz w:val="12"/>
                <w:szCs w:val="12"/>
                <w:color w:val="auto"/>
              </w:rPr>
              <w:t>(1)</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ind w:right="248"/>
              <w:spacing w:after="0" w:line="154" w:lineRule="exact"/>
              <w:rPr>
                <w:sz w:val="20"/>
                <w:szCs w:val="20"/>
                <w:color w:val="auto"/>
              </w:rPr>
            </w:pPr>
            <w:r>
              <w:rPr>
                <w:rFonts w:ascii="Arial" w:cs="Arial" w:eastAsia="Arial" w:hAnsi="Arial"/>
                <w:sz w:val="14"/>
                <w:szCs w:val="14"/>
                <w:color w:val="auto"/>
              </w:rPr>
              <w:t xml:space="preserve">Plan </w:t>
            </w:r>
            <w:r>
              <w:rPr>
                <w:rFonts w:ascii="Arial" w:cs="Arial" w:eastAsia="Arial" w:hAnsi="Arial"/>
                <w:sz w:val="12"/>
                <w:szCs w:val="12"/>
                <w:color w:val="auto"/>
              </w:rPr>
              <w:t>(2)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ind w:right="188"/>
              <w:spacing w:after="0" w:line="154" w:lineRule="exact"/>
              <w:rPr>
                <w:sz w:val="20"/>
                <w:szCs w:val="20"/>
                <w:color w:val="auto"/>
              </w:rPr>
            </w:pPr>
            <w:r>
              <w:rPr>
                <w:rFonts w:ascii="Arial" w:cs="Arial" w:eastAsia="Arial" w:hAnsi="Arial"/>
                <w:sz w:val="14"/>
                <w:szCs w:val="14"/>
                <w:color w:val="auto"/>
              </w:rPr>
              <w:t>Awards</w:t>
            </w:r>
          </w:p>
        </w:tc>
        <w:tc>
          <w:tcPr>
            <w:tcW w:w="1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gridSpan w:val="2"/>
            <w:shd w:val="clear" w:color="auto" w:fill="CFF0FC"/>
          </w:tcPr>
          <w:p>
            <w:pPr>
              <w:jc w:val="center"/>
              <w:spacing w:after="0" w:line="154" w:lineRule="exact"/>
              <w:rPr>
                <w:sz w:val="20"/>
                <w:szCs w:val="20"/>
                <w:color w:val="auto"/>
              </w:rPr>
            </w:pPr>
            <w:r>
              <w:rPr>
                <w:rFonts w:ascii="Arial" w:cs="Arial" w:eastAsia="Arial" w:hAnsi="Arial"/>
                <w:sz w:val="14"/>
                <w:szCs w:val="14"/>
                <w:color w:val="auto"/>
                <w:w w:val="93"/>
              </w:rPr>
              <w:t>Compensation</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center"/>
              <w:ind w:right="240"/>
              <w:spacing w:after="0" w:line="154" w:lineRule="exact"/>
              <w:rPr>
                <w:sz w:val="20"/>
                <w:szCs w:val="20"/>
                <w:color w:val="auto"/>
              </w:rPr>
            </w:pPr>
            <w:r>
              <w:rPr>
                <w:rFonts w:ascii="Arial" w:cs="Arial" w:eastAsia="Arial" w:hAnsi="Arial"/>
                <w:sz w:val="14"/>
                <w:szCs w:val="14"/>
                <w:color w:val="auto"/>
                <w:w w:val="89"/>
              </w:rPr>
              <w:t>Payments</w:t>
            </w: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Peter Stratton</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5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Qualifying Termination</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197,500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52,997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174,333</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33,246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458,076</w:t>
            </w:r>
          </w:p>
        </w:tc>
        <w:tc>
          <w:tcPr>
            <w:tcW w:w="120" w:type="dxa"/>
            <w:vAlign w:val="bottom"/>
            <w:shd w:val="clear" w:color="auto" w:fill="CFF0FC"/>
          </w:tcPr>
          <w:p>
            <w:pPr>
              <w:spacing w:after="0"/>
              <w:rPr>
                <w:sz w:val="14"/>
                <w:szCs w:val="14"/>
                <w:color w:val="auto"/>
              </w:rPr>
            </w:pPr>
          </w:p>
        </w:tc>
      </w:tr>
      <w:tr>
        <w:trPr>
          <w:trHeight w:val="162"/>
        </w:trPr>
        <w:tc>
          <w:tcPr>
            <w:tcW w:w="4560" w:type="dxa"/>
            <w:vAlign w:val="bottom"/>
            <w:gridSpan w:val="2"/>
          </w:tcPr>
          <w:p>
            <w:pPr>
              <w:ind w:left="240"/>
              <w:spacing w:after="0"/>
              <w:rPr>
                <w:sz w:val="20"/>
                <w:szCs w:val="20"/>
                <w:color w:val="auto"/>
              </w:rPr>
            </w:pPr>
            <w:r>
              <w:rPr>
                <w:rFonts w:ascii="Arial" w:cs="Arial" w:eastAsia="Arial" w:hAnsi="Arial"/>
                <w:sz w:val="14"/>
                <w:szCs w:val="14"/>
                <w:color w:val="auto"/>
              </w:rPr>
              <w:t>Qualifying Termination due to change in control</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395,000</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52,997</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174,333</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90,094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712,424</w:t>
            </w:r>
          </w:p>
        </w:tc>
        <w:tc>
          <w:tcPr>
            <w:tcW w:w="120" w:type="dxa"/>
            <w:vAlign w:val="bottom"/>
          </w:tcPr>
          <w:p>
            <w:pPr>
              <w:spacing w:after="0"/>
              <w:rPr>
                <w:sz w:val="14"/>
                <w:szCs w:val="14"/>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560" w:type="dxa"/>
            <w:vAlign w:val="bottom"/>
            <w:gridSpan w:val="2"/>
          </w:tcPr>
          <w:p>
            <w:pPr>
              <w:ind w:left="240"/>
              <w:spacing w:after="0"/>
              <w:rPr>
                <w:sz w:val="20"/>
                <w:szCs w:val="20"/>
                <w:color w:val="auto"/>
              </w:rPr>
            </w:pPr>
            <w:r>
              <w:rPr>
                <w:rFonts w:ascii="Arial" w:cs="Arial" w:eastAsia="Arial" w:hAnsi="Arial"/>
                <w:sz w:val="14"/>
                <w:szCs w:val="14"/>
                <w:color w:val="auto"/>
              </w:rPr>
              <w:t>Qualifying Termination</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200,000</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44,850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147,550</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28,560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420,960</w:t>
            </w:r>
          </w:p>
        </w:tc>
        <w:tc>
          <w:tcPr>
            <w:tcW w:w="120" w:type="dxa"/>
            <w:vAlign w:val="bottom"/>
          </w:tcPr>
          <w:p>
            <w:pPr>
              <w:spacing w:after="0"/>
              <w:rPr>
                <w:sz w:val="14"/>
                <w:szCs w:val="14"/>
                <w:color w:val="auto"/>
              </w:rPr>
            </w:pPr>
          </w:p>
        </w:tc>
      </w:tr>
      <w:tr>
        <w:trPr>
          <w:trHeight w:val="162"/>
        </w:trPr>
        <w:tc>
          <w:tcPr>
            <w:tcW w:w="45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Qualifying Termination due to change in control</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400,000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147,550</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76,600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669,000</w:t>
            </w:r>
          </w:p>
        </w:tc>
        <w:tc>
          <w:tcPr>
            <w:tcW w:w="120" w:type="dxa"/>
            <w:vAlign w:val="bottom"/>
            <w:shd w:val="clear" w:color="auto" w:fill="CFF0FC"/>
          </w:tcPr>
          <w:p>
            <w:pPr>
              <w:spacing w:after="0"/>
              <w:rPr>
                <w:sz w:val="14"/>
                <w:szCs w:val="14"/>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Robert S. Molloy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Qualifying Termination</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187,500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48,526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167,932</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31,892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435,850</w:t>
            </w:r>
          </w:p>
        </w:tc>
        <w:tc>
          <w:tcPr>
            <w:tcW w:w="120" w:type="dxa"/>
            <w:vAlign w:val="bottom"/>
            <w:shd w:val="clear" w:color="auto" w:fill="CFF0FC"/>
          </w:tcPr>
          <w:p>
            <w:pPr>
              <w:spacing w:after="0"/>
              <w:rPr>
                <w:sz w:val="14"/>
                <w:szCs w:val="14"/>
                <w:color w:val="auto"/>
              </w:rPr>
            </w:pPr>
          </w:p>
        </w:tc>
      </w:tr>
      <w:tr>
        <w:trPr>
          <w:trHeight w:val="162"/>
        </w:trPr>
        <w:tc>
          <w:tcPr>
            <w:tcW w:w="4560" w:type="dxa"/>
            <w:vAlign w:val="bottom"/>
            <w:gridSpan w:val="2"/>
          </w:tcPr>
          <w:p>
            <w:pPr>
              <w:ind w:left="240"/>
              <w:spacing w:after="0"/>
              <w:rPr>
                <w:sz w:val="20"/>
                <w:szCs w:val="20"/>
                <w:color w:val="auto"/>
              </w:rPr>
            </w:pPr>
            <w:r>
              <w:rPr>
                <w:rFonts w:ascii="Arial" w:cs="Arial" w:eastAsia="Arial" w:hAnsi="Arial"/>
                <w:sz w:val="14"/>
                <w:szCs w:val="14"/>
                <w:color w:val="auto"/>
              </w:rPr>
              <w:t>Qualifying Termination due to change in control</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375,000</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48,526</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167,932</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87,138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678,596</w:t>
            </w:r>
          </w:p>
        </w:tc>
        <w:tc>
          <w:tcPr>
            <w:tcW w:w="120" w:type="dxa"/>
            <w:vAlign w:val="bottom"/>
          </w:tcPr>
          <w:p>
            <w:pPr>
              <w:spacing w:after="0"/>
              <w:rPr>
                <w:sz w:val="14"/>
                <w:szCs w:val="14"/>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 xml:space="preserve">Kenneth Ederle </w:t>
            </w:r>
            <w:r>
              <w:rPr>
                <w:rFonts w:ascii="Arial" w:cs="Arial" w:eastAsia="Arial" w:hAnsi="Arial"/>
                <w:sz w:val="12"/>
                <w:szCs w:val="12"/>
                <w:color w:val="auto"/>
              </w:rPr>
              <w:t>(4)</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560" w:type="dxa"/>
            <w:vAlign w:val="bottom"/>
            <w:gridSpan w:val="2"/>
          </w:tcPr>
          <w:p>
            <w:pPr>
              <w:ind w:left="240"/>
              <w:spacing w:after="0"/>
              <w:rPr>
                <w:sz w:val="20"/>
                <w:szCs w:val="20"/>
                <w:color w:val="auto"/>
              </w:rPr>
            </w:pPr>
            <w:r>
              <w:rPr>
                <w:rFonts w:ascii="Arial" w:cs="Arial" w:eastAsia="Arial" w:hAnsi="Arial"/>
                <w:sz w:val="14"/>
                <w:szCs w:val="14"/>
                <w:color w:val="auto"/>
              </w:rPr>
              <w:t>Qualifying Termination</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195,000</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54,855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191,815</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37,128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478,798</w:t>
            </w:r>
          </w:p>
        </w:tc>
        <w:tc>
          <w:tcPr>
            <w:tcW w:w="120" w:type="dxa"/>
            <w:vAlign w:val="bottom"/>
          </w:tcPr>
          <w:p>
            <w:pPr>
              <w:spacing w:after="0"/>
              <w:rPr>
                <w:sz w:val="14"/>
                <w:szCs w:val="14"/>
                <w:color w:val="auto"/>
              </w:rPr>
            </w:pPr>
          </w:p>
        </w:tc>
      </w:tr>
      <w:tr>
        <w:trPr>
          <w:trHeight w:val="162"/>
        </w:trPr>
        <w:tc>
          <w:tcPr>
            <w:tcW w:w="45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Qualifying Termination due to change in control</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390,000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54,855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191,815</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99,580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736,251</w:t>
            </w:r>
          </w:p>
        </w:tc>
        <w:tc>
          <w:tcPr>
            <w:tcW w:w="120" w:type="dxa"/>
            <w:vAlign w:val="bottom"/>
            <w:shd w:val="clear" w:color="auto" w:fill="CFF0FC"/>
          </w:tcPr>
          <w:p>
            <w:pPr>
              <w:spacing w:after="0"/>
              <w:rPr>
                <w:sz w:val="14"/>
                <w:szCs w:val="14"/>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 xml:space="preserve">Sahal L. Laher </w:t>
            </w:r>
            <w:r>
              <w:rPr>
                <w:rFonts w:ascii="Arial" w:cs="Arial" w:eastAsia="Arial" w:hAnsi="Arial"/>
                <w:sz w:val="12"/>
                <w:szCs w:val="12"/>
                <w:color w:val="auto"/>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6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Qualifying Termination</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212,500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59,778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196,926</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490,869</w:t>
            </w:r>
          </w:p>
        </w:tc>
        <w:tc>
          <w:tcPr>
            <w:tcW w:w="120" w:type="dxa"/>
            <w:vAlign w:val="bottom"/>
            <w:shd w:val="clear" w:color="auto" w:fill="CFF0FC"/>
          </w:tcPr>
          <w:p>
            <w:pPr>
              <w:spacing w:after="0"/>
              <w:rPr>
                <w:sz w:val="14"/>
                <w:szCs w:val="14"/>
                <w:color w:val="auto"/>
              </w:rPr>
            </w:pPr>
          </w:p>
        </w:tc>
      </w:tr>
      <w:tr>
        <w:trPr>
          <w:trHeight w:val="182"/>
        </w:trPr>
        <w:tc>
          <w:tcPr>
            <w:tcW w:w="4560" w:type="dxa"/>
            <w:vAlign w:val="bottom"/>
            <w:gridSpan w:val="2"/>
          </w:tcPr>
          <w:p>
            <w:pPr>
              <w:ind w:left="240"/>
              <w:spacing w:after="0"/>
              <w:rPr>
                <w:sz w:val="20"/>
                <w:szCs w:val="20"/>
                <w:color w:val="auto"/>
              </w:rPr>
            </w:pPr>
            <w:r>
              <w:rPr>
                <w:rFonts w:ascii="Arial" w:cs="Arial" w:eastAsia="Arial" w:hAnsi="Arial"/>
                <w:sz w:val="14"/>
                <w:szCs w:val="14"/>
                <w:color w:val="auto"/>
              </w:rPr>
              <w:t>Qualifying Termination due to change in control</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425,000</w:t>
            </w:r>
          </w:p>
        </w:tc>
        <w:tc>
          <w:tcPr>
            <w:tcW w:w="4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59,778</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196,926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89,722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771,426</w:t>
            </w:r>
          </w:p>
        </w:tc>
        <w:tc>
          <w:tcPr>
            <w:tcW w:w="120" w:type="dxa"/>
            <w:vAlign w:val="bottom"/>
          </w:tcPr>
          <w:p>
            <w:pPr>
              <w:spacing w:after="0"/>
              <w:rPr>
                <w:sz w:val="15"/>
                <w:szCs w:val="15"/>
                <w:color w:val="auto"/>
              </w:rPr>
            </w:pPr>
          </w:p>
        </w:tc>
      </w:tr>
    </w:tbl>
    <w:p>
      <w:pPr>
        <w:spacing w:after="0" w:line="69" w:lineRule="exact"/>
        <w:rPr>
          <w:sz w:val="20"/>
          <w:szCs w:val="20"/>
          <w:color w:val="auto"/>
        </w:rPr>
      </w:pPr>
    </w:p>
    <w:p>
      <w:pPr>
        <w:ind w:left="760" w:hanging="374"/>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Continued base salary for Qualifying Termination assumes six months of salary, which includes one additional month for notice.</w:t>
      </w:r>
    </w:p>
    <w:p>
      <w:pPr>
        <w:spacing w:after="0" w:line="95" w:lineRule="exact"/>
        <w:rPr>
          <w:rFonts w:ascii="Arial" w:cs="Arial" w:eastAsia="Arial" w:hAnsi="Arial"/>
          <w:sz w:val="14"/>
          <w:szCs w:val="14"/>
          <w:color w:val="auto"/>
        </w:rPr>
      </w:pPr>
    </w:p>
    <w:p>
      <w:pPr>
        <w:ind w:left="760" w:hanging="374"/>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actual incentive earned for 2017 AIP.</w:t>
      </w:r>
    </w:p>
    <w:p>
      <w:pPr>
        <w:spacing w:after="0" w:line="95" w:lineRule="exact"/>
        <w:rPr>
          <w:rFonts w:ascii="Arial" w:cs="Arial" w:eastAsia="Arial" w:hAnsi="Arial"/>
          <w:sz w:val="14"/>
          <w:szCs w:val="14"/>
          <w:color w:val="auto"/>
        </w:rPr>
      </w:pPr>
    </w:p>
    <w:p>
      <w:pPr>
        <w:ind w:left="760" w:right="120" w:hanging="374"/>
        <w:spacing w:after="0" w:line="234"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Time-based awards under our LTIP plan represent time-based RSUs under our 2016-2017 LTIP and our 2017-2018 LTIP. Because the respective performance periods are either complete or in the second year, all outstanding awards become fully vested under the Qualifying Termination. With respect to a Qualifying Termination due to change in control (i) all time-based awards become fully vested irrespective of the performance period and (ii) performance-based awards pay out pro-rata at target. All outstanding awards were valued using the closing stock price of our stock on February 2, 2018 of $2.58 per share</w:t>
      </w:r>
    </w:p>
    <w:p>
      <w:pPr>
        <w:spacing w:after="0" w:line="74" w:lineRule="exact"/>
        <w:rPr>
          <w:rFonts w:ascii="Arial" w:cs="Arial" w:eastAsia="Arial" w:hAnsi="Arial"/>
          <w:sz w:val="14"/>
          <w:szCs w:val="14"/>
          <w:color w:val="auto"/>
        </w:rPr>
      </w:pPr>
    </w:p>
    <w:p>
      <w:pPr>
        <w:ind w:left="760" w:hanging="374"/>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previously discussed, on May 16, 2018, Messrs. Ederle and Laher were terminated as part of the Company’s Restructuring.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Provision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2017.</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2017 GRANTS OF PLAN-BASED AWARDS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Grant</w:t>
            </w:r>
          </w:p>
        </w:tc>
      </w:tr>
      <w:tr>
        <w:trPr>
          <w:trHeight w:val="122"/>
        </w:trPr>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4"/>
              </w:rPr>
              <w:t>All Other</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All Other</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Date</w:t>
            </w:r>
          </w:p>
        </w:tc>
      </w:tr>
      <w:tr>
        <w:trPr>
          <w:trHeight w:val="122"/>
        </w:trPr>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Option</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3"/>
              </w:rPr>
              <w:t>Exercise</w:t>
            </w:r>
          </w:p>
        </w:tc>
        <w:tc>
          <w:tcPr>
            <w:tcW w:w="6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Fair</w:t>
            </w:r>
          </w:p>
        </w:tc>
      </w:tr>
      <w:tr>
        <w:trPr>
          <w:trHeight w:val="122"/>
        </w:trPr>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Awards:</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Awards:</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or Base</w:t>
            </w:r>
          </w:p>
        </w:tc>
        <w:tc>
          <w:tcPr>
            <w:tcW w:w="6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Value of</w:t>
            </w:r>
          </w:p>
        </w:tc>
      </w:tr>
      <w:tr>
        <w:trPr>
          <w:trHeight w:val="122"/>
        </w:trPr>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8"/>
          </w:tcPr>
          <w:p>
            <w:pPr>
              <w:jc w:val="center"/>
              <w:ind w:left="446"/>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9"/>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Number</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Number of</w:t>
            </w:r>
          </w:p>
        </w:tc>
        <w:tc>
          <w:tcPr>
            <w:tcW w:w="66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5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r>
      <w:tr>
        <w:trPr>
          <w:trHeight w:val="122"/>
        </w:trPr>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Under Non-Equity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3"/>
              </w:rPr>
              <w:t>of Shares</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3"/>
              </w:rPr>
              <w:t>Securities</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of</w:t>
            </w:r>
          </w:p>
        </w:tc>
        <w:tc>
          <w:tcPr>
            <w:tcW w:w="6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1"/>
              </w:rPr>
              <w:t>and</w:t>
            </w: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Service Inception/</w:t>
            </w:r>
          </w:p>
        </w:tc>
        <w:tc>
          <w:tcPr>
            <w:tcW w:w="1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6"/>
          </w:tcPr>
          <w:p>
            <w:pPr>
              <w:jc w:val="center"/>
              <w:ind w:left="546"/>
              <w:spacing w:after="0"/>
              <w:rPr>
                <w:sz w:val="20"/>
                <w:szCs w:val="20"/>
                <w:color w:val="auto"/>
              </w:rPr>
            </w:pPr>
            <w:r>
              <w:rPr>
                <w:rFonts w:ascii="Arial" w:cs="Arial" w:eastAsia="Arial" w:hAnsi="Arial"/>
                <w:sz w:val="11"/>
                <w:szCs w:val="11"/>
                <w:b w:val="1"/>
                <w:bCs w:val="1"/>
                <w:color w:val="auto"/>
                <w:w w:val="89"/>
              </w:rPr>
              <w:t>Incentive Plan Awards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7"/>
          </w:tcPr>
          <w:p>
            <w:pPr>
              <w:jc w:val="center"/>
              <w:ind w:left="506"/>
              <w:spacing w:after="0"/>
              <w:rPr>
                <w:sz w:val="20"/>
                <w:szCs w:val="20"/>
                <w:color w:val="auto"/>
              </w:rPr>
            </w:pPr>
            <w:r>
              <w:rPr>
                <w:rFonts w:ascii="Arial" w:cs="Arial" w:eastAsia="Arial" w:hAnsi="Arial"/>
                <w:sz w:val="11"/>
                <w:szCs w:val="11"/>
                <w:b w:val="1"/>
                <w:bCs w:val="1"/>
                <w:color w:val="auto"/>
                <w:w w:val="89"/>
              </w:rPr>
              <w:t>Incentive Plan Awards</w:t>
            </w: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of Stock</w:t>
            </w: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Underlying</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Option</w:t>
            </w:r>
          </w:p>
        </w:tc>
        <w:tc>
          <w:tcPr>
            <w:tcW w:w="60" w:type="dxa"/>
            <w:vAlign w:val="bottom"/>
          </w:tcPr>
          <w:p>
            <w:pPr>
              <w:spacing w:after="0"/>
              <w:rPr>
                <w:sz w:val="11"/>
                <w:szCs w:val="11"/>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Option</w:t>
            </w:r>
          </w:p>
        </w:tc>
      </w:tr>
      <w:tr>
        <w:trPr>
          <w:trHeight w:val="128"/>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Grant</w:t>
            </w: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Approval</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0"/>
              </w:rPr>
              <w:t>Threshold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5"/>
              </w:rPr>
              <w:t>Target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b w:val="1"/>
                <w:bCs w:val="1"/>
                <w:color w:val="auto"/>
                <w:w w:val="94"/>
              </w:rPr>
              <w:t>Maximum</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Threshold</w:t>
            </w:r>
          </w:p>
        </w:tc>
        <w:tc>
          <w:tcPr>
            <w:tcW w:w="720" w:type="dxa"/>
            <w:vAlign w:val="bottom"/>
            <w:gridSpan w:val="3"/>
          </w:tcPr>
          <w:p>
            <w:pPr>
              <w:ind w:left="160"/>
              <w:spacing w:after="0"/>
              <w:rPr>
                <w:sz w:val="20"/>
                <w:szCs w:val="20"/>
                <w:color w:val="auto"/>
              </w:rPr>
            </w:pPr>
            <w:r>
              <w:rPr>
                <w:rFonts w:ascii="Arial" w:cs="Arial" w:eastAsia="Arial" w:hAnsi="Arial"/>
                <w:sz w:val="11"/>
                <w:szCs w:val="11"/>
                <w:b w:val="1"/>
                <w:bCs w:val="1"/>
                <w:color w:val="auto"/>
              </w:rPr>
              <w:t>Target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or Units</w:t>
            </w: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Options</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Awards</w:t>
            </w:r>
          </w:p>
        </w:tc>
        <w:tc>
          <w:tcPr>
            <w:tcW w:w="60" w:type="dxa"/>
            <w:vAlign w:val="bottom"/>
          </w:tcPr>
          <w:p>
            <w:pPr>
              <w:spacing w:after="0"/>
              <w:rPr>
                <w:sz w:val="11"/>
                <w:szCs w:val="11"/>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Awards</w:t>
            </w:r>
          </w:p>
        </w:tc>
      </w:tr>
      <w:tr>
        <w:trPr>
          <w:trHeight w:val="135"/>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Date</w:t>
            </w:r>
          </w:p>
        </w:tc>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Date</w:t>
            </w:r>
          </w:p>
        </w:tc>
        <w:tc>
          <w:tcPr>
            <w:tcW w:w="10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 (1)</w:t>
            </w: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center"/>
              <w:ind w:right="126"/>
              <w:spacing w:after="0"/>
              <w:rPr>
                <w:sz w:val="20"/>
                <w:szCs w:val="20"/>
                <w:color w:val="auto"/>
              </w:rPr>
            </w:pPr>
            <w:r>
              <w:rPr>
                <w:rFonts w:ascii="Arial" w:cs="Arial" w:eastAsia="Arial" w:hAnsi="Arial"/>
                <w:sz w:val="11"/>
                <w:szCs w:val="11"/>
                <w:b w:val="1"/>
                <w:bCs w:val="1"/>
                <w:color w:val="auto"/>
                <w:w w:val="98"/>
              </w:rPr>
              <w:t>) (1)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 (1)</w:t>
            </w:r>
          </w:p>
        </w:tc>
        <w:tc>
          <w:tcPr>
            <w:tcW w:w="1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 / Sh)</w:t>
            </w:r>
          </w:p>
        </w:tc>
        <w:tc>
          <w:tcPr>
            <w:tcW w:w="60" w:type="dxa"/>
            <w:vAlign w:val="bottom"/>
          </w:tcPr>
          <w:p>
            <w:pPr>
              <w:spacing w:after="0"/>
              <w:rPr>
                <w:sz w:val="11"/>
                <w:szCs w:val="11"/>
                <w:color w:val="auto"/>
              </w:rPr>
            </w:pPr>
          </w:p>
        </w:tc>
        <w:tc>
          <w:tcPr>
            <w:tcW w:w="46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w:t>
            </w:r>
          </w:p>
        </w:tc>
        <w:tc>
          <w:tcPr>
            <w:tcW w:w="40" w:type="dxa"/>
            <w:vAlign w:val="bottom"/>
          </w:tcPr>
          <w:p>
            <w:pPr>
              <w:spacing w:after="0"/>
              <w:rPr>
                <w:sz w:val="11"/>
                <w:szCs w:val="11"/>
                <w:color w:val="auto"/>
              </w:rPr>
            </w:pPr>
          </w:p>
        </w:tc>
      </w:tr>
      <w:tr>
        <w:trPr>
          <w:trHeight w:val="129"/>
        </w:trPr>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820" w:type="dxa"/>
            <w:vAlign w:val="bottom"/>
            <w:shd w:val="clear" w:color="auto" w:fill="CFF0FC"/>
          </w:tcPr>
          <w:p>
            <w:pPr>
              <w:spacing w:after="0"/>
              <w:rPr>
                <w:sz w:val="20"/>
                <w:szCs w:val="20"/>
                <w:color w:val="auto"/>
              </w:rPr>
            </w:pPr>
            <w:r>
              <w:rPr>
                <w:rFonts w:ascii="Arial" w:cs="Arial" w:eastAsia="Arial" w:hAnsi="Arial"/>
                <w:sz w:val="11"/>
                <w:szCs w:val="11"/>
                <w:color w:val="auto"/>
              </w:rPr>
              <w:t>David A. Levin</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 AIP (2)</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9"/>
              </w:rPr>
              <w:t>3/31/2017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486,720</w:t>
            </w:r>
          </w:p>
        </w:tc>
        <w:tc>
          <w:tcPr>
            <w:tcW w:w="4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811,200</w:t>
            </w:r>
          </w:p>
        </w:tc>
        <w:tc>
          <w:tcPr>
            <w:tcW w:w="22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1,216,800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-2017-2018 LTIP, Time-Based (3)</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8"/>
              </w:rPr>
              <w:t>4/3/2017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142,315</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405,597</w:t>
            </w:r>
          </w:p>
        </w:tc>
        <w:tc>
          <w:tcPr>
            <w:tcW w:w="40" w:type="dxa"/>
            <w:vAlign w:val="bottom"/>
            <w:shd w:val="clear" w:color="auto" w:fill="CFF0FC"/>
          </w:tcPr>
          <w:p>
            <w:pPr>
              <w:spacing w:after="0"/>
              <w:rPr>
                <w:sz w:val="11"/>
                <w:szCs w:val="11"/>
                <w:color w:val="auto"/>
              </w:rPr>
            </w:pPr>
          </w:p>
        </w:tc>
      </w:tr>
      <w:tr>
        <w:trPr>
          <w:trHeight w:val="125"/>
        </w:trPr>
        <w:tc>
          <w:tcPr>
            <w:tcW w:w="1820" w:type="dxa"/>
            <w:vAlign w:val="bottom"/>
            <w:shd w:val="clear" w:color="auto" w:fill="CFF0FC"/>
          </w:tcPr>
          <w:p>
            <w:pPr>
              <w:ind w:left="80"/>
              <w:spacing w:after="0" w:line="125" w:lineRule="exact"/>
              <w:rPr>
                <w:sz w:val="20"/>
                <w:szCs w:val="20"/>
                <w:color w:val="auto"/>
              </w:rPr>
            </w:pPr>
            <w:r>
              <w:rPr>
                <w:rFonts w:ascii="Arial" w:cs="Arial" w:eastAsia="Arial" w:hAnsi="Arial"/>
                <w:sz w:val="11"/>
                <w:szCs w:val="11"/>
                <w:color w:val="auto"/>
                <w:w w:val="92"/>
              </w:rPr>
              <w:t>-2017-2018 LTIP, Performance-Based</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186"/>
              <w:spacing w:after="0" w:line="125" w:lineRule="exact"/>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r>
      <w:tr>
        <w:trPr>
          <w:trHeight w:val="131"/>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(3)</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101,400</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405,600</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608,400</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9"/>
        </w:trPr>
        <w:tc>
          <w:tcPr>
            <w:tcW w:w="1820" w:type="dxa"/>
            <w:vAlign w:val="bottom"/>
          </w:tcPr>
          <w:p>
            <w:pPr>
              <w:spacing w:after="0"/>
              <w:rPr>
                <w:sz w:val="20"/>
                <w:szCs w:val="20"/>
                <w:color w:val="auto"/>
              </w:rPr>
            </w:pPr>
            <w:r>
              <w:rPr>
                <w:rFonts w:ascii="Arial" w:cs="Arial" w:eastAsia="Arial" w:hAnsi="Arial"/>
                <w:sz w:val="11"/>
                <w:szCs w:val="11"/>
                <w:color w:val="auto"/>
              </w:rPr>
              <w:t>Peter H. Stratton, Jr.</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820" w:type="dxa"/>
            <w:vAlign w:val="bottom"/>
          </w:tcPr>
          <w:p>
            <w:pPr>
              <w:ind w:left="80"/>
              <w:spacing w:after="0"/>
              <w:rPr>
                <w:sz w:val="20"/>
                <w:szCs w:val="20"/>
                <w:color w:val="auto"/>
              </w:rPr>
            </w:pPr>
            <w:r>
              <w:rPr>
                <w:rFonts w:ascii="Arial" w:cs="Arial" w:eastAsia="Arial" w:hAnsi="Arial"/>
                <w:sz w:val="11"/>
                <w:szCs w:val="11"/>
                <w:color w:val="auto"/>
              </w:rPr>
              <w:t>-2017 AIP (2)</w:t>
            </w:r>
          </w:p>
        </w:tc>
        <w:tc>
          <w:tcPr>
            <w:tcW w:w="580" w:type="dxa"/>
            <w:vAlign w:val="bottom"/>
            <w:gridSpan w:val="2"/>
          </w:tcPr>
          <w:p>
            <w:pPr>
              <w:jc w:val="center"/>
              <w:spacing w:after="0"/>
              <w:rPr>
                <w:sz w:val="20"/>
                <w:szCs w:val="20"/>
                <w:color w:val="auto"/>
              </w:rPr>
            </w:pPr>
            <w:r>
              <w:rPr>
                <w:rFonts w:ascii="Arial" w:cs="Arial" w:eastAsia="Arial" w:hAnsi="Arial"/>
                <w:sz w:val="11"/>
                <w:szCs w:val="11"/>
                <w:color w:val="auto"/>
                <w:w w:val="89"/>
              </w:rPr>
              <w:t>3/31/2017</w:t>
            </w:r>
          </w:p>
        </w:tc>
        <w:tc>
          <w:tcPr>
            <w:tcW w:w="100" w:type="dxa"/>
            <w:vAlign w:val="bottom"/>
          </w:tcPr>
          <w:p>
            <w:pPr>
              <w:spacing w:after="0"/>
              <w:rPr>
                <w:sz w:val="11"/>
                <w:szCs w:val="11"/>
                <w:color w:val="auto"/>
              </w:rPr>
            </w:pPr>
          </w:p>
        </w:tc>
        <w:tc>
          <w:tcPr>
            <w:tcW w:w="980" w:type="dxa"/>
            <w:vAlign w:val="bottom"/>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85,200</w:t>
            </w:r>
          </w:p>
        </w:tc>
        <w:tc>
          <w:tcPr>
            <w:tcW w:w="4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142,000</w:t>
            </w:r>
          </w:p>
        </w:tc>
        <w:tc>
          <w:tcPr>
            <w:tcW w:w="22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213,000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tcPr>
          <w:p>
            <w:pPr>
              <w:ind w:left="80"/>
              <w:spacing w:after="0"/>
              <w:rPr>
                <w:sz w:val="20"/>
                <w:szCs w:val="20"/>
                <w:color w:val="auto"/>
              </w:rPr>
            </w:pPr>
            <w:r>
              <w:rPr>
                <w:rFonts w:ascii="Arial" w:cs="Arial" w:eastAsia="Arial" w:hAnsi="Arial"/>
                <w:sz w:val="11"/>
                <w:szCs w:val="11"/>
                <w:color w:val="auto"/>
              </w:rPr>
              <w:t>-2017-2018 LTIP, Time-Based (3)</w:t>
            </w:r>
          </w:p>
        </w:tc>
        <w:tc>
          <w:tcPr>
            <w:tcW w:w="580" w:type="dxa"/>
            <w:vAlign w:val="bottom"/>
            <w:gridSpan w:val="2"/>
          </w:tcPr>
          <w:p>
            <w:pPr>
              <w:jc w:val="center"/>
              <w:spacing w:after="0"/>
              <w:rPr>
                <w:sz w:val="20"/>
                <w:szCs w:val="20"/>
                <w:color w:val="auto"/>
              </w:rPr>
            </w:pPr>
            <w:r>
              <w:rPr>
                <w:rFonts w:ascii="Arial" w:cs="Arial" w:eastAsia="Arial" w:hAnsi="Arial"/>
                <w:sz w:val="11"/>
                <w:szCs w:val="11"/>
                <w:color w:val="auto"/>
                <w:w w:val="88"/>
              </w:rPr>
              <w:t>4/3/2017</w:t>
            </w:r>
          </w:p>
        </w:tc>
        <w:tc>
          <w:tcPr>
            <w:tcW w:w="100" w:type="dxa"/>
            <w:vAlign w:val="bottom"/>
          </w:tcPr>
          <w:p>
            <w:pPr>
              <w:spacing w:after="0"/>
              <w:rPr>
                <w:sz w:val="11"/>
                <w:szCs w:val="11"/>
                <w:color w:val="auto"/>
              </w:rPr>
            </w:pPr>
          </w:p>
        </w:tc>
        <w:tc>
          <w:tcPr>
            <w:tcW w:w="980" w:type="dxa"/>
            <w:vAlign w:val="bottom"/>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43,596</w:t>
            </w:r>
          </w:p>
        </w:tc>
        <w:tc>
          <w:tcPr>
            <w:tcW w:w="120" w:type="dxa"/>
            <w:vAlign w:val="bottom"/>
          </w:tcPr>
          <w:p>
            <w:pPr>
              <w:spacing w:after="0"/>
              <w:rPr>
                <w:sz w:val="11"/>
                <w:szCs w:val="11"/>
                <w:color w:val="auto"/>
              </w:rPr>
            </w:pPr>
          </w:p>
        </w:tc>
        <w:tc>
          <w:tcPr>
            <w:tcW w:w="8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124,249</w:t>
            </w:r>
          </w:p>
        </w:tc>
        <w:tc>
          <w:tcPr>
            <w:tcW w:w="40" w:type="dxa"/>
            <w:vAlign w:val="bottom"/>
          </w:tcPr>
          <w:p>
            <w:pPr>
              <w:spacing w:after="0"/>
              <w:rPr>
                <w:sz w:val="11"/>
                <w:szCs w:val="11"/>
                <w:color w:val="auto"/>
              </w:rPr>
            </w:pPr>
          </w:p>
        </w:tc>
      </w:tr>
      <w:tr>
        <w:trPr>
          <w:trHeight w:val="122"/>
        </w:trPr>
        <w:tc>
          <w:tcPr>
            <w:tcW w:w="1820" w:type="dxa"/>
            <w:vAlign w:val="bottom"/>
          </w:tcPr>
          <w:p>
            <w:pPr>
              <w:ind w:left="80"/>
              <w:spacing w:after="0" w:line="122" w:lineRule="exact"/>
              <w:rPr>
                <w:sz w:val="20"/>
                <w:szCs w:val="20"/>
                <w:color w:val="auto"/>
              </w:rPr>
            </w:pPr>
            <w:r>
              <w:rPr>
                <w:rFonts w:ascii="Arial" w:cs="Arial" w:eastAsia="Arial" w:hAnsi="Arial"/>
                <w:sz w:val="11"/>
                <w:szCs w:val="11"/>
                <w:color w:val="auto"/>
                <w:w w:val="92"/>
              </w:rPr>
              <w:t>-2017-2018 LTIP, Performance-Based</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3/31/2017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820" w:type="dxa"/>
            <w:vAlign w:val="bottom"/>
          </w:tcPr>
          <w:p>
            <w:pPr>
              <w:ind w:left="80"/>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31,063</w:t>
            </w:r>
          </w:p>
        </w:tc>
        <w:tc>
          <w:tcPr>
            <w:tcW w:w="120" w:type="dxa"/>
            <w:vAlign w:val="bottom"/>
          </w:tcPr>
          <w:p>
            <w:pPr>
              <w:spacing w:after="0"/>
              <w:rPr>
                <w:sz w:val="11"/>
                <w:szCs w:val="11"/>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124,250</w:t>
            </w:r>
          </w:p>
        </w:tc>
        <w:tc>
          <w:tcPr>
            <w:tcW w:w="80" w:type="dxa"/>
            <w:vAlign w:val="bottom"/>
          </w:tcPr>
          <w:p>
            <w:pPr>
              <w:spacing w:after="0"/>
              <w:rPr>
                <w:sz w:val="11"/>
                <w:szCs w:val="11"/>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186,375</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shd w:val="clear" w:color="auto" w:fill="CFF0FC"/>
          </w:tcPr>
          <w:p>
            <w:pPr>
              <w:spacing w:after="0"/>
              <w:rPr>
                <w:sz w:val="20"/>
                <w:szCs w:val="20"/>
                <w:color w:val="auto"/>
              </w:rPr>
            </w:pPr>
            <w:r>
              <w:rPr>
                <w:rFonts w:ascii="Arial" w:cs="Arial" w:eastAsia="Arial" w:hAnsi="Arial"/>
                <w:sz w:val="11"/>
                <w:szCs w:val="11"/>
                <w:color w:val="auto"/>
              </w:rPr>
              <w:t>Brian S. Reaves</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 AIP (2)</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9"/>
              </w:rPr>
              <w:t>3/31/2017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72,000</w:t>
            </w:r>
          </w:p>
        </w:tc>
        <w:tc>
          <w:tcPr>
            <w:tcW w:w="4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120,000</w:t>
            </w:r>
          </w:p>
        </w:tc>
        <w:tc>
          <w:tcPr>
            <w:tcW w:w="22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180,000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-2017-2018 LTIP, Time-Based (3)</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8"/>
              </w:rPr>
              <w:t>4/3/2017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36,842</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105,000</w:t>
            </w:r>
          </w:p>
        </w:tc>
        <w:tc>
          <w:tcPr>
            <w:tcW w:w="40" w:type="dxa"/>
            <w:vAlign w:val="bottom"/>
            <w:shd w:val="clear" w:color="auto" w:fill="CFF0FC"/>
          </w:tcPr>
          <w:p>
            <w:pPr>
              <w:spacing w:after="0"/>
              <w:rPr>
                <w:sz w:val="11"/>
                <w:szCs w:val="11"/>
                <w:color w:val="auto"/>
              </w:rPr>
            </w:pPr>
          </w:p>
        </w:tc>
      </w:tr>
      <w:tr>
        <w:trPr>
          <w:trHeight w:val="125"/>
        </w:trPr>
        <w:tc>
          <w:tcPr>
            <w:tcW w:w="1820" w:type="dxa"/>
            <w:vAlign w:val="bottom"/>
            <w:shd w:val="clear" w:color="auto" w:fill="CFF0FC"/>
          </w:tcPr>
          <w:p>
            <w:pPr>
              <w:ind w:left="80"/>
              <w:spacing w:after="0" w:line="125" w:lineRule="exact"/>
              <w:rPr>
                <w:sz w:val="20"/>
                <w:szCs w:val="20"/>
                <w:color w:val="auto"/>
              </w:rPr>
            </w:pPr>
            <w:r>
              <w:rPr>
                <w:rFonts w:ascii="Arial" w:cs="Arial" w:eastAsia="Arial" w:hAnsi="Arial"/>
                <w:sz w:val="11"/>
                <w:szCs w:val="11"/>
                <w:color w:val="auto"/>
                <w:w w:val="92"/>
              </w:rPr>
              <w:t>-2017-2018 LTIP, Performance-Based</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186"/>
              <w:spacing w:after="0" w:line="125" w:lineRule="exact"/>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r>
      <w:tr>
        <w:trPr>
          <w:trHeight w:val="131"/>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(3)</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52,500</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105,000</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157,500</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9"/>
        </w:trPr>
        <w:tc>
          <w:tcPr>
            <w:tcW w:w="1820" w:type="dxa"/>
            <w:vAlign w:val="bottom"/>
          </w:tcPr>
          <w:p>
            <w:pPr>
              <w:spacing w:after="0"/>
              <w:rPr>
                <w:sz w:val="20"/>
                <w:szCs w:val="20"/>
                <w:color w:val="auto"/>
              </w:rPr>
            </w:pPr>
            <w:r>
              <w:rPr>
                <w:rFonts w:ascii="Arial" w:cs="Arial" w:eastAsia="Arial" w:hAnsi="Arial"/>
                <w:sz w:val="11"/>
                <w:szCs w:val="11"/>
                <w:color w:val="auto"/>
              </w:rPr>
              <w:t>Robert S. Molloy</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820" w:type="dxa"/>
            <w:vAlign w:val="bottom"/>
          </w:tcPr>
          <w:p>
            <w:pPr>
              <w:ind w:left="80"/>
              <w:spacing w:after="0"/>
              <w:rPr>
                <w:sz w:val="20"/>
                <w:szCs w:val="20"/>
                <w:color w:val="auto"/>
              </w:rPr>
            </w:pPr>
            <w:r>
              <w:rPr>
                <w:rFonts w:ascii="Arial" w:cs="Arial" w:eastAsia="Arial" w:hAnsi="Arial"/>
                <w:sz w:val="11"/>
                <w:szCs w:val="11"/>
                <w:color w:val="auto"/>
              </w:rPr>
              <w:t>-2017 AIP (2)</w:t>
            </w:r>
          </w:p>
        </w:tc>
        <w:tc>
          <w:tcPr>
            <w:tcW w:w="580" w:type="dxa"/>
            <w:vAlign w:val="bottom"/>
            <w:gridSpan w:val="2"/>
          </w:tcPr>
          <w:p>
            <w:pPr>
              <w:jc w:val="center"/>
              <w:spacing w:after="0"/>
              <w:rPr>
                <w:sz w:val="20"/>
                <w:szCs w:val="20"/>
                <w:color w:val="auto"/>
              </w:rPr>
            </w:pPr>
            <w:r>
              <w:rPr>
                <w:rFonts w:ascii="Arial" w:cs="Arial" w:eastAsia="Arial" w:hAnsi="Arial"/>
                <w:sz w:val="11"/>
                <w:szCs w:val="11"/>
                <w:color w:val="auto"/>
                <w:w w:val="89"/>
              </w:rPr>
              <w:t>3/31/2017</w:t>
            </w:r>
          </w:p>
        </w:tc>
        <w:tc>
          <w:tcPr>
            <w:tcW w:w="100" w:type="dxa"/>
            <w:vAlign w:val="bottom"/>
          </w:tcPr>
          <w:p>
            <w:pPr>
              <w:spacing w:after="0"/>
              <w:rPr>
                <w:sz w:val="11"/>
                <w:szCs w:val="11"/>
                <w:color w:val="auto"/>
              </w:rPr>
            </w:pPr>
          </w:p>
        </w:tc>
        <w:tc>
          <w:tcPr>
            <w:tcW w:w="980" w:type="dxa"/>
            <w:vAlign w:val="bottom"/>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82,800</w:t>
            </w:r>
          </w:p>
        </w:tc>
        <w:tc>
          <w:tcPr>
            <w:tcW w:w="40" w:type="dxa"/>
            <w:vAlign w:val="bottom"/>
          </w:tcPr>
          <w:p>
            <w:pPr>
              <w:spacing w:after="0"/>
              <w:rPr>
                <w:sz w:val="11"/>
                <w:szCs w:val="1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138,000</w:t>
            </w:r>
          </w:p>
        </w:tc>
        <w:tc>
          <w:tcPr>
            <w:tcW w:w="22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207,000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tcPr>
          <w:p>
            <w:pPr>
              <w:ind w:left="80"/>
              <w:spacing w:after="0"/>
              <w:rPr>
                <w:sz w:val="20"/>
                <w:szCs w:val="20"/>
                <w:color w:val="auto"/>
              </w:rPr>
            </w:pPr>
            <w:r>
              <w:rPr>
                <w:rFonts w:ascii="Arial" w:cs="Arial" w:eastAsia="Arial" w:hAnsi="Arial"/>
                <w:sz w:val="11"/>
                <w:szCs w:val="11"/>
                <w:color w:val="auto"/>
              </w:rPr>
              <w:t>-2017-2018 LTIP, Time-Based (3)</w:t>
            </w:r>
          </w:p>
        </w:tc>
        <w:tc>
          <w:tcPr>
            <w:tcW w:w="580" w:type="dxa"/>
            <w:vAlign w:val="bottom"/>
            <w:gridSpan w:val="2"/>
          </w:tcPr>
          <w:p>
            <w:pPr>
              <w:jc w:val="center"/>
              <w:spacing w:after="0"/>
              <w:rPr>
                <w:sz w:val="20"/>
                <w:szCs w:val="20"/>
                <w:color w:val="auto"/>
              </w:rPr>
            </w:pPr>
            <w:r>
              <w:rPr>
                <w:rFonts w:ascii="Arial" w:cs="Arial" w:eastAsia="Arial" w:hAnsi="Arial"/>
                <w:sz w:val="11"/>
                <w:szCs w:val="11"/>
                <w:color w:val="auto"/>
                <w:w w:val="88"/>
              </w:rPr>
              <w:t>4/3/2017</w:t>
            </w:r>
          </w:p>
        </w:tc>
        <w:tc>
          <w:tcPr>
            <w:tcW w:w="100" w:type="dxa"/>
            <w:vAlign w:val="bottom"/>
          </w:tcPr>
          <w:p>
            <w:pPr>
              <w:spacing w:after="0"/>
              <w:rPr>
                <w:sz w:val="11"/>
                <w:szCs w:val="11"/>
                <w:color w:val="auto"/>
              </w:rPr>
            </w:pPr>
          </w:p>
        </w:tc>
        <w:tc>
          <w:tcPr>
            <w:tcW w:w="980" w:type="dxa"/>
            <w:vAlign w:val="bottom"/>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42,368</w:t>
            </w:r>
          </w:p>
        </w:tc>
        <w:tc>
          <w:tcPr>
            <w:tcW w:w="120" w:type="dxa"/>
            <w:vAlign w:val="bottom"/>
          </w:tcPr>
          <w:p>
            <w:pPr>
              <w:spacing w:after="0"/>
              <w:rPr>
                <w:sz w:val="11"/>
                <w:szCs w:val="11"/>
                <w:color w:val="auto"/>
              </w:rPr>
            </w:pPr>
          </w:p>
        </w:tc>
        <w:tc>
          <w:tcPr>
            <w:tcW w:w="8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120,749</w:t>
            </w:r>
          </w:p>
        </w:tc>
        <w:tc>
          <w:tcPr>
            <w:tcW w:w="40" w:type="dxa"/>
            <w:vAlign w:val="bottom"/>
          </w:tcPr>
          <w:p>
            <w:pPr>
              <w:spacing w:after="0"/>
              <w:rPr>
                <w:sz w:val="11"/>
                <w:szCs w:val="11"/>
                <w:color w:val="auto"/>
              </w:rPr>
            </w:pPr>
          </w:p>
        </w:tc>
      </w:tr>
      <w:tr>
        <w:trPr>
          <w:trHeight w:val="122"/>
        </w:trPr>
        <w:tc>
          <w:tcPr>
            <w:tcW w:w="1820" w:type="dxa"/>
            <w:vAlign w:val="bottom"/>
          </w:tcPr>
          <w:p>
            <w:pPr>
              <w:ind w:left="80"/>
              <w:spacing w:after="0" w:line="122" w:lineRule="exact"/>
              <w:rPr>
                <w:sz w:val="20"/>
                <w:szCs w:val="20"/>
                <w:color w:val="auto"/>
              </w:rPr>
            </w:pPr>
            <w:r>
              <w:rPr>
                <w:rFonts w:ascii="Arial" w:cs="Arial" w:eastAsia="Arial" w:hAnsi="Arial"/>
                <w:sz w:val="11"/>
                <w:szCs w:val="11"/>
                <w:color w:val="auto"/>
                <w:w w:val="92"/>
              </w:rPr>
              <w:t>-2017-2018 LTIP, Performance-Based</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3/31/2017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820" w:type="dxa"/>
            <w:vAlign w:val="bottom"/>
          </w:tcPr>
          <w:p>
            <w:pPr>
              <w:ind w:left="80"/>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60,375</w:t>
            </w:r>
          </w:p>
        </w:tc>
        <w:tc>
          <w:tcPr>
            <w:tcW w:w="120" w:type="dxa"/>
            <w:vAlign w:val="bottom"/>
          </w:tcPr>
          <w:p>
            <w:pPr>
              <w:spacing w:after="0"/>
              <w:rPr>
                <w:sz w:val="11"/>
                <w:szCs w:val="11"/>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120,750</w:t>
            </w:r>
          </w:p>
        </w:tc>
        <w:tc>
          <w:tcPr>
            <w:tcW w:w="80" w:type="dxa"/>
            <w:vAlign w:val="bottom"/>
          </w:tcPr>
          <w:p>
            <w:pPr>
              <w:spacing w:after="0"/>
              <w:rPr>
                <w:sz w:val="11"/>
                <w:szCs w:val="11"/>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181,125</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shd w:val="clear" w:color="auto" w:fill="CFF0FC"/>
          </w:tcPr>
          <w:p>
            <w:pPr>
              <w:spacing w:after="0"/>
              <w:rPr>
                <w:sz w:val="20"/>
                <w:szCs w:val="20"/>
                <w:color w:val="auto"/>
              </w:rPr>
            </w:pPr>
            <w:r>
              <w:rPr>
                <w:rFonts w:ascii="Arial" w:cs="Arial" w:eastAsia="Arial" w:hAnsi="Arial"/>
                <w:sz w:val="11"/>
                <w:szCs w:val="11"/>
                <w:color w:val="auto"/>
              </w:rPr>
              <w:t>Kenneth M. Ederle</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 AIP (2)</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9"/>
              </w:rPr>
              <w:t>3/31/2017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93,600</w:t>
            </w:r>
          </w:p>
        </w:tc>
        <w:tc>
          <w:tcPr>
            <w:tcW w:w="4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156,000</w:t>
            </w:r>
          </w:p>
        </w:tc>
        <w:tc>
          <w:tcPr>
            <w:tcW w:w="22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234,000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-2017-2018 LTIP, Time-Based (3)</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8"/>
              </w:rPr>
              <w:t>4/3/2017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47,894</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136,498</w:t>
            </w:r>
          </w:p>
        </w:tc>
        <w:tc>
          <w:tcPr>
            <w:tcW w:w="40" w:type="dxa"/>
            <w:vAlign w:val="bottom"/>
            <w:shd w:val="clear" w:color="auto" w:fill="CFF0FC"/>
          </w:tcPr>
          <w:p>
            <w:pPr>
              <w:spacing w:after="0"/>
              <w:rPr>
                <w:sz w:val="11"/>
                <w:szCs w:val="11"/>
                <w:color w:val="auto"/>
              </w:rPr>
            </w:pPr>
          </w:p>
        </w:tc>
      </w:tr>
      <w:tr>
        <w:trPr>
          <w:trHeight w:val="125"/>
        </w:trPr>
        <w:tc>
          <w:tcPr>
            <w:tcW w:w="1820" w:type="dxa"/>
            <w:vAlign w:val="bottom"/>
            <w:shd w:val="clear" w:color="auto" w:fill="CFF0FC"/>
          </w:tcPr>
          <w:p>
            <w:pPr>
              <w:ind w:left="80"/>
              <w:spacing w:after="0" w:line="125" w:lineRule="exact"/>
              <w:rPr>
                <w:sz w:val="20"/>
                <w:szCs w:val="20"/>
                <w:color w:val="auto"/>
              </w:rPr>
            </w:pPr>
            <w:r>
              <w:rPr>
                <w:rFonts w:ascii="Arial" w:cs="Arial" w:eastAsia="Arial" w:hAnsi="Arial"/>
                <w:sz w:val="11"/>
                <w:szCs w:val="11"/>
                <w:color w:val="auto"/>
                <w:w w:val="92"/>
              </w:rPr>
              <w:t>-2017-2018 LTIP, Performance-Based</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186"/>
              <w:spacing w:after="0" w:line="125" w:lineRule="exact"/>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r>
      <w:tr>
        <w:trPr>
          <w:trHeight w:val="131"/>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(3)</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68,250</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136,500</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204,750</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5"/>
        </w:trPr>
        <w:tc>
          <w:tcPr>
            <w:tcW w:w="1820" w:type="dxa"/>
            <w:vAlign w:val="bottom"/>
            <w:shd w:val="clear" w:color="auto" w:fill="CFF0FC"/>
          </w:tcPr>
          <w:p>
            <w:pPr>
              <w:spacing w:after="0"/>
              <w:rPr>
                <w:sz w:val="20"/>
                <w:szCs w:val="20"/>
                <w:color w:val="auto"/>
              </w:rPr>
            </w:pPr>
            <w:r>
              <w:rPr>
                <w:rFonts w:ascii="Arial" w:cs="Arial" w:eastAsia="Arial" w:hAnsi="Arial"/>
                <w:sz w:val="11"/>
                <w:szCs w:val="11"/>
                <w:color w:val="auto"/>
              </w:rPr>
              <w:t>Sahal S. Laher</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-Discretionary Stock Award (4)</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9"/>
              </w:rPr>
              <w:t>1/30/2017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1/30/2017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50,000</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$165,000</w:t>
            </w:r>
          </w:p>
        </w:tc>
        <w:tc>
          <w:tcPr>
            <w:tcW w:w="4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-2016-2017 LTIP (4)</w:t>
            </w:r>
          </w:p>
        </w:tc>
        <w:tc>
          <w:tcPr>
            <w:tcW w:w="580" w:type="dxa"/>
            <w:vAlign w:val="bottom"/>
            <w:gridSpan w:val="2"/>
            <w:shd w:val="clear" w:color="auto" w:fill="CFF0FC"/>
          </w:tcPr>
          <w:p>
            <w:pPr>
              <w:jc w:val="center"/>
              <w:spacing w:after="0"/>
              <w:rPr>
                <w:sz w:val="20"/>
                <w:szCs w:val="20"/>
                <w:color w:val="auto"/>
              </w:rPr>
            </w:pPr>
            <w:r>
              <w:rPr>
                <w:rFonts w:ascii="Arial" w:cs="Arial" w:eastAsia="Arial" w:hAnsi="Arial"/>
                <w:sz w:val="11"/>
                <w:szCs w:val="11"/>
                <w:color w:val="auto"/>
                <w:w w:val="89"/>
              </w:rPr>
              <w:t>1/30/2017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1/30/2017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24,136</w:t>
            </w: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$79,649</w:t>
            </w:r>
          </w:p>
        </w:tc>
        <w:tc>
          <w:tcPr>
            <w:tcW w:w="4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 AIP (2)</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3/31/2017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102,000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170,000</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255,000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r>
        <w:trPr>
          <w:trHeight w:val="139"/>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-2017-2018 LTIP, Time-Based (3)</w:t>
            </w: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4/3/2017</w:t>
            </w: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52,192</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$148,747</w:t>
            </w:r>
          </w:p>
        </w:tc>
        <w:tc>
          <w:tcPr>
            <w:tcW w:w="40" w:type="dxa"/>
            <w:vAlign w:val="bottom"/>
            <w:shd w:val="clear" w:color="auto" w:fill="CFF0FC"/>
          </w:tcPr>
          <w:p>
            <w:pPr>
              <w:spacing w:after="0"/>
              <w:rPr>
                <w:sz w:val="12"/>
                <w:szCs w:val="12"/>
                <w:color w:val="auto"/>
              </w:rPr>
            </w:pPr>
          </w:p>
        </w:tc>
      </w:tr>
      <w:tr>
        <w:trPr>
          <w:trHeight w:val="122"/>
        </w:trPr>
        <w:tc>
          <w:tcPr>
            <w:tcW w:w="1820" w:type="dxa"/>
            <w:vAlign w:val="bottom"/>
            <w:shd w:val="clear" w:color="auto" w:fill="CFF0FC"/>
          </w:tcPr>
          <w:p>
            <w:pPr>
              <w:ind w:left="80"/>
              <w:spacing w:after="0" w:line="122" w:lineRule="exact"/>
              <w:rPr>
                <w:sz w:val="20"/>
                <w:szCs w:val="20"/>
                <w:color w:val="auto"/>
              </w:rPr>
            </w:pPr>
            <w:r>
              <w:rPr>
                <w:rFonts w:ascii="Arial" w:cs="Arial" w:eastAsia="Arial" w:hAnsi="Arial"/>
                <w:sz w:val="11"/>
                <w:szCs w:val="11"/>
                <w:color w:val="auto"/>
                <w:w w:val="92"/>
              </w:rPr>
              <w:t>-2017-2018 LTIP, Performance-Based</w:t>
            </w: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186"/>
              <w:spacing w:after="0" w:line="122" w:lineRule="exact"/>
              <w:rPr>
                <w:sz w:val="20"/>
                <w:szCs w:val="20"/>
                <w:color w:val="auto"/>
              </w:rPr>
            </w:pPr>
            <w:r>
              <w:rPr>
                <w:rFonts w:ascii="Arial" w:cs="Arial" w:eastAsia="Arial" w:hAnsi="Arial"/>
                <w:sz w:val="11"/>
                <w:szCs w:val="11"/>
                <w:color w:val="auto"/>
              </w:rPr>
              <w:t>3/31/2017</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r>
      <w:tr>
        <w:trPr>
          <w:trHeight w:val="131"/>
        </w:trPr>
        <w:tc>
          <w:tcPr>
            <w:tcW w:w="1820" w:type="dxa"/>
            <w:vAlign w:val="bottom"/>
            <w:shd w:val="clear" w:color="auto" w:fill="CFF0FC"/>
          </w:tcPr>
          <w:p>
            <w:pPr>
              <w:ind w:left="80"/>
              <w:spacing w:after="0"/>
              <w:rPr>
                <w:sz w:val="20"/>
                <w:szCs w:val="20"/>
                <w:color w:val="auto"/>
              </w:rPr>
            </w:pPr>
            <w:r>
              <w:rPr>
                <w:rFonts w:ascii="Arial" w:cs="Arial" w:eastAsia="Arial" w:hAnsi="Arial"/>
                <w:sz w:val="11"/>
                <w:szCs w:val="11"/>
                <w:color w:val="auto"/>
              </w:rPr>
              <w:t>(3)</w:t>
            </w:r>
          </w:p>
        </w:tc>
        <w:tc>
          <w:tcPr>
            <w:tcW w:w="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37,188</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148,750</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223,125</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ind w:left="3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18" w:lineRule="exact"/>
        <w:rPr>
          <w:sz w:val="20"/>
          <w:szCs w:val="20"/>
          <w:color w:val="auto"/>
        </w:rPr>
      </w:pPr>
    </w:p>
    <w:p>
      <w:pPr>
        <w:ind w:left="760" w:right="360" w:hanging="374"/>
        <w:spacing w:after="0" w:line="274"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only occur if the performance targets are achieved. See footnote 3 below for additional information on the 2017-2018 LTIP.</w:t>
      </w:r>
    </w:p>
    <w:p>
      <w:pPr>
        <w:ind w:left="760" w:right="240" w:hanging="374"/>
        <w:spacing w:after="0" w:line="265"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threshold, target and maximum payouts for each executive were estimated based on achieving 50%, 100% and 150% of the individual payout targets under the 2017 AIP. See “</w:t>
      </w:r>
      <w:r>
        <w:rPr>
          <w:rFonts w:ascii="Arial" w:cs="Arial" w:eastAsia="Arial" w:hAnsi="Arial"/>
          <w:sz w:val="17"/>
          <w:szCs w:val="17"/>
          <w:i w:val="1"/>
          <w:iCs w:val="1"/>
          <w:color w:val="auto"/>
        </w:rPr>
        <w:t>Compensation Components and Fiscal 2017 Compensation Decisions - Performance-based Annual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Plan – 2017 AIP</w:t>
      </w:r>
      <w:r>
        <w:rPr>
          <w:rFonts w:ascii="Arial" w:cs="Arial" w:eastAsia="Arial" w:hAnsi="Arial"/>
          <w:sz w:val="17"/>
          <w:szCs w:val="17"/>
          <w:color w:val="auto"/>
        </w:rPr>
        <w:t>” for more information on the targets set under the 2017 AIP. The respective actual cash payment made to each of the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under the 2017 AIP is included in the Summary Compensation Table for fiscal 2017.</w:t>
      </w:r>
    </w:p>
    <w:p>
      <w:pPr>
        <w:ind w:left="760" w:right="100" w:hanging="374"/>
        <w:spacing w:after="0" w:line="250"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March 31, 2017, the Compensation Committee approved the performance targets for the 2017-2018 LTIP. The performance-based awards represent 50% of the total potential payout under the 2017-2018 LTIP. The amounts in the above table represent the dollar value of any future grant of equity assuming a potential payout at threshold, target and maximum for each executive estimated based on achieving 50%, 100% and 150% of the payout targets set by the Compensation Committee. The actual grant of equity will only occur if the performance targets are achieved. The remaining 50% represents time-based awards for which each executive received RSUs on April 3, 2017. The time-based RSUs vest in two equal tranches, with the first tranche vesting on April 1, 2019 and the second tranche vesting on April 1, 2020. See “</w:t>
      </w:r>
      <w:r>
        <w:rPr>
          <w:rFonts w:ascii="Arial" w:cs="Arial" w:eastAsia="Arial" w:hAnsi="Arial"/>
          <w:sz w:val="18"/>
          <w:szCs w:val="18"/>
          <w:i w:val="1"/>
          <w:iCs w:val="1"/>
          <w:color w:val="auto"/>
        </w:rPr>
        <w:t>Compensation Components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Fiscal 2017 Compensation Decisions - Long-Term Incentive Program - 2017-2018 Performance Period</w:t>
      </w:r>
      <w:r>
        <w:rPr>
          <w:rFonts w:ascii="Arial" w:cs="Arial" w:eastAsia="Arial" w:hAnsi="Arial"/>
          <w:sz w:val="18"/>
          <w:szCs w:val="18"/>
          <w:color w:val="auto"/>
        </w:rPr>
        <w:t>” above for more information on the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set under the 2017-2018 LTIP.</w:t>
      </w:r>
    </w:p>
    <w:p>
      <w:pPr>
        <w:spacing w:after="0" w:line="3" w:lineRule="exact"/>
        <w:rPr>
          <w:rFonts w:ascii="Arial" w:cs="Arial" w:eastAsia="Arial" w:hAnsi="Arial"/>
          <w:sz w:val="18"/>
          <w:szCs w:val="18"/>
          <w:color w:val="auto"/>
        </w:rPr>
      </w:pPr>
    </w:p>
    <w:p>
      <w:pPr>
        <w:jc w:val="both"/>
        <w:ind w:left="760" w:right="260" w:hanging="374"/>
        <w:spacing w:after="0" w:line="255"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Mr. Laher’s hiring, the Compensation Committee granted to Mr. Laher restricted stock award. The award vests in three equal installments, with the first tranche vesting on January 30, 2018. In connection with Mr. Laher’s termination of employment on May 16, 2018, the remaining two tranches were forfeited.</w:t>
      </w: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557" w:right="13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2017 OUTSTANDING EQUITY AWARDS AT FISCAL YEAR-END</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Option Awards</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Plan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or Units</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Units or</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Stock</w:t>
            </w:r>
          </w:p>
        </w:tc>
        <w:tc>
          <w:tcPr>
            <w:tcW w:w="14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Other</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That</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1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Option Expiration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Not Vested</w:t>
            </w: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Vested</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6"/>
        </w:trPr>
        <w:tc>
          <w:tcPr>
            <w:tcW w:w="2000" w:type="dxa"/>
            <w:vAlign w:val="bottom"/>
          </w:tcPr>
          <w:p>
            <w:pPr>
              <w:spacing w:after="0" w:line="155" w:lineRule="exact"/>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gridSpan w:val="2"/>
          </w:tcPr>
          <w:p>
            <w:pPr>
              <w:jc w:val="center"/>
              <w:ind w:left="28"/>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center"/>
              <w:ind w:right="28"/>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8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8"/>
              <w:spacing w:after="0" w:line="155"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76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David A. Levin</w:t>
            </w:r>
          </w:p>
        </w:tc>
        <w:tc>
          <w:tcPr>
            <w:tcW w:w="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195,942</w:t>
            </w:r>
          </w:p>
        </w:tc>
        <w:tc>
          <w:tcPr>
            <w:tcW w:w="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5.04</w:t>
            </w:r>
          </w:p>
        </w:tc>
        <w:tc>
          <w:tcPr>
            <w:tcW w:w="10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3"/>
              </w:rPr>
              <w:t>5/28/2023</w:t>
            </w:r>
          </w:p>
        </w:tc>
        <w:tc>
          <w:tcPr>
            <w:tcW w:w="6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ind w:right="388"/>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78,604</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202,798</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142,315</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367,173</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00" w:type="dxa"/>
            <w:vAlign w:val="bottom"/>
          </w:tcPr>
          <w:p>
            <w:pPr>
              <w:spacing w:after="0" w:line="157" w:lineRule="exact"/>
              <w:rPr>
                <w:sz w:val="20"/>
                <w:szCs w:val="20"/>
                <w:color w:val="auto"/>
              </w:rPr>
            </w:pPr>
            <w:r>
              <w:rPr>
                <w:rFonts w:ascii="Arial" w:cs="Arial" w:eastAsia="Arial" w:hAnsi="Arial"/>
                <w:sz w:val="14"/>
                <w:szCs w:val="14"/>
                <w:b w:val="1"/>
                <w:bCs w:val="1"/>
                <w:color w:val="auto"/>
              </w:rPr>
              <w:t>Peter H. Stratton, Jr.</w:t>
            </w:r>
          </w:p>
        </w:tc>
        <w:tc>
          <w:tcPr>
            <w:tcW w:w="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8,587</w:t>
            </w:r>
          </w:p>
        </w:tc>
        <w:tc>
          <w:tcPr>
            <w:tcW w:w="120" w:type="dxa"/>
            <w:vAlign w:val="bottom"/>
          </w:tcPr>
          <w:p>
            <w:pPr>
              <w:spacing w:after="0"/>
              <w:rPr>
                <w:sz w:val="13"/>
                <w:szCs w:val="13"/>
                <w:color w:val="auto"/>
              </w:rPr>
            </w:pPr>
          </w:p>
        </w:tc>
        <w:tc>
          <w:tcPr>
            <w:tcW w:w="1000" w:type="dxa"/>
            <w:vAlign w:val="bottom"/>
          </w:tcPr>
          <w:p>
            <w:pPr>
              <w:ind w:left="5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4.19</w:t>
            </w:r>
          </w:p>
        </w:tc>
        <w:tc>
          <w:tcPr>
            <w:tcW w:w="10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color w:val="auto"/>
                <w:w w:val="93"/>
              </w:rPr>
              <w:t>3/16/2021</w:t>
            </w:r>
          </w:p>
        </w:tc>
        <w:tc>
          <w:tcPr>
            <w:tcW w:w="6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120" w:type="dxa"/>
            <w:vAlign w:val="bottom"/>
          </w:tcPr>
          <w:p>
            <w:pPr>
              <w:spacing w:after="0"/>
              <w:rPr>
                <w:sz w:val="14"/>
                <w:szCs w:val="14"/>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19,331</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49,874</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4,644</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11,982</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43,596</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112,478</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Brian S. Reaves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17,183</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3/16/2021</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46,496</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20,348</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52,498</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36,842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95,052</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00" w:type="dxa"/>
            <w:vAlign w:val="bottom"/>
          </w:tcPr>
          <w:p>
            <w:pPr>
              <w:spacing w:after="0" w:line="157" w:lineRule="exact"/>
              <w:rPr>
                <w:sz w:val="20"/>
                <w:szCs w:val="20"/>
                <w:color w:val="auto"/>
              </w:rPr>
            </w:pPr>
            <w:r>
              <w:rPr>
                <w:rFonts w:ascii="Arial" w:cs="Arial" w:eastAsia="Arial" w:hAnsi="Arial"/>
                <w:sz w:val="14"/>
                <w:szCs w:val="14"/>
                <w:b w:val="1"/>
                <w:bCs w:val="1"/>
                <w:color w:val="auto"/>
              </w:rPr>
              <w:t>Robert S. Molloy</w:t>
            </w:r>
          </w:p>
        </w:tc>
        <w:tc>
          <w:tcPr>
            <w:tcW w:w="6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20,606</w:t>
            </w:r>
          </w:p>
        </w:tc>
        <w:tc>
          <w:tcPr>
            <w:tcW w:w="120" w:type="dxa"/>
            <w:vAlign w:val="bottom"/>
          </w:tcPr>
          <w:p>
            <w:pPr>
              <w:spacing w:after="0"/>
              <w:rPr>
                <w:sz w:val="13"/>
                <w:szCs w:val="13"/>
                <w:color w:val="auto"/>
              </w:rPr>
            </w:pPr>
          </w:p>
        </w:tc>
        <w:tc>
          <w:tcPr>
            <w:tcW w:w="1000" w:type="dxa"/>
            <w:vAlign w:val="bottom"/>
          </w:tcPr>
          <w:p>
            <w:pPr>
              <w:ind w:left="5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3.20</w:t>
            </w:r>
          </w:p>
        </w:tc>
        <w:tc>
          <w:tcPr>
            <w:tcW w:w="100" w:type="dxa"/>
            <w:vAlign w:val="bottom"/>
          </w:tcPr>
          <w:p>
            <w:pPr>
              <w:spacing w:after="0"/>
              <w:rPr>
                <w:sz w:val="13"/>
                <w:szCs w:val="13"/>
                <w:color w:val="auto"/>
              </w:rPr>
            </w:pPr>
          </w:p>
        </w:tc>
        <w:tc>
          <w:tcPr>
            <w:tcW w:w="1320" w:type="dxa"/>
            <w:vAlign w:val="bottom"/>
          </w:tcPr>
          <w:p>
            <w:pPr>
              <w:jc w:val="center"/>
              <w:spacing w:after="0" w:line="157" w:lineRule="exact"/>
              <w:rPr>
                <w:sz w:val="20"/>
                <w:szCs w:val="20"/>
                <w:color w:val="auto"/>
              </w:rPr>
            </w:pPr>
            <w:r>
              <w:rPr>
                <w:rFonts w:ascii="Arial" w:cs="Arial" w:eastAsia="Arial" w:hAnsi="Arial"/>
                <w:sz w:val="14"/>
                <w:szCs w:val="14"/>
                <w:color w:val="auto"/>
                <w:w w:val="93"/>
              </w:rPr>
              <w:t>3/19/2020</w:t>
            </w:r>
          </w:p>
        </w:tc>
        <w:tc>
          <w:tcPr>
            <w:tcW w:w="6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120" w:type="dxa"/>
            <w:vAlign w:val="bottom"/>
          </w:tcPr>
          <w:p>
            <w:pPr>
              <w:spacing w:after="0"/>
              <w:rPr>
                <w:sz w:val="14"/>
                <w:szCs w:val="14"/>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3/16/2021</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120" w:type="dxa"/>
            <w:vAlign w:val="bottom"/>
          </w:tcPr>
          <w:p>
            <w:pPr>
              <w:spacing w:after="0"/>
              <w:rPr>
                <w:sz w:val="14"/>
                <w:szCs w:val="14"/>
                <w:color w:val="auto"/>
              </w:rPr>
            </w:pP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22,722</w:t>
            </w: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58,623</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42,368</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109,309</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Kenneth M. Ederle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26,453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68,249</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47,894</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123,567</w:t>
            </w: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00" w:type="dxa"/>
            <w:vAlign w:val="bottom"/>
          </w:tcPr>
          <w:p>
            <w:pPr>
              <w:spacing w:after="0" w:line="157" w:lineRule="exact"/>
              <w:rPr>
                <w:sz w:val="20"/>
                <w:szCs w:val="20"/>
                <w:color w:val="auto"/>
              </w:rPr>
            </w:pPr>
            <w:r>
              <w:rPr>
                <w:rFonts w:ascii="Arial" w:cs="Arial" w:eastAsia="Arial" w:hAnsi="Arial"/>
                <w:sz w:val="14"/>
                <w:szCs w:val="14"/>
                <w:b w:val="1"/>
                <w:bCs w:val="1"/>
                <w:color w:val="auto"/>
              </w:rPr>
              <w:t>Sahal S. Laher</w:t>
            </w:r>
          </w:p>
        </w:tc>
        <w:tc>
          <w:tcPr>
            <w:tcW w:w="60" w:type="dxa"/>
            <w:vAlign w:val="bottom"/>
          </w:tcPr>
          <w:p>
            <w:pPr>
              <w:spacing w:after="0"/>
              <w:rPr>
                <w:sz w:val="13"/>
                <w:szCs w:val="13"/>
                <w:color w:val="auto"/>
              </w:rPr>
            </w:pPr>
          </w:p>
        </w:tc>
        <w:tc>
          <w:tcPr>
            <w:tcW w:w="9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ind w:left="5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24,136</w:t>
            </w:r>
          </w:p>
        </w:tc>
        <w:tc>
          <w:tcPr>
            <w:tcW w:w="24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120" w:type="dxa"/>
            <w:vAlign w:val="bottom"/>
            <w:gridSpan w:val="2"/>
          </w:tcPr>
          <w:p>
            <w:pPr>
              <w:jc w:val="right"/>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62,271</w:t>
            </w:r>
          </w:p>
        </w:tc>
        <w:tc>
          <w:tcPr>
            <w:tcW w:w="100" w:type="dxa"/>
            <w:vAlign w:val="bottom"/>
          </w:tcPr>
          <w:p>
            <w:pPr>
              <w:spacing w:after="0"/>
              <w:rPr>
                <w:sz w:val="13"/>
                <w:szCs w:val="13"/>
                <w:color w:val="auto"/>
              </w:rPr>
            </w:pPr>
          </w:p>
        </w:tc>
        <w:tc>
          <w:tcPr>
            <w:tcW w:w="140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33,333</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85,999</w:t>
            </w:r>
          </w:p>
        </w:tc>
        <w:tc>
          <w:tcPr>
            <w:tcW w:w="1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52,192</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134,655</w:t>
            </w:r>
          </w:p>
        </w:tc>
        <w:tc>
          <w:tcPr>
            <w:tcW w:w="100" w:type="dxa"/>
            <w:vAlign w:val="bottom"/>
          </w:tcPr>
          <w:p>
            <w:pPr>
              <w:spacing w:after="0"/>
              <w:rPr>
                <w:sz w:val="15"/>
                <w:szCs w:val="15"/>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760" w:hanging="374"/>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$2.58 on February 2, 2018.</w:t>
      </w:r>
    </w:p>
    <w:p>
      <w:pPr>
        <w:spacing w:after="0" w:line="117" w:lineRule="exact"/>
        <w:rPr>
          <w:rFonts w:ascii="Arial" w:cs="Arial" w:eastAsia="Arial" w:hAnsi="Arial"/>
          <w:sz w:val="18"/>
          <w:szCs w:val="18"/>
          <w:color w:val="auto"/>
        </w:rPr>
      </w:pPr>
    </w:p>
    <w:p>
      <w:pPr>
        <w:ind w:left="760" w:right="80" w:hanging="374"/>
        <w:spacing w:after="0" w:line="264"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awards represent RSUs granted on April 14, 2016 in connection with our 2016-2017 LTIP and represent the unvested portion of these time-based awards. Mr. Stratton received a supplemental grant of RSUs on May 11, 2016 due to an increase in his base salary. Mr. Laher received a grant of RSUs pursuant to the 2016-2017 LTIP on January 30, 2017.</w:t>
      </w:r>
    </w:p>
    <w:p>
      <w:pPr>
        <w:spacing w:after="0" w:line="73"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awards represent RSUs granted on April 3, 2017 in connection with our 2017-2018 LTIP and represent the unvested portion of these time-based awards.</w:t>
      </w:r>
    </w:p>
    <w:p>
      <w:pPr>
        <w:spacing w:after="0" w:line="62" w:lineRule="exact"/>
        <w:rPr>
          <w:rFonts w:ascii="Arial" w:cs="Arial" w:eastAsia="Arial" w:hAnsi="Arial"/>
          <w:sz w:val="18"/>
          <w:szCs w:val="18"/>
          <w:color w:val="auto"/>
        </w:rPr>
      </w:pPr>
    </w:p>
    <w:p>
      <w:pPr>
        <w:ind w:left="760" w:right="80" w:hanging="374"/>
        <w:spacing w:after="0" w:line="264"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January 30, 2017, in connection with Mr. Laher’s hiring, he received 50,000 shares of restricted stock. The shares vest in three equal tranches, with the first tranche vesting on January 30, 2018. In connection with his termination of employment on May 16, 2018, the outstanding 33,333 shares of restricted stock were forfeited.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 w:name="page27"/>
    <w:bookmarkEnd w:id="26"/>
    <w:p>
      <w:pPr>
        <w:ind w:right="60"/>
        <w:spacing w:after="0" w:line="308" w:lineRule="auto"/>
        <w:rPr>
          <w:sz w:val="20"/>
          <w:szCs w:val="20"/>
          <w:color w:val="auto"/>
        </w:rPr>
      </w:pPr>
      <w:r>
        <w:rPr>
          <w:rFonts w:ascii="Arial" w:cs="Arial" w:eastAsia="Arial" w:hAnsi="Arial"/>
          <w:sz w:val="17"/>
          <w:szCs w:val="17"/>
          <w:b w:val="1"/>
          <w:bCs w:val="1"/>
          <w:i w:val="1"/>
          <w:iCs w:val="1"/>
          <w:color w:val="auto"/>
        </w:rPr>
        <w:t xml:space="preserve">Option Exercises and Stock Vested Table. </w:t>
      </w:r>
      <w:r>
        <w:rPr>
          <w:rFonts w:ascii="Arial" w:cs="Arial" w:eastAsia="Arial" w:hAnsi="Arial"/>
          <w:sz w:val="17"/>
          <w:szCs w:val="17"/>
          <w:color w:val="auto"/>
        </w:rPr>
        <w:t>The following table sets forth information for the Named Executive Officers with respect to the exercise of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and the vesting of stock awards during fiscal 2017. No options were exercised by any Named Executive Officer in fiscal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Number of 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85"/>
              </w:rPr>
              <w:t>Value Realized</w:t>
            </w: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85,514</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80" w:type="dxa"/>
            <w:vAlign w:val="bottom"/>
          </w:tcPr>
          <w:p>
            <w:pPr>
              <w:jc w:val="right"/>
              <w:spacing w:after="0"/>
              <w:rPr>
                <w:sz w:val="20"/>
                <w:szCs w:val="20"/>
                <w:color w:val="auto"/>
              </w:rPr>
            </w:pPr>
            <w:r>
              <w:rPr>
                <w:rFonts w:ascii="Arial" w:cs="Arial" w:eastAsia="Arial" w:hAnsi="Arial"/>
                <w:sz w:val="18"/>
                <w:szCs w:val="18"/>
                <w:color w:val="auto"/>
              </w:rPr>
              <w:t>14,758</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29,516</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20,292</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40,584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80" w:type="dxa"/>
            <w:vAlign w:val="bottom"/>
          </w:tcPr>
          <w:p>
            <w:pPr>
              <w:jc w:val="right"/>
              <w:spacing w:after="0"/>
              <w:rPr>
                <w:sz w:val="20"/>
                <w:szCs w:val="20"/>
                <w:color w:val="auto"/>
              </w:rPr>
            </w:pPr>
            <w:r>
              <w:rPr>
                <w:rFonts w:ascii="Arial" w:cs="Arial" w:eastAsia="Arial" w:hAnsi="Arial"/>
                <w:sz w:val="18"/>
                <w:szCs w:val="18"/>
                <w:color w:val="auto"/>
              </w:rPr>
              <w:t>23,982</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47,964</w:t>
            </w:r>
          </w:p>
        </w:tc>
        <w:tc>
          <w:tcPr>
            <w:tcW w:w="120" w:type="dxa"/>
            <w:vAlign w:val="bottom"/>
          </w:tcPr>
          <w:p>
            <w:pPr>
              <w:spacing w:after="0"/>
              <w:rPr>
                <w:sz w:val="19"/>
                <w:szCs w:val="19"/>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23,982</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Sahal S. Laher</w:t>
            </w:r>
          </w:p>
        </w:tc>
        <w:tc>
          <w:tcPr>
            <w:tcW w:w="1580" w:type="dxa"/>
            <w:vAlign w:val="bottom"/>
          </w:tcPr>
          <w:p>
            <w:pPr>
              <w:jc w:val="right"/>
              <w:spacing w:after="0"/>
              <w:rPr>
                <w:sz w:val="20"/>
                <w:szCs w:val="20"/>
                <w:color w:val="auto"/>
              </w:rPr>
            </w:pPr>
            <w:r>
              <w:rPr>
                <w:rFonts w:ascii="Arial" w:cs="Arial" w:eastAsia="Arial" w:hAnsi="Arial"/>
                <w:sz w:val="18"/>
                <w:szCs w:val="18"/>
                <w:color w:val="auto"/>
              </w:rPr>
              <w:t>16,667</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41,668</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left="480" w:right="140" w:hanging="418"/>
        <w:spacing w:after="0" w:line="302" w:lineRule="auto"/>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8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May 2018, in connection with our cost reduction initiatives, the Board of Directors ratified and approved the recommendation of our management team to suspend any further employer contributions to the 401(k) Plan, effective July 1, 2018 to December 31, 2019 at the latest.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291,409 shares remain available for future issuances at February 3, 2018. The Non-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1420"/>
        <w:spacing w:after="0" w:line="308" w:lineRule="auto"/>
        <w:rPr>
          <w:sz w:val="20"/>
          <w:szCs w:val="20"/>
          <w:color w:val="auto"/>
        </w:rPr>
      </w:pPr>
      <w:r>
        <w:rPr>
          <w:rFonts w:ascii="Arial" w:cs="Arial" w:eastAsia="Arial" w:hAnsi="Arial"/>
          <w:sz w:val="17"/>
          <w:szCs w:val="17"/>
          <w:color w:val="auto"/>
        </w:rPr>
        <w:t>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2017,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Chairperson of the Audit Committee, Compensation Committee, Nominating and Corporate Governance Committee, Cybersecurity and Data Privacy Committee and Marketing Advisory Committee receive an annual compensation of $10,000, $5,000, $5,000, $5,000 and $5,000, respectively, which is paid quarterly. Upon the initial election to the Board, a non-employee director will receive a stock option grant of 15,000 shares under the 2016 Plan.</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Each non-employee director is required to receive 50% of his or her annual retainer in equity, in the form of stock options, stock or deferred shares. Because the Non-Employee Director Compensation Plan is not a shareholder-approved plan and the acquisition of equity must be voluntary under NASDAQ rules, we cannot utilize shares under this plan to satisfy this mandated election. Therefore, in fiscal 2017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7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On February 2, 2017, the Board approved the addition of a Lead Independent Director position, if the Chairman of the Board is not independent. On February 2, 2017, the Board appointed Mr. Kyees as Lead Independent Director. Pursuant to the Non-Employee Director Compensation Plan, the Lead Independent Director will receive an additional annual retainer of $18,000, to be paid quarterly.</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the compensation paid to our directors during fiscal 2017. David A. Levin is not included in the following table as he is a Named Executive Officer and, accordingly, received no compensation for his services as a director. Compensation earned by Mr. Levin is included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2017 DIRECTOR COMPENSATION TABLE</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Fees Earned or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Awards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($)(2)</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($)(3)(4)</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Seymour Holtzman, Executive Chairman</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281,583</w:t>
            </w:r>
          </w:p>
        </w:tc>
        <w:tc>
          <w:tcPr>
            <w:tcW w:w="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281,583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John E. Kyees, Lead Independent Director</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89,875</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51,125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Jack Boyle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27,032</w:t>
            </w:r>
          </w:p>
        </w:tc>
        <w:tc>
          <w:tcPr>
            <w:tcW w:w="4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Willem Mesdag</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80,375</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51,125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131,500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Ward K. Mooney</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80,125</w:t>
            </w:r>
          </w:p>
        </w:tc>
        <w:tc>
          <w:tcPr>
            <w:tcW w:w="4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51,125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Mitchell S. Presser</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81,625</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51,125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132,750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Ivy Ross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79,375</w:t>
            </w:r>
          </w:p>
        </w:tc>
        <w:tc>
          <w:tcPr>
            <w:tcW w:w="4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51,125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134,250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 xml:space="preserve">Oliver Walsh </w:t>
            </w:r>
            <w:r>
              <w:rPr>
                <w:rFonts w:ascii="Arial" w:cs="Arial" w:eastAsia="Arial" w:hAnsi="Arial"/>
                <w:sz w:val="12"/>
                <w:szCs w:val="12"/>
                <w:color w:val="auto"/>
              </w:rPr>
              <w:t>(7)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3,750</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9,690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127,400</w:t>
            </w:r>
          </w:p>
        </w:tc>
        <w:tc>
          <w:tcPr>
            <w:tcW w:w="320" w:type="dxa"/>
            <w:vAlign w:val="bottom"/>
          </w:tcPr>
          <w:p>
            <w:pPr>
              <w:spacing w:after="0"/>
              <w:rPr>
                <w:sz w:val="14"/>
                <w:szCs w:val="14"/>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140,840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Alan S. Bernikow, former director</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17,282</w:t>
            </w:r>
          </w:p>
        </w:tc>
        <w:tc>
          <w:tcPr>
            <w:tcW w:w="4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Jesse Choper, former director</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56,094</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38,344</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94,438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George T. Porter, Jr., former director</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50,094</w:t>
            </w:r>
          </w:p>
        </w:tc>
        <w:tc>
          <w:tcPr>
            <w:tcW w:w="42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760" w:hanging="374"/>
        <w:spacing w:after="0" w:line="287"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non-employee directors are required to receive at least 50% of their annual retainer in the form of equity. For fiscal 2017, Mr. Presser elected to receive all compensation, including his retainer, in unrestricted shares of our common stock and Mr. Mesdag elected to receive all compensation, including his retainer, in deferred stock. Because Messrs. Boyle and Walsh, were not elected directors until August 3, 2017, they were unable to make an irrevocable election of equity prior to the start of 2017, and therefore, all fees earned were paid in cash. Messrs. Bernikow, Choper, Mooney and Ms. Ross elected to receive 50% of their retainer in unrestricted shares of our common stock and Messrs. Kyees and Porter elected to receive 50% of their retainer in deferred stock. As for committee meetings, Messrs. Bernikow, Choper, Porter and Ms. Ross elected to receive cash for all meetings. Mr. Kyees elected to receive his fees for meetings in a combination of 50% cash and 50% deferred shares of our common stock and Mr. Mooney elected to receive his fees in a combination of 50% cash and 50% in unrestricted shares of common stock. If a director is entitled to a chairperson fee, Messrs. Choper and Porter and Ms. Ross have elected to receive any fees in cash, Mr. Mooney has elected a combination of 50% cash and 50% unrestricted shares and Mr. Kyees has elected a combination of 50% cash and 50% deferred stock. The number of shares issued as payment for an earned director fee is determined by taking the director fee earned and dividing by the consolidated closing price of our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760" w:right="100"/>
        <w:spacing w:after="0" w:line="288" w:lineRule="auto"/>
        <w:rPr>
          <w:sz w:val="20"/>
          <w:szCs w:val="20"/>
          <w:color w:val="auto"/>
        </w:rPr>
      </w:pPr>
      <w:r>
        <w:rPr>
          <w:rFonts w:ascii="Arial" w:cs="Arial" w:eastAsia="Arial" w:hAnsi="Arial"/>
          <w:sz w:val="16"/>
          <w:szCs w:val="16"/>
          <w:color w:val="auto"/>
        </w:rPr>
        <w:t>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portion of each director’s quarterly retainer that is required to be in the form of equity.</w:t>
      </w:r>
    </w:p>
    <w:p>
      <w:pPr>
        <w:spacing w:after="0" w:line="9" w:lineRule="exact"/>
        <w:rPr>
          <w:rFonts w:ascii="Arial" w:cs="Arial" w:eastAsia="Arial" w:hAnsi="Arial"/>
          <w:sz w:val="18"/>
          <w:szCs w:val="18"/>
          <w:color w:val="auto"/>
        </w:rPr>
      </w:pPr>
    </w:p>
    <w:p>
      <w:pPr>
        <w:ind w:left="760" w:right="60" w:hanging="374"/>
        <w:spacing w:after="0" w:line="25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Messrs. Boyle and Walsh were elected directors of the Company on August 3, 2017 and, accordingly, each received a stock option grant to purchase 15,000 shares of the Company stock. The amount in the Option Award column reflects the aggregate grant date fair value of the stock option computed in accordance with ASC Topic 718. The fair value is estimated as of the date of grant using a Black-Scholes valuation model. Additional information regarding the assumptions used to estimate fair value of all stock option grants is included in Note A to the Consolidated Financial Statement contained in our Annual Report on Form 10-K for the fiscal year ended February 3, 2018. There were no other grants to any of the directors in fiscal 2017. Each director had the following number of stock options outstanding at February 3, 2018: Mr. Kyees: 43,648; Mr. Boyle: 15,000; Mr. Mesdag: 15,000; Mr. Mooney: 25,000; Mr. Presser: 25,000; Ms. Ross: 15,000; Mr. Walsh 15,000; Mr. Bernikow 25,000; Mr. Choper: 25,000 and Mr. Porter 44,136.</w:t>
      </w:r>
    </w:p>
    <w:p>
      <w:pPr>
        <w:spacing w:after="0" w:line="3" w:lineRule="exact"/>
        <w:rPr>
          <w:rFonts w:ascii="Arial" w:cs="Arial" w:eastAsia="Arial" w:hAnsi="Arial"/>
          <w:sz w:val="18"/>
          <w:szCs w:val="18"/>
          <w:color w:val="auto"/>
        </w:rPr>
      </w:pPr>
    </w:p>
    <w:p>
      <w:pPr>
        <w:ind w:left="760" w:right="100" w:hanging="374"/>
        <w:spacing w:after="0" w:line="25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the retirement of Messrs. Bernikow, Choper and Porter, the Board of Directors approved the modification of their outstanding options to extend the expiration date until July 31, 2018. In fiscal 2017, the Company recorded additional compensation of $16,932 in connection with these modifications.</w:t>
      </w:r>
    </w:p>
    <w:p>
      <w:pPr>
        <w:spacing w:after="0" w:line="1" w:lineRule="exact"/>
        <w:rPr>
          <w:rFonts w:ascii="Arial" w:cs="Arial" w:eastAsia="Arial" w:hAnsi="Arial"/>
          <w:sz w:val="18"/>
          <w:szCs w:val="18"/>
          <w:color w:val="auto"/>
        </w:rPr>
      </w:pPr>
    </w:p>
    <w:p>
      <w:pPr>
        <w:ind w:left="760" w:right="520" w:hanging="374"/>
        <w:spacing w:after="0" w:line="25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Employment and Chairman Compensation Agreement. See “</w:t>
      </w:r>
      <w:r>
        <w:rPr>
          <w:rFonts w:ascii="Arial" w:cs="Arial" w:eastAsia="Arial" w:hAnsi="Arial"/>
          <w:sz w:val="18"/>
          <w:szCs w:val="18"/>
          <w:i w:val="1"/>
          <w:iCs w:val="1"/>
          <w:color w:val="auto"/>
        </w:rPr>
        <w:t>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below for additional information.</w:t>
      </w:r>
    </w:p>
    <w:p>
      <w:pPr>
        <w:ind w:left="760" w:right="120" w:hanging="374"/>
        <w:spacing w:after="0" w:line="250"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Ross received a cash payment of $3,750, paid in three quarterly installments, to serve as Chair to the Company’s Interim Marketing Advisory Group, prior to the formation of the Marketing Advisory Committee on August 3, 2017.</w:t>
      </w:r>
    </w:p>
    <w:p>
      <w:pPr>
        <w:ind w:left="760" w:right="80" w:hanging="374"/>
        <w:spacing w:after="0" w:line="269"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August 17, 2017, Mr. Walsh entered into a temporary consulting agreement with the Company to serve as the Interim Chief Marketing Officer, while the Company searched for a Chief Marketing Officer. Pursuant to the terms of the temporary consulting agreement, Mr. Walsh was entitled to receive compensation at a rate of $7,000 per week plus reimbursement for all business and travel expenses. Because of the related party relationship, the temporary consulting agreement was approved by the Company’s Audit Committee. The temporary consulting agreement ended on December 18, 2017. For fiscal 2017, Mr. Walsh received total compensation pursuant to the temporary consulting agreement, excluding reimbursement of expenses, of $127,400. While Mr. Walsh was serving as Interim Chief Marketing Officer he did not receive any director compensation for this attendance at board meetings or committee meetings.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2019.</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agreement, Mr. Holtzman was entitled to receive an annual base salary of $24,000 for his employment services and an annual compensation of $372,750 for his services as Executive Chairman. In fiscal 2014, Sibson Consulting reviewed Mr. Holtzman’s compensation under this agreement and concluded that the total compensation was at the higher end of the range, when compared to our peer group. At that time, the Compensation Committee reviewed the Sibson report and approved the agreement and compensation. On May 25, 2017, Mr. Holtzman and the Company entered into the First Amendment to the Employment and Chairman Compensation Agreement under which Mr. Holtzman’s annual compensation for his services as Executive Chairman was reduced from $372,750 to $200,000.</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2017.</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Section 6.2(A) of our Fourth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None of the members of the Compensation Committee who served on the Compensation Committee during fiscal 2017 was at any time during fiscal 2017 or at any other time an officer or employee of our Company, other than Mr. Kyees, who was a member of the Compensation Committee until February 2, 2017, who served as the Company’s interim CFO from February 2014 until May 2014. None of our executive officers serves as a member of the board of directors or compensation committee of any other entity that has one or more executive officers serving as a member of our Board or Compensation Committee.</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30" w:name="page31"/>
    <w:bookmarkEnd w:id="30"/>
    <w:p>
      <w:pPr>
        <w:ind w:right="3220"/>
        <w:spacing w:after="0" w:line="378"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Security Ownership of Certain Beneficial Owners</w:t>
      </w:r>
    </w:p>
    <w:p>
      <w:pPr>
        <w:jc w:val="both"/>
        <w:ind w:right="120"/>
        <w:spacing w:after="0" w:line="31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28, 2018. We were informed that, except as indicated, each person has sole voting and investment power with respect to all shares of our common stock shown as beneficially owned by such person, subject to community property laws where applicable.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33"/>
              <w:spacing w:after="0"/>
              <w:rPr>
                <w:sz w:val="20"/>
                <w:szCs w:val="20"/>
                <w:color w:val="auto"/>
              </w:rPr>
            </w:pPr>
            <w:r>
              <w:rPr>
                <w:rFonts w:ascii="Arial" w:cs="Arial" w:eastAsia="Arial" w:hAnsi="Arial"/>
                <w:sz w:val="16"/>
                <w:szCs w:val="16"/>
                <w:b w:val="1"/>
                <w:bCs w:val="1"/>
                <w:color w:val="auto"/>
                <w:w w:val="97"/>
              </w:rPr>
              <w:t>Number of Shares</w:t>
            </w:r>
          </w:p>
        </w:tc>
        <w:tc>
          <w:tcPr>
            <w:tcW w:w="520" w:type="dxa"/>
            <w:vAlign w:val="bottom"/>
          </w:tcPr>
          <w:p>
            <w:pPr>
              <w:spacing w:after="0"/>
              <w:rPr>
                <w:sz w:val="17"/>
                <w:szCs w:val="17"/>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90"/>
              </w:rPr>
              <w:t>Percent of Class</w:t>
            </w:r>
          </w:p>
        </w:tc>
      </w:tr>
      <w:tr>
        <w:trPr>
          <w:trHeight w:val="213"/>
        </w:trPr>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52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12"/>
        </w:trPr>
        <w:tc>
          <w:tcPr>
            <w:tcW w:w="7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8,080,610</w:t>
            </w:r>
          </w:p>
        </w:tc>
        <w:tc>
          <w:tcPr>
            <w:tcW w:w="5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8040" w:type="dxa"/>
            <w:vAlign w:val="bottom"/>
            <w:gridSpan w:val="2"/>
          </w:tcPr>
          <w:p>
            <w:pPr>
              <w:spacing w:after="0"/>
              <w:rPr>
                <w:sz w:val="20"/>
                <w:szCs w:val="20"/>
                <w:color w:val="auto"/>
              </w:rPr>
            </w:pPr>
            <w:r>
              <w:rPr>
                <w:rFonts w:ascii="Arial" w:cs="Arial" w:eastAsia="Arial" w:hAnsi="Arial"/>
                <w:sz w:val="18"/>
                <w:szCs w:val="18"/>
                <w:color w:val="auto"/>
              </w:rPr>
              <w:t>Glenhill Advisors, LLC</w:t>
            </w:r>
          </w:p>
        </w:tc>
        <w:tc>
          <w:tcPr>
            <w:tcW w:w="1480" w:type="dxa"/>
            <w:vAlign w:val="bottom"/>
          </w:tcPr>
          <w:p>
            <w:pPr>
              <w:jc w:val="right"/>
              <w:spacing w:after="0"/>
              <w:rPr>
                <w:sz w:val="20"/>
                <w:szCs w:val="20"/>
                <w:color w:val="auto"/>
              </w:rPr>
            </w:pPr>
            <w:r>
              <w:rPr>
                <w:rFonts w:ascii="Arial" w:cs="Arial" w:eastAsia="Arial" w:hAnsi="Arial"/>
                <w:sz w:val="18"/>
                <w:szCs w:val="18"/>
                <w:color w:val="auto"/>
              </w:rPr>
              <w:t>6,162,640</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Glenn J. Krevlin</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Glenhill Capital Advisors, LLC</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Glenhill Capital Management, LLC</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Glenhill Capital Overseas Master Fund, LP</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600 Fifth Avenue, 11th Floor</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New York, New York 10020</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Capital Management, L.L.C.</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6,013,025</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12.27%</w:t>
            </w: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Aggressive Small Cap,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Aggressive Small Cap II,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 Frohlich</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1924 South Utica, Suite 1120</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Tulsa, Oklahoma 74104-6529</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5"/>
        </w:trPr>
        <w:tc>
          <w:tcPr>
            <w:tcW w:w="804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1480" w:type="dxa"/>
            <w:vAlign w:val="bottom"/>
          </w:tcPr>
          <w:p>
            <w:pPr>
              <w:jc w:val="right"/>
              <w:spacing w:after="0"/>
              <w:rPr>
                <w:sz w:val="20"/>
                <w:szCs w:val="20"/>
                <w:color w:val="auto"/>
              </w:rPr>
            </w:pPr>
            <w:r>
              <w:rPr>
                <w:rFonts w:ascii="Arial" w:cs="Arial" w:eastAsia="Arial" w:hAnsi="Arial"/>
                <w:sz w:val="18"/>
                <w:szCs w:val="18"/>
                <w:color w:val="auto"/>
              </w:rPr>
              <w:t>5,267,123</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10.75%</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50 South Sixth Street</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Suite 2350</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 Carlo Cannell</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4,300,209</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w:t>
            </w:r>
          </w:p>
        </w:tc>
      </w:tr>
      <w:tr>
        <w:trPr>
          <w:trHeight w:val="216"/>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245 Meriwether Circle</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Alta, Wyoming 83414</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760" w:right="120" w:hanging="374"/>
        <w:spacing w:after="0" w:line="286"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w:t>
      </w:r>
    </w:p>
    <w:p>
      <w:pPr>
        <w:spacing w:after="0" w:line="1"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person. Percentage ownership is based on 49,013,574 shares of our common stock outstanding as of May 28, 2018.</w:t>
      </w:r>
    </w:p>
    <w:p>
      <w:pPr>
        <w:spacing w:after="0" w:line="9" w:lineRule="exact"/>
        <w:rPr>
          <w:rFonts w:ascii="Arial" w:cs="Arial" w:eastAsia="Arial" w:hAnsi="Arial"/>
          <w:sz w:val="16"/>
          <w:szCs w:val="16"/>
          <w:color w:val="auto"/>
        </w:rPr>
      </w:pPr>
    </w:p>
    <w:p>
      <w:pPr>
        <w:ind w:left="760" w:right="60" w:hanging="374"/>
        <w:spacing w:after="0" w:line="281"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Amendment No. 7 to Schedule 13D, dated April 6, 2018, and a Form 4, dated May 5, 2018. Of the shares reflected in the table, (i), 7,522,354 shares are held directly by Red Mountain Partners, L.P. (“RMP”), (ii) 444,015 shares are held directly by Red Mountain Capital Partners LLC (“RMCP LLC”), (iii) 15,000 shares of common stock receivable upon exercise of options held by Mr. Mesdag and (iv) 99,241 shares of common stock receivable upon settlement of deferred stock upon Mr. Mesdag’s separation from the Board. RMP has the sole power to vote or direct the vote, and the sole power to dispose or direct the disposition of 7,522,354 shares of common stock. Because RMCP GP LLC (“RMCP GP”) may be deemed to control RMP, RMCP GP may be deemed to beneficially own, and to have the power to vote the shares held by</w:t>
      </w:r>
    </w:p>
    <w:p>
      <w:pPr>
        <w:spacing w:after="0" w:line="4" w:lineRule="exact"/>
        <w:rPr>
          <w:rFonts w:ascii="Arial" w:cs="Arial" w:eastAsia="Arial" w:hAnsi="Arial"/>
          <w:sz w:val="16"/>
          <w:szCs w:val="16"/>
          <w:color w:val="auto"/>
        </w:rPr>
      </w:pPr>
    </w:p>
    <w:p>
      <w:pPr>
        <w:ind w:left="760" w:right="40"/>
        <w:spacing w:after="0" w:line="252" w:lineRule="auto"/>
        <w:rPr>
          <w:rFonts w:ascii="Arial" w:cs="Arial" w:eastAsia="Arial" w:hAnsi="Arial"/>
          <w:sz w:val="16"/>
          <w:szCs w:val="16"/>
          <w:color w:val="auto"/>
        </w:rPr>
      </w:pPr>
      <w:r>
        <w:rPr>
          <w:rFonts w:ascii="Arial" w:cs="Arial" w:eastAsia="Arial" w:hAnsi="Arial"/>
          <w:sz w:val="18"/>
          <w:szCs w:val="18"/>
          <w:color w:val="auto"/>
        </w:rPr>
        <w:t>RMP. RMCP LLC has the sole power to vote or direct the vote, and the sole power to dispose or direct the disposition of 444,015 shares of common stock. Because RMCP LLC may be deemed to control RMCP GP and RMP, RMCP LLC may be deemed to beneficially own, and to have the power to vote or direct the vote of, or dispose or direct the disposition of, all of the shares of common stock beneficially owned by RMCP GP and RMP. Because each of Red Mountain Capital Management, Inc. (“RMCM”) and Mr. Mesdag may be deemed to control RMP, RMCP GP and RMCP LLC, RMCM and Mr. Mesdag may be deemed to beneficially own, and to have the power to vote or direct the vote of, or dispose or direct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1" w:name="page32"/>
    <w:bookmarkEnd w:id="31"/>
    <w:p>
      <w:pPr>
        <w:ind w:left="380" w:right="20"/>
        <w:spacing w:after="0" w:line="266" w:lineRule="auto"/>
        <w:rPr>
          <w:sz w:val="20"/>
          <w:szCs w:val="20"/>
          <w:color w:val="auto"/>
        </w:rPr>
      </w:pPr>
      <w:r>
        <w:rPr>
          <w:rFonts w:ascii="Arial" w:cs="Arial" w:eastAsia="Arial" w:hAnsi="Arial"/>
          <w:sz w:val="17"/>
          <w:szCs w:val="17"/>
          <w:color w:val="auto"/>
        </w:rPr>
        <w:t>disposition of, all of the shares of common stock owned by RMP, RMCP GP and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8" w:lineRule="exact"/>
        <w:rPr>
          <w:sz w:val="20"/>
          <w:szCs w:val="20"/>
          <w:color w:val="auto"/>
        </w:rPr>
      </w:pPr>
    </w:p>
    <w:p>
      <w:pPr>
        <w:ind w:left="380" w:right="40" w:hanging="374"/>
        <w:spacing w:after="0" w:line="28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Amendment No. 11 to Schedule 13G, dated February 14, 2018.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Company.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 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w:t>
      </w:r>
    </w:p>
    <w:p>
      <w:pPr>
        <w:spacing w:after="0" w:line="6" w:lineRule="exact"/>
        <w:rPr>
          <w:rFonts w:ascii="Arial" w:cs="Arial" w:eastAsia="Arial" w:hAnsi="Arial"/>
          <w:sz w:val="16"/>
          <w:szCs w:val="16"/>
          <w:color w:val="auto"/>
        </w:rPr>
      </w:pPr>
    </w:p>
    <w:p>
      <w:pPr>
        <w:ind w:left="380" w:hanging="374"/>
        <w:spacing w:after="0" w:line="281"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Form 3, dated May 9, 2018, stating that Prescott Group Capital Management, L.L.C., Prescott Group Aggressive Small Cap, L.P., Prescott Group Aggressive Small Cap II L.P. and Mr. Phil Frohlich were the beneficial owners of an aggregate of 6,013,025 shares of common stock. Based on a Schedule 13G, dated February 12, 2018, Prescott Capital, as the general partner of the Small Cap Funds, the general partners of Prescott Master Fund, may direct the Small Cap Funds to direct the vote and disposition of the 6,013,025 shares of Common Stock held by Prescott Master Fund. As the principal of Prescott Capital, Mr. Phil Frohlich may direct the vote and disposition of the 6,013,025 shares of Common Stock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7" w:lineRule="exact"/>
        <w:rPr>
          <w:rFonts w:ascii="Arial" w:cs="Arial" w:eastAsia="Arial" w:hAnsi="Arial"/>
          <w:sz w:val="16"/>
          <w:szCs w:val="16"/>
          <w:color w:val="auto"/>
        </w:rPr>
      </w:pPr>
    </w:p>
    <w:p>
      <w:pPr>
        <w:ind w:left="380" w:right="100" w:hanging="374"/>
        <w:spacing w:after="0" w:line="250"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Amendment No. 9 to Schedule 13G, dated February 12, 2018, stating that RBC Global Asset Management (U.S.) Inc. was the beneficial owner of the number of shares of common stock set forth opposite its name in the table.</w:t>
      </w:r>
    </w:p>
    <w:p>
      <w:pPr>
        <w:ind w:left="380" w:right="40" w:hanging="374"/>
        <w:spacing w:after="0" w:line="271"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Amendment No. 3 to Schedule 13D, dated May 22, 2018 (the “Schedule 13D”). Mr. Cannell, identified as the Reporting Person in the Schedule 13D, is the sole managing member of Cannell Capital LLC, the investment adviser to Tonga Partners, L.P. (“Tonga”), Tristan Partners, L.P. (“Tristan”), Tristan Offshore Fund Ltd. (“Tristan Offshore”), and the investor sub-advisor for Cuttyhunk Master Portfolio (“Cuttyhunk,” and collectively with Tonga, Tristan and Tristan Offshore, the “Investment Vehicles”). As sole managing member of Cannell Capital LLC, Mr. Cannell possesses sole voting and dispositive power with respect to the shares held by the Investment Vehicles.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208280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620" w:top="341" w:right="25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following table sets forth certain information as of May 28, 2018,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202"/>
        </w:trPr>
        <w:tc>
          <w:tcPr>
            <w:tcW w:w="7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Number of Shares</w:t>
            </w:r>
          </w:p>
        </w:tc>
        <w:tc>
          <w:tcPr>
            <w:tcW w:w="500" w:type="dxa"/>
            <w:vAlign w:val="bottom"/>
          </w:tcPr>
          <w:p>
            <w:pPr>
              <w:spacing w:after="0"/>
              <w:rPr>
                <w:sz w:val="17"/>
                <w:szCs w:val="17"/>
                <w:color w:val="auto"/>
              </w:rPr>
            </w:pPr>
          </w:p>
        </w:tc>
        <w:tc>
          <w:tcPr>
            <w:tcW w:w="1480" w:type="dxa"/>
            <w:vAlign w:val="bottom"/>
            <w:gridSpan w:val="2"/>
          </w:tcPr>
          <w:p>
            <w:pPr>
              <w:jc w:val="right"/>
              <w:ind w:right="184"/>
              <w:spacing w:after="0"/>
              <w:rPr>
                <w:sz w:val="20"/>
                <w:szCs w:val="20"/>
                <w:color w:val="auto"/>
              </w:rPr>
            </w:pPr>
            <w:r>
              <w:rPr>
                <w:rFonts w:ascii="Arial" w:cs="Arial" w:eastAsia="Arial" w:hAnsi="Arial"/>
                <w:sz w:val="16"/>
                <w:szCs w:val="16"/>
                <w:b w:val="1"/>
                <w:bCs w:val="1"/>
                <w:color w:val="auto"/>
                <w:w w:val="95"/>
              </w:rPr>
              <w:t>Percent of Class</w:t>
            </w:r>
          </w:p>
        </w:tc>
      </w:tr>
      <w:tr>
        <w:trPr>
          <w:trHeight w:val="213"/>
        </w:trPr>
        <w:tc>
          <w:tcPr>
            <w:tcW w:w="7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Title</w:t>
            </w:r>
          </w:p>
        </w:tc>
        <w:tc>
          <w:tcPr>
            <w:tcW w:w="120" w:type="dxa"/>
            <w:vAlign w:val="bottom"/>
            <w:tcBorders>
              <w:bottom w:val="single" w:sz="8" w:color="CFF0FC"/>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50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FF0FC"/>
            </w:tcBorders>
          </w:tcPr>
          <w:p>
            <w:pPr>
              <w:spacing w:after="0"/>
              <w:rPr>
                <w:sz w:val="18"/>
                <w:szCs w:val="18"/>
                <w:color w:val="auto"/>
              </w:rPr>
            </w:pPr>
          </w:p>
        </w:tc>
      </w:tr>
      <w:tr>
        <w:trPr>
          <w:trHeight w:val="213"/>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Seymour Holtzman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4,545,658</w:t>
            </w:r>
          </w:p>
        </w:tc>
        <w:tc>
          <w:tcPr>
            <w:tcW w:w="5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13"/>
        </w:trPr>
        <w:tc>
          <w:tcPr>
            <w:tcW w:w="7960" w:type="dxa"/>
            <w:vAlign w:val="bottom"/>
            <w:gridSpan w:val="2"/>
          </w:tcPr>
          <w:p>
            <w:pPr>
              <w:ind w:left="140"/>
              <w:spacing w:after="0"/>
              <w:rPr>
                <w:sz w:val="20"/>
                <w:szCs w:val="20"/>
                <w:color w:val="auto"/>
              </w:rPr>
            </w:pPr>
            <w:r>
              <w:rPr>
                <w:rFonts w:ascii="Arial" w:cs="Arial" w:eastAsia="Arial" w:hAnsi="Arial"/>
                <w:sz w:val="16"/>
                <w:szCs w:val="16"/>
                <w:color w:val="auto"/>
              </w:rPr>
              <w:t>Executive Chairman of the Board</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David A. Levin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1,378,793</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2.80%</w:t>
            </w:r>
          </w:p>
        </w:tc>
      </w:tr>
      <w:tr>
        <w:trPr>
          <w:trHeight w:val="213"/>
        </w:trPr>
        <w:tc>
          <w:tcPr>
            <w:tcW w:w="7960" w:type="dxa"/>
            <w:vAlign w:val="bottom"/>
            <w:gridSpan w:val="2"/>
          </w:tcPr>
          <w:p>
            <w:pPr>
              <w:ind w:left="140"/>
              <w:spacing w:after="0"/>
              <w:rPr>
                <w:sz w:val="20"/>
                <w:szCs w:val="20"/>
                <w:color w:val="auto"/>
              </w:rPr>
            </w:pPr>
            <w:r>
              <w:rPr>
                <w:rFonts w:ascii="Arial" w:cs="Arial" w:eastAsia="Arial" w:hAnsi="Arial"/>
                <w:sz w:val="16"/>
                <w:szCs w:val="16"/>
                <w:color w:val="auto"/>
              </w:rPr>
              <w:t>Chief Executive Officer, President and Director</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118,732</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Chief Financial Officer and Treasurer</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135,402</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ind w:left="300"/>
              <w:spacing w:after="0"/>
              <w:rPr>
                <w:sz w:val="20"/>
                <w:szCs w:val="20"/>
                <w:color w:val="auto"/>
              </w:rPr>
            </w:pPr>
            <w:r>
              <w:rPr>
                <w:rFonts w:ascii="Arial" w:cs="Arial" w:eastAsia="Arial" w:hAnsi="Arial"/>
                <w:sz w:val="16"/>
                <w:szCs w:val="16"/>
                <w:color w:val="auto"/>
              </w:rPr>
              <w:t>Executive Vice President and Chief Customer Officer</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236,379</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ind w:left="140"/>
              <w:spacing w:after="0"/>
              <w:rPr>
                <w:sz w:val="20"/>
                <w:szCs w:val="20"/>
                <w:color w:val="auto"/>
              </w:rPr>
            </w:pPr>
            <w:r>
              <w:rPr>
                <w:rFonts w:ascii="Arial" w:cs="Arial" w:eastAsia="Arial" w:hAnsi="Arial"/>
                <w:sz w:val="16"/>
                <w:szCs w:val="16"/>
                <w:color w:val="auto"/>
              </w:rPr>
              <w:t>Senior Vice President, Chief Administrative Officer, General Counsel and Secretary</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Kenneth M. Ederle</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174,883</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ind w:left="140"/>
              <w:spacing w:after="0"/>
              <w:rPr>
                <w:sz w:val="20"/>
                <w:szCs w:val="20"/>
                <w:color w:val="auto"/>
              </w:rPr>
            </w:pPr>
            <w:r>
              <w:rPr>
                <w:rFonts w:ascii="Arial" w:cs="Arial" w:eastAsia="Arial" w:hAnsi="Arial"/>
                <w:sz w:val="16"/>
                <w:szCs w:val="16"/>
                <w:color w:val="auto"/>
              </w:rPr>
              <w:t>Former Senior Vice President, Chief Merchandising Officer – Planning and Allocation</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Sahal S. Laher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8,622</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ind w:left="140"/>
              <w:spacing w:after="0"/>
              <w:rPr>
                <w:sz w:val="20"/>
                <w:szCs w:val="20"/>
                <w:color w:val="auto"/>
              </w:rPr>
            </w:pPr>
            <w:r>
              <w:rPr>
                <w:rFonts w:ascii="Arial" w:cs="Arial" w:eastAsia="Arial" w:hAnsi="Arial"/>
                <w:sz w:val="16"/>
                <w:szCs w:val="16"/>
                <w:color w:val="auto"/>
              </w:rPr>
              <w:t>Former Senior Vice President, Chief Digital and Information Officer</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John E. Kyees, Lead Independent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123,977</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6"/>
                <w:szCs w:val="16"/>
                <w:color w:val="auto"/>
              </w:rPr>
              <w:t>Jack Boyle, Director</w:t>
            </w:r>
          </w:p>
        </w:tc>
        <w:tc>
          <w:tcPr>
            <w:tcW w:w="1480" w:type="dxa"/>
            <w:vAlign w:val="bottom"/>
          </w:tcPr>
          <w:p>
            <w:pPr>
              <w:jc w:val="right"/>
              <w:spacing w:after="0"/>
              <w:rPr>
                <w:sz w:val="20"/>
                <w:szCs w:val="20"/>
                <w:color w:val="auto"/>
              </w:rPr>
            </w:pPr>
            <w:r>
              <w:rPr>
                <w:rFonts w:ascii="Arial" w:cs="Arial" w:eastAsia="Arial" w:hAnsi="Arial"/>
                <w:sz w:val="16"/>
                <w:szCs w:val="16"/>
                <w:color w:val="auto"/>
              </w:rPr>
              <w:t>18,461</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Willem Mesdag,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8,080,610</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16.45%</w:t>
            </w:r>
          </w:p>
        </w:tc>
      </w:tr>
      <w:tr>
        <w:trPr>
          <w:trHeight w:val="213"/>
        </w:trPr>
        <w:tc>
          <w:tcPr>
            <w:tcW w:w="7960" w:type="dxa"/>
            <w:vAlign w:val="bottom"/>
            <w:gridSpan w:val="2"/>
          </w:tcPr>
          <w:p>
            <w:pPr>
              <w:spacing w:after="0"/>
              <w:rPr>
                <w:sz w:val="20"/>
                <w:szCs w:val="20"/>
                <w:color w:val="auto"/>
              </w:rPr>
            </w:pPr>
            <w:r>
              <w:rPr>
                <w:rFonts w:ascii="Arial" w:cs="Arial" w:eastAsia="Arial" w:hAnsi="Arial"/>
                <w:sz w:val="16"/>
                <w:szCs w:val="16"/>
                <w:color w:val="auto"/>
              </w:rPr>
              <w:t>Ward K. Mooney, Director</w:t>
            </w:r>
          </w:p>
        </w:tc>
        <w:tc>
          <w:tcPr>
            <w:tcW w:w="1480" w:type="dxa"/>
            <w:vAlign w:val="bottom"/>
          </w:tcPr>
          <w:p>
            <w:pPr>
              <w:jc w:val="right"/>
              <w:spacing w:after="0"/>
              <w:rPr>
                <w:sz w:val="20"/>
                <w:szCs w:val="20"/>
                <w:color w:val="auto"/>
              </w:rPr>
            </w:pPr>
            <w:r>
              <w:rPr>
                <w:rFonts w:ascii="Arial" w:cs="Arial" w:eastAsia="Arial" w:hAnsi="Arial"/>
                <w:sz w:val="16"/>
                <w:szCs w:val="16"/>
                <w:color w:val="auto"/>
              </w:rPr>
              <w:t>139,526</w:t>
            </w: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Mitchell S. Presser,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309,722</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6"/>
                <w:szCs w:val="16"/>
                <w:color w:val="auto"/>
              </w:rPr>
              <w:t>Oliver Walsh, Director</w:t>
            </w:r>
          </w:p>
        </w:tc>
        <w:tc>
          <w:tcPr>
            <w:tcW w:w="1480" w:type="dxa"/>
            <w:vAlign w:val="bottom"/>
          </w:tcPr>
          <w:p>
            <w:pPr>
              <w:jc w:val="right"/>
              <w:spacing w:after="0"/>
              <w:rPr>
                <w:sz w:val="20"/>
                <w:szCs w:val="20"/>
                <w:color w:val="auto"/>
              </w:rPr>
            </w:pPr>
            <w:r>
              <w:rPr>
                <w:rFonts w:ascii="Arial" w:cs="Arial" w:eastAsia="Arial" w:hAnsi="Arial"/>
                <w:sz w:val="16"/>
                <w:szCs w:val="16"/>
                <w:color w:val="auto"/>
              </w:rPr>
              <w:t>18,461</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r>
        <w:trPr>
          <w:trHeight w:val="219"/>
        </w:trPr>
        <w:tc>
          <w:tcPr>
            <w:tcW w:w="7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76,331</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r>
      <w:tr>
        <w:trPr>
          <w:trHeight w:val="210"/>
        </w:trPr>
        <w:tc>
          <w:tcPr>
            <w:tcW w:w="7960" w:type="dxa"/>
            <w:vAlign w:val="bottom"/>
            <w:gridSpan w:val="2"/>
          </w:tcPr>
          <w:p>
            <w:pPr>
              <w:spacing w:after="0"/>
              <w:rPr>
                <w:sz w:val="20"/>
                <w:szCs w:val="20"/>
                <w:color w:val="auto"/>
              </w:rPr>
            </w:pPr>
            <w:r>
              <w:rPr>
                <w:rFonts w:ascii="Arial" w:cs="Arial" w:eastAsia="Arial" w:hAnsi="Arial"/>
                <w:sz w:val="16"/>
                <w:szCs w:val="16"/>
                <w:color w:val="auto"/>
              </w:rPr>
              <w:t>Directors and executive officers as a group (21 persons)</w:t>
            </w:r>
          </w:p>
        </w:tc>
        <w:tc>
          <w:tcPr>
            <w:tcW w:w="1480" w:type="dxa"/>
            <w:vAlign w:val="bottom"/>
          </w:tcPr>
          <w:p>
            <w:pPr>
              <w:jc w:val="right"/>
              <w:spacing w:after="0"/>
              <w:rPr>
                <w:sz w:val="20"/>
                <w:szCs w:val="20"/>
                <w:color w:val="auto"/>
              </w:rPr>
            </w:pPr>
            <w:r>
              <w:rPr>
                <w:rFonts w:ascii="Arial" w:cs="Arial" w:eastAsia="Arial" w:hAnsi="Arial"/>
                <w:sz w:val="16"/>
                <w:szCs w:val="16"/>
                <w:color w:val="auto"/>
              </w:rPr>
              <w:t>15,818,339</w:t>
            </w: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9690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5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23" w:lineRule="exact"/>
        <w:rPr>
          <w:sz w:val="20"/>
          <w:szCs w:val="20"/>
          <w:color w:val="auto"/>
        </w:rPr>
      </w:pPr>
    </w:p>
    <w:p>
      <w:pPr>
        <w:ind w:left="380" w:right="40" w:hanging="372"/>
        <w:spacing w:after="0" w:line="265"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49,013,574 shares of our common stock outstanding as of May 28, 2018.</w:t>
      </w:r>
    </w:p>
    <w:p>
      <w:pPr>
        <w:spacing w:after="0" w:line="1" w:lineRule="exact"/>
        <w:rPr>
          <w:rFonts w:ascii="Arial" w:cs="Arial" w:eastAsia="Arial" w:hAnsi="Arial"/>
          <w:sz w:val="17"/>
          <w:szCs w:val="17"/>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195,942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42,403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54,951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89,512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63,679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43,648 shares subject to stock options exercisable within 60 days and 62,119 shares of deferred stock.</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380" w:right="20" w:hanging="372"/>
        <w:spacing w:after="0" w:line="281"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99,241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right="40" w:hanging="372"/>
        <w:spacing w:after="0" w:line="261"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720,414 shares subject to stock options exercisable within 60 days, 33,333 of unvested shares of restricted stock and 161,360 shares of deferred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3, 2018:</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and rights</w:t>
            </w:r>
          </w:p>
        </w:tc>
        <w:tc>
          <w:tcPr>
            <w:tcW w:w="2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6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Borders>
              <w:bottom w:val="single" w:sz="8" w:color="CFF0FC"/>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(b)</w:t>
            </w:r>
          </w:p>
        </w:tc>
        <w:tc>
          <w:tcPr>
            <w:tcW w:w="240" w:type="dxa"/>
            <w:vAlign w:val="bottom"/>
            <w:tcBorders>
              <w:bottom w:val="single" w:sz="8" w:color="CFF0FC"/>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4"/>
              </w:rPr>
              <w:t>Equity compensation plans approved by security holders</w:t>
            </w:r>
          </w:p>
        </w:tc>
        <w:tc>
          <w:tcPr>
            <w:tcW w:w="140" w:type="dxa"/>
            <w:vAlign w:val="bottom"/>
            <w:shd w:val="clear" w:color="auto" w:fill="CFF0FC"/>
          </w:tcPr>
          <w:p>
            <w:pPr>
              <w:spacing w:after="0"/>
              <w:rPr>
                <w:sz w:val="18"/>
                <w:szCs w:val="18"/>
                <w:color w:val="auto"/>
              </w:rPr>
            </w:pPr>
          </w:p>
        </w:tc>
        <w:tc>
          <w:tcPr>
            <w:tcW w:w="2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1,195,910</w:t>
            </w:r>
          </w:p>
        </w:tc>
        <w:tc>
          <w:tcPr>
            <w:tcW w:w="5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FF0FC"/>
          </w:tcPr>
          <w:p>
            <w:pPr>
              <w:spacing w:after="0"/>
              <w:rPr>
                <w:sz w:val="18"/>
                <w:szCs w:val="18"/>
                <w:color w:val="auto"/>
              </w:rPr>
            </w:pPr>
          </w:p>
        </w:tc>
        <w:tc>
          <w:tcPr>
            <w:tcW w:w="2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6,536,551</w:t>
            </w: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FF0FC"/>
          </w:tcPr>
          <w:p>
            <w:pPr>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5"/>
                <w:szCs w:val="15"/>
                <w:color w:val="auto"/>
              </w:rPr>
            </w:pPr>
          </w:p>
        </w:tc>
        <w:tc>
          <w:tcPr>
            <w:tcW w:w="2040" w:type="dxa"/>
            <w:vAlign w:val="bottom"/>
            <w:vMerge w:val="continue"/>
            <w:shd w:val="clear" w:color="auto" w:fill="CFF0FC"/>
          </w:tcPr>
          <w:p>
            <w:pPr>
              <w:spacing w:after="0"/>
              <w:rPr>
                <w:sz w:val="15"/>
                <w:szCs w:val="15"/>
                <w:color w:val="auto"/>
              </w:rPr>
            </w:pPr>
          </w:p>
        </w:tc>
        <w:tc>
          <w:tcPr>
            <w:tcW w:w="540" w:type="dxa"/>
            <w:vAlign w:val="bottom"/>
            <w:gridSpan w:val="2"/>
            <w:vMerge w:val="continue"/>
            <w:shd w:val="clear" w:color="auto" w:fill="CFF0FC"/>
          </w:tcPr>
          <w:p>
            <w:pPr>
              <w:spacing w:after="0"/>
              <w:rPr>
                <w:sz w:val="15"/>
                <w:szCs w:val="15"/>
                <w:color w:val="auto"/>
              </w:rPr>
            </w:pPr>
          </w:p>
        </w:tc>
        <w:tc>
          <w:tcPr>
            <w:tcW w:w="176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60" w:type="dxa"/>
            <w:vAlign w:val="bottom"/>
            <w:vMerge w:val="continue"/>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holders </w:t>
            </w:r>
            <w:r>
              <w:rPr>
                <w:rFonts w:ascii="Arial" w:cs="Arial" w:eastAsia="Arial" w:hAnsi="Arial"/>
                <w:sz w:val="15"/>
                <w:szCs w:val="15"/>
                <w:color w:val="auto"/>
              </w:rPr>
              <w:t>(2)</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291,409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6,827,960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right="82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2006 Incentive Compensation Plan (as amended, the “2006 Plan”) expired on July 31, 2016 and was replaced by our 2016 Incentive Compensation Plan approved by our stockholders in August 2016 (the “2016 Plan”).</w:t>
      </w:r>
    </w:p>
    <w:p>
      <w:pPr>
        <w:spacing w:after="0" w:line="170" w:lineRule="exact"/>
        <w:rPr>
          <w:rFonts w:ascii="Arial" w:cs="Arial" w:eastAsia="Arial" w:hAnsi="Arial"/>
          <w:sz w:val="18"/>
          <w:szCs w:val="18"/>
          <w:color w:val="auto"/>
        </w:rPr>
      </w:pPr>
    </w:p>
    <w:p>
      <w:pPr>
        <w:ind w:left="760" w:right="180"/>
        <w:spacing w:after="0" w:line="342" w:lineRule="auto"/>
        <w:rPr>
          <w:rFonts w:ascii="Arial" w:cs="Arial" w:eastAsia="Arial" w:hAnsi="Arial"/>
          <w:sz w:val="18"/>
          <w:szCs w:val="18"/>
          <w:color w:val="auto"/>
        </w:rPr>
      </w:pPr>
      <w:r>
        <w:rPr>
          <w:rFonts w:ascii="Arial" w:cs="Arial" w:eastAsia="Arial" w:hAnsi="Arial"/>
          <w:sz w:val="16"/>
          <w:szCs w:val="16"/>
          <w:color w:val="auto"/>
        </w:rPr>
        <w:t>Of the 1,195,910 options outstanding at February 3, 2018, 1,161,408 were issued from the 2006 Plan. If any of these options terminate, expire or are cancelled without having been exercised or paid, they will be added back and become available for issuance under the 2016 Plan.</w:t>
      </w:r>
    </w:p>
    <w:p>
      <w:pPr>
        <w:spacing w:after="0" w:line="15" w:lineRule="exact"/>
        <w:rPr>
          <w:rFonts w:ascii="Arial" w:cs="Arial" w:eastAsia="Arial" w:hAnsi="Arial"/>
          <w:sz w:val="18"/>
          <w:szCs w:val="18"/>
          <w:color w:val="auto"/>
        </w:rPr>
      </w:pPr>
    </w:p>
    <w:p>
      <w:pPr>
        <w:ind w:left="760" w:right="20" w:hanging="374"/>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the Third Amended and Restated Non-Employee Director Compensation Plan (“Director Plan”), we have 500,000 shares authorized for stock issuances in lieu of cash director fees, of which 291,409 shares were available at February 3,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Seymour Holtzman, the Executive Chairman of the Company’s Board of Directors (the “Board”), is the chairman, chief executive officer and president and, together with his wife, indirectly, the majority shareholder of Jewelcor Management, Inc. (“JMI”).</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Pursuant to an Employment and Chairman Compensation Agreement entered into on August 7, 2014 and amended on May 15, 2017, Mr. Holtzman serves as both an employee of the Company, reporting to the Board, and, in his capacity as Executive Chairman of the Board, with the duties of the Chairman of the Board as set forth in the Company’s Fourth Amended and Restated By-Laws. The initial term of the agreement was for two years. Commencing August 7, 2015, the agreement is automatically extended for an additional one-year term on each anniversary date. Accordingly, the current expiration date of the agreement is August 7, 2018. As compensation for the employment services, Mr. Holtzman receives an annual base salary of $24,000 and, as compensation for his services as Executive Chairman, he receives annual compensation of $200,000.</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Oliver Walsh</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Oliver Walsh was elected as a director at the Company’s Annual Meeting of Stockholders on August 3, 2017. On August 17, 2017, Mr. Walsh entered into a temporary consulting agreement with the Company to serve as the Interim Chief Marketing Officer through the Fall and Holiday selling seasons, while the Company searched for a Chief Marketing Officer. Pursuant to the terms of the temporary consulting agreement, Mr. Walsh was entitled to receive compensation at a rate of $7,000 per week plus reimbursement for business and travel expenses. The temporary consulting agreement ended on December 18, 2017. For fiscal 2017, Mr. Walsh received total compensation pursuant to the temporary consulting agreement, excluding reimbursement of expenses, of $127,400.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Committee Charter, which was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all other related party transactions, the review and approval of such transactions is the responsibility of our Audit Committee, including the review and approval of the temporary consulting agreement with Mr. Walsh.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Board of Directors is currently comprised of nine members. A majority of the members of the Board are “independent” under the rules of the Nasdaq Global Select Market (“Nasdaq”). The Board has determined that the following directors are independent: Messrs. Boyle, Kyees, Mesdag, Mooney, Presser, Walsh and Ms. Ross.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engaged KPMG LLP to serve as our independent registered public accounting firm during the fiscal year ended February 3, 2018. KPMG LLP has served as the Company’s independent registered public accounting firm since June 6,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February 3, 2018 (“fiscal 2017”) and January 28, 2017 (“fiscal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4"/>
              <w:spacing w:after="0"/>
              <w:rPr>
                <w:sz w:val="20"/>
                <w:szCs w:val="20"/>
                <w:color w:val="auto"/>
              </w:rPr>
            </w:pPr>
            <w:r>
              <w:rPr>
                <w:rFonts w:ascii="Arial" w:cs="Arial" w:eastAsia="Arial" w:hAnsi="Arial"/>
                <w:sz w:val="14"/>
                <w:szCs w:val="14"/>
                <w:b w:val="1"/>
                <w:bCs w:val="1"/>
                <w:color w:val="auto"/>
              </w:rPr>
              <w:t>Fiscal 2017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 2016</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891,665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784,385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893,445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786,165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120" w:hanging="374"/>
        <w:spacing w:after="0" w:line="264"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 fees related to professional services rendered in connection with the audits of our financial statements included in our Annual Reports on Form 10-K for fiscal 2017 and fiscal 2016, for services performed related to compliance with Section 404 of the Sarbanes-Oxley Act of 2002, and for reviews of the financial statements included in each of our Quarterly Reports on Form 10-Q.</w:t>
      </w:r>
    </w:p>
    <w:p>
      <w:pPr>
        <w:spacing w:after="0" w:line="73"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33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2017 and fiscal 2016 under Audit Fees and Other Fees were pre-approved by the Audit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9" w:lineRule="exact"/>
        <w:rPr>
          <w:sz w:val="20"/>
          <w:szCs w:val="20"/>
          <w:color w:val="auto"/>
        </w:rPr>
      </w:pPr>
    </w:p>
    <w:p>
      <w:pPr>
        <w:ind w:left="1680" w:right="239" w:hanging="707"/>
        <w:spacing w:after="0" w:line="277" w:lineRule="auto"/>
        <w:tabs>
          <w:tab w:leader="none" w:pos="16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39">
        <w:r>
          <w:rPr>
            <w:rFonts w:ascii="Arial" w:cs="Arial" w:eastAsia="Arial" w:hAnsi="Arial"/>
            <w:sz w:val="18"/>
            <w:szCs w:val="18"/>
            <w:u w:val="single" w:color="auto"/>
            <w:color w:val="0000EE"/>
          </w:rPr>
          <w:t>Certification of Chief Executive Officer of the Company pursuant to Rule 13a-14(a) under the Securities Exchange</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Act of 1934.</w:t>
        </w:r>
      </w:hyperlink>
    </w:p>
    <w:p>
      <w:pPr>
        <w:spacing w:after="0" w:line="62" w:lineRule="exact"/>
        <w:rPr>
          <w:sz w:val="20"/>
          <w:szCs w:val="20"/>
          <w:color w:val="auto"/>
        </w:rPr>
      </w:pPr>
    </w:p>
    <w:p>
      <w:pPr>
        <w:ind w:left="1680" w:right="299" w:hanging="707"/>
        <w:spacing w:after="0" w:line="277" w:lineRule="auto"/>
        <w:tabs>
          <w:tab w:leader="none" w:pos="16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40">
        <w:r>
          <w:rPr>
            <w:rFonts w:ascii="Arial" w:cs="Arial" w:eastAsia="Arial" w:hAnsi="Arial"/>
            <w:sz w:val="18"/>
            <w:szCs w:val="18"/>
            <w:u w:val="single" w:color="auto"/>
            <w:color w:val="0000EE"/>
          </w:rPr>
          <w:t>Certification of Chief Financial Officer of the Company pursuant to Rule 13a-14(a) under the Securities Exchange</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Act of 1934.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7" w:name="page38"/>
    <w:bookmarkEnd w:id="3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3"/>
          </w:tcPr>
          <w:p>
            <w:pPr>
              <w:ind w:left="468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w:t>
            </w:r>
            <w:r>
              <w:rPr>
                <w:rFonts w:ascii="Arial" w:cs="Arial" w:eastAsia="Arial" w:hAnsi="Arial"/>
                <w:sz w:val="13"/>
                <w:szCs w:val="13"/>
                <w:color w:val="auto"/>
              </w:rPr>
              <w:t>L</w:t>
            </w:r>
            <w:r>
              <w:rPr>
                <w:rFonts w:ascii="Arial" w:cs="Arial" w:eastAsia="Arial" w:hAnsi="Arial"/>
                <w:sz w:val="18"/>
                <w:szCs w:val="18"/>
                <w:color w:val="auto"/>
              </w:rPr>
              <w:t xml:space="preserve">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June 4, 2018</w:t>
            </w:r>
          </w:p>
        </w:tc>
        <w:tc>
          <w:tcPr>
            <w:tcW w:w="3540" w:type="dxa"/>
            <w:vAlign w:val="bottom"/>
          </w:tcPr>
          <w:p>
            <w:pPr>
              <w:spacing w:after="0"/>
              <w:rPr>
                <w:sz w:val="20"/>
                <w:szCs w:val="20"/>
                <w:color w:val="auto"/>
              </w:rPr>
            </w:pPr>
          </w:p>
        </w:tc>
      </w:tr>
      <w:tr>
        <w:trPr>
          <w:trHeight w:val="432"/>
        </w:trPr>
        <w:tc>
          <w:tcPr>
            <w:tcW w:w="6200" w:type="dxa"/>
            <w:vAlign w:val="bottom"/>
            <w:gridSpan w:val="2"/>
          </w:tcPr>
          <w:p>
            <w:pPr>
              <w:ind w:left="4680"/>
              <w:spacing w:after="0"/>
              <w:rPr>
                <w:sz w:val="20"/>
                <w:szCs w:val="20"/>
                <w:color w:val="auto"/>
              </w:rPr>
            </w:pPr>
            <w:r>
              <w:rPr>
                <w:rFonts w:ascii="Arial" w:cs="Arial" w:eastAsia="Arial" w:hAnsi="Arial"/>
                <w:sz w:val="18"/>
                <w:szCs w:val="18"/>
                <w:color w:val="auto"/>
              </w:rPr>
              <w:t>By:</w:t>
            </w:r>
          </w:p>
        </w:tc>
        <w:tc>
          <w:tcPr>
            <w:tcW w:w="3540" w:type="dxa"/>
            <w:vAlign w:val="bottom"/>
          </w:tcPr>
          <w:p>
            <w:pPr>
              <w:ind w:left="160"/>
              <w:spacing w:after="0"/>
              <w:rPr>
                <w:sz w:val="20"/>
                <w:szCs w:val="20"/>
                <w:color w:val="auto"/>
              </w:rPr>
            </w:pPr>
            <w:r>
              <w:rPr>
                <w:rFonts w:ascii="Arial" w:cs="Arial" w:eastAsia="Arial" w:hAnsi="Arial"/>
                <w:sz w:val="18"/>
                <w:szCs w:val="18"/>
                <w:color w:val="auto"/>
              </w:rPr>
              <w:t>/s/  DAVID A. LEVIN</w:t>
            </w:r>
          </w:p>
        </w:tc>
      </w:tr>
      <w:tr>
        <w:trPr>
          <w:trHeight w:val="129"/>
        </w:trPr>
        <w:tc>
          <w:tcPr>
            <w:tcW w:w="498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540" w:type="dxa"/>
            <w:vAlign w:val="bottom"/>
            <w:tcBorders>
              <w:top w:val="single" w:sz="8" w:color="auto"/>
            </w:tcBorders>
          </w:tcPr>
          <w:p>
            <w:pPr>
              <w:jc w:val="center"/>
              <w:ind w:right="1143"/>
              <w:spacing w:after="0" w:line="129" w:lineRule="exact"/>
              <w:rPr>
                <w:sz w:val="20"/>
                <w:szCs w:val="20"/>
                <w:color w:val="auto"/>
              </w:rPr>
            </w:pPr>
            <w:r>
              <w:rPr>
                <w:rFonts w:ascii="Arial" w:cs="Arial" w:eastAsia="Arial" w:hAnsi="Arial"/>
                <w:sz w:val="14"/>
                <w:szCs w:val="14"/>
                <w:b w:val="1"/>
                <w:bCs w:val="1"/>
                <w:color w:val="auto"/>
                <w:w w:val="91"/>
              </w:rPr>
              <w:t>David A. Levin</w:t>
            </w:r>
          </w:p>
        </w:tc>
      </w:tr>
      <w:tr>
        <w:trPr>
          <w:trHeight w:val="174"/>
        </w:trPr>
        <w:tc>
          <w:tcPr>
            <w:tcW w:w="4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40" w:type="dxa"/>
            <w:vAlign w:val="bottom"/>
          </w:tcPr>
          <w:p>
            <w:pPr>
              <w:jc w:val="center"/>
              <w:ind w:right="1163"/>
              <w:spacing w:after="0"/>
              <w:rPr>
                <w:sz w:val="20"/>
                <w:szCs w:val="20"/>
                <w:color w:val="auto"/>
              </w:rPr>
            </w:pPr>
            <w:r>
              <w:rPr>
                <w:rFonts w:ascii="Arial" w:cs="Arial" w:eastAsia="Arial" w:hAnsi="Arial"/>
                <w:sz w:val="14"/>
                <w:szCs w:val="14"/>
                <w:b w:val="1"/>
                <w:bCs w:val="1"/>
                <w:color w:val="auto"/>
                <w:w w:val="87"/>
              </w:rPr>
              <w:t>President and Chief Executive Officer</w:t>
            </w:r>
          </w:p>
        </w:tc>
      </w:tr>
      <w:tr>
        <w:trPr>
          <w:trHeight w:val="419"/>
        </w:trPr>
        <w:tc>
          <w:tcPr>
            <w:tcW w:w="4980" w:type="dxa"/>
            <w:vAlign w:val="bottom"/>
          </w:tcPr>
          <w:p>
            <w:pPr>
              <w:spacing w:after="0"/>
              <w:rPr>
                <w:sz w:val="24"/>
                <w:szCs w:val="24"/>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tcPr>
          <w:p>
            <w:pPr>
              <w:jc w:val="center"/>
              <w:ind w:right="1163"/>
              <w:spacing w:after="0"/>
              <w:rPr>
                <w:sz w:val="20"/>
                <w:szCs w:val="20"/>
                <w:color w:val="auto"/>
              </w:rPr>
            </w:pPr>
            <w:r>
              <w:rPr>
                <w:rFonts w:ascii="Arial" w:cs="Arial" w:eastAsia="Arial" w:hAnsi="Arial"/>
                <w:sz w:val="18"/>
                <w:szCs w:val="18"/>
                <w:color w:val="auto"/>
                <w:w w:val="92"/>
              </w:rPr>
              <w:t>PETER H. STRATTON, JR.</w:t>
            </w:r>
          </w:p>
        </w:tc>
      </w:tr>
      <w:tr>
        <w:trPr>
          <w:trHeight w:val="143"/>
        </w:trPr>
        <w:tc>
          <w:tcPr>
            <w:tcW w:w="4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40" w:type="dxa"/>
            <w:vAlign w:val="bottom"/>
          </w:tcPr>
          <w:p>
            <w:pPr>
              <w:jc w:val="center"/>
              <w:ind w:right="1163"/>
              <w:spacing w:after="0" w:line="143" w:lineRule="exact"/>
              <w:rPr>
                <w:sz w:val="20"/>
                <w:szCs w:val="20"/>
                <w:color w:val="auto"/>
              </w:rPr>
            </w:pPr>
            <w:r>
              <w:rPr>
                <w:rFonts w:ascii="Arial" w:cs="Arial" w:eastAsia="Arial" w:hAnsi="Arial"/>
                <w:sz w:val="14"/>
                <w:szCs w:val="14"/>
                <w:b w:val="1"/>
                <w:bCs w:val="1"/>
                <w:color w:val="auto"/>
                <w:w w:val="90"/>
              </w:rPr>
              <w:t>Peter H. Stratton, Jr.</w:t>
            </w:r>
          </w:p>
        </w:tc>
      </w:tr>
    </w:tbl>
    <w:p>
      <w:pPr>
        <w:ind w:left="5520"/>
        <w:spacing w:after="0"/>
        <w:rPr>
          <w:sz w:val="20"/>
          <w:szCs w:val="20"/>
          <w:color w:val="auto"/>
        </w:rPr>
      </w:pPr>
      <w:r>
        <w:rPr>
          <w:rFonts w:ascii="Arial" w:cs="Arial" w:eastAsia="Arial" w:hAnsi="Arial"/>
          <w:sz w:val="14"/>
          <w:szCs w:val="14"/>
          <w:b w:val="1"/>
          <w:bCs w:val="1"/>
          <w:color w:val="auto"/>
        </w:rPr>
        <w:t>Executive Vice President, 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99" w:right="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Date:June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90"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Date:June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Executive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1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lvl w:ilvl="1">
      <w:lvlJc w:val="left"/>
      <w:lvlText w:val="(%2)"/>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3"/>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3"/>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2019-12-28T21:43:41Z</dcterms:created>
  <dcterms:modified xsi:type="dcterms:W3CDTF">2019-12-28T21:43:41Z</dcterms:modified>
</cp:coreProperties>
</file>