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42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CANNELL CAPITAL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245 MERIWETHER CIRCLE</w:t>
      </w:r>
    </w:p>
    <w:p>
      <w:pPr>
        <w:spacing w:after="0" w:line="354"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8"/>
          <w:szCs w:val="18"/>
          <w:color w:val="0000FF"/>
        </w:rPr>
        <w:t>ALTA</w:t>
      </w:r>
      <w:r>
        <w:rPr>
          <w:sz w:val="20"/>
          <w:szCs w:val="20"/>
          <w:color w:val="auto"/>
        </w:rPr>
        <w:tab/>
      </w:r>
      <w:r>
        <w:rPr>
          <w:rFonts w:ascii="Arial" w:cs="Arial" w:eastAsia="Arial" w:hAnsi="Arial"/>
          <w:sz w:val="18"/>
          <w:szCs w:val="18"/>
          <w:color w:val="0000FF"/>
        </w:rPr>
        <w:t>WY</w:t>
      </w:r>
      <w:r>
        <w:rPr>
          <w:sz w:val="20"/>
          <w:szCs w:val="20"/>
          <w:color w:val="auto"/>
        </w:rPr>
        <w:tab/>
      </w:r>
      <w:r>
        <w:rPr>
          <w:rFonts w:ascii="Arial" w:cs="Arial" w:eastAsia="Arial" w:hAnsi="Arial"/>
          <w:sz w:val="15"/>
          <w:szCs w:val="15"/>
          <w:color w:val="0000FF"/>
        </w:rPr>
        <w:t>83414</w:t>
      </w:r>
    </w:p>
    <w:p>
      <w:pPr>
        <w:spacing w:after="0" w:line="34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920" w:type="dxa"/>
            <w:vAlign w:val="bottom"/>
            <w:tcBorders>
              <w:top w:val="single" w:sz="8" w:color="0000EE"/>
            </w:tcBorders>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Director</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3120" w:type="dxa"/>
            <w:vAlign w:val="bottom"/>
            <w:gridSpan w:val="3"/>
            <w:vMerge w:val="restart"/>
          </w:tcPr>
          <w:p>
            <w:pPr>
              <w:ind w:left="80"/>
              <w:spacing w:after="0"/>
              <w:rPr>
                <w:sz w:val="20"/>
                <w:szCs w:val="20"/>
                <w:color w:val="auto"/>
              </w:rPr>
            </w:pPr>
            <w:r>
              <w:rPr>
                <w:rFonts w:ascii="Arial" w:cs="Arial" w:eastAsia="Arial" w:hAnsi="Arial"/>
                <w:sz w:val="18"/>
                <w:szCs w:val="18"/>
                <w:color w:val="0000FF"/>
              </w:rPr>
              <w:t>10/11/2018</w:t>
            </w: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12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9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22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280" w:space="72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4"/>
                <w:szCs w:val="14"/>
                <w:color w:val="auto"/>
              </w:rPr>
            </w:pPr>
          </w:p>
        </w:tc>
        <w:tc>
          <w:tcPr>
            <w:tcW w:w="20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2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gridSpan w:val="3"/>
          </w:tcPr>
          <w:p>
            <w:pPr>
              <w:ind w:left="30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24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3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5"/>
              </w:rPr>
              <w:t>By partnerships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0000FF"/>
                <w:w w:val="86"/>
              </w:rPr>
              <w:t>10/11/2018</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ind w:left="200"/>
              <w:spacing w:after="0"/>
              <w:rPr>
                <w:sz w:val="20"/>
                <w:szCs w:val="20"/>
                <w:color w:val="auto"/>
              </w:rPr>
            </w:pPr>
            <w:r>
              <w:rPr>
                <w:rFonts w:ascii="Arial" w:cs="Arial" w:eastAsia="Arial" w:hAnsi="Arial"/>
                <w:sz w:val="14"/>
                <w:szCs w:val="14"/>
                <w:color w:val="0000FF"/>
                <w:w w:val="85"/>
              </w:rPr>
              <w:t>P</w:t>
            </w:r>
          </w:p>
        </w:tc>
        <w:tc>
          <w:tcPr>
            <w:tcW w:w="5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0000FF"/>
                <w:w w:val="84"/>
              </w:rPr>
              <w:t>2,300</w:t>
            </w:r>
          </w:p>
        </w:tc>
        <w:tc>
          <w:tcPr>
            <w:tcW w:w="2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0000FF"/>
              </w:rPr>
              <w:t>A</w:t>
            </w:r>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2.5027</w:t>
            </w:r>
          </w:p>
        </w:tc>
        <w:tc>
          <w:tcPr>
            <w:tcW w:w="4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0000FF"/>
              </w:rPr>
              <w:t>4,922,377</w:t>
            </w:r>
          </w:p>
        </w:tc>
        <w:tc>
          <w:tcPr>
            <w:tcW w:w="720" w:type="dxa"/>
            <w:vAlign w:val="bottom"/>
          </w:tcPr>
          <w:p>
            <w:pPr>
              <w:ind w:left="3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(1)(2)</w:t>
            </w:r>
          </w:p>
        </w:tc>
        <w:tc>
          <w:tcPr>
            <w:tcW w:w="2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0000FF"/>
              </w:rPr>
              <w:t>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7"/>
              </w:rPr>
              <w:t>corporations</w:t>
            </w:r>
            <w:r>
              <w:rPr>
                <w:rFonts w:ascii="Arial" w:cs="Arial" w:eastAsia="Arial" w:hAnsi="Arial"/>
                <w:sz w:val="22"/>
                <w:szCs w:val="22"/>
                <w:color w:val="008000"/>
                <w:w w:val="87"/>
                <w:vertAlign w:val="superscript"/>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5"/>
              </w:rPr>
              <w:t>By partnerships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0000FF"/>
                <w:w w:val="86"/>
              </w:rPr>
              <w:t>10/12/2018</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ind w:left="200"/>
              <w:spacing w:after="0"/>
              <w:rPr>
                <w:sz w:val="20"/>
                <w:szCs w:val="20"/>
                <w:color w:val="auto"/>
              </w:rPr>
            </w:pPr>
            <w:r>
              <w:rPr>
                <w:rFonts w:ascii="Arial" w:cs="Arial" w:eastAsia="Arial" w:hAnsi="Arial"/>
                <w:sz w:val="14"/>
                <w:szCs w:val="14"/>
                <w:color w:val="0000FF"/>
                <w:w w:val="85"/>
              </w:rPr>
              <w:t>P</w:t>
            </w:r>
          </w:p>
        </w:tc>
        <w:tc>
          <w:tcPr>
            <w:tcW w:w="5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0000FF"/>
                <w:w w:val="84"/>
              </w:rPr>
              <w:t>1,171</w:t>
            </w:r>
          </w:p>
        </w:tc>
        <w:tc>
          <w:tcPr>
            <w:tcW w:w="2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0000FF"/>
              </w:rPr>
              <w:t>A</w:t>
            </w:r>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2.51</w:t>
            </w:r>
          </w:p>
        </w:tc>
        <w:tc>
          <w:tcPr>
            <w:tcW w:w="4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0000FF"/>
              </w:rPr>
              <w:t>4,923,548</w:t>
            </w:r>
          </w:p>
        </w:tc>
        <w:tc>
          <w:tcPr>
            <w:tcW w:w="720" w:type="dxa"/>
            <w:vAlign w:val="bottom"/>
          </w:tcPr>
          <w:p>
            <w:pPr>
              <w:ind w:left="3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(1)(2)</w:t>
            </w:r>
          </w:p>
        </w:tc>
        <w:tc>
          <w:tcPr>
            <w:tcW w:w="2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0000FF"/>
              </w:rPr>
              <w:t>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7"/>
              </w:rPr>
              <w:t>corporations</w:t>
            </w:r>
            <w:r>
              <w:rPr>
                <w:rFonts w:ascii="Arial" w:cs="Arial" w:eastAsia="Arial" w:hAnsi="Arial"/>
                <w:sz w:val="22"/>
                <w:szCs w:val="22"/>
                <w:color w:val="008000"/>
                <w:w w:val="87"/>
                <w:vertAlign w:val="superscript"/>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5"/>
              </w:rPr>
              <w:t>By partnerships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0000FF"/>
                <w:w w:val="86"/>
              </w:rPr>
              <w:t>10/15/2018</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ind w:left="200"/>
              <w:spacing w:after="0"/>
              <w:rPr>
                <w:sz w:val="20"/>
                <w:szCs w:val="20"/>
                <w:color w:val="auto"/>
              </w:rPr>
            </w:pPr>
            <w:r>
              <w:rPr>
                <w:rFonts w:ascii="Arial" w:cs="Arial" w:eastAsia="Arial" w:hAnsi="Arial"/>
                <w:sz w:val="14"/>
                <w:szCs w:val="14"/>
                <w:color w:val="0000FF"/>
                <w:w w:val="85"/>
              </w:rPr>
              <w:t>P</w:t>
            </w:r>
          </w:p>
        </w:tc>
        <w:tc>
          <w:tcPr>
            <w:tcW w:w="5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0000FF"/>
                <w:w w:val="86"/>
              </w:rPr>
              <w:t>332</w:t>
            </w:r>
          </w:p>
        </w:tc>
        <w:tc>
          <w:tcPr>
            <w:tcW w:w="2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0000FF"/>
              </w:rPr>
              <w:t>A</w:t>
            </w:r>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2.5085</w:t>
            </w:r>
          </w:p>
        </w:tc>
        <w:tc>
          <w:tcPr>
            <w:tcW w:w="4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0000FF"/>
              </w:rPr>
              <w:t>4,923,880</w:t>
            </w:r>
          </w:p>
        </w:tc>
        <w:tc>
          <w:tcPr>
            <w:tcW w:w="720" w:type="dxa"/>
            <w:vAlign w:val="bottom"/>
          </w:tcPr>
          <w:p>
            <w:pPr>
              <w:ind w:left="3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(1)(2)</w:t>
            </w:r>
          </w:p>
        </w:tc>
        <w:tc>
          <w:tcPr>
            <w:tcW w:w="2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0000FF"/>
              </w:rPr>
              <w:t>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8"/>
              </w:rPr>
              <w:t>corporations</w:t>
            </w:r>
            <w:r>
              <w:rPr>
                <w:rFonts w:ascii="Arial" w:cs="Arial" w:eastAsia="Arial" w:hAnsi="Arial"/>
                <w:sz w:val="22"/>
                <w:szCs w:val="22"/>
                <w:color w:val="008000"/>
                <w:w w:val="88"/>
                <w:vertAlign w:val="superscript"/>
              </w:rPr>
              <w:t>(1)(2)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20" w:type="dxa"/>
            <w:vAlign w:val="bottom"/>
            <w:gridSpan w:val="14"/>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w w:val="99"/>
              </w:rPr>
              <w:t>Security (Instr. 3</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34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As of October 15, 2018, Tonga Partners, LP, Cuttyhunk II Fund. Tristan Partners, LP, and Tristan Offshore Fund, Ltd (collectively the "Cannell Investment Vehicles") owned in the aggregate 4,923,880 shares of the common stock of Destination XL Group, Inc.</w:t>
      </w:r>
    </w:p>
    <w:p>
      <w:pPr>
        <w:spacing w:after="0" w:line="30" w:lineRule="exact"/>
        <w:rPr>
          <w:rFonts w:ascii="Arial" w:cs="Arial" w:eastAsia="Arial" w:hAnsi="Arial"/>
          <w:sz w:val="14"/>
          <w:szCs w:val="14"/>
          <w:color w:val="008000"/>
        </w:rPr>
      </w:pPr>
    </w:p>
    <w:p>
      <w:pPr>
        <w:ind w:left="40" w:right="2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Cannell Capital LLC acts as the investment sub-adviser to the Cuttyhunk II Fund, is the general partner of and investment adviser to Tonga Partners, LP and Tristan Partners, L.P., and is the investment adviser to Tristan Offshore Fund, Ltd. J. Carlo Cannell is the sole managing member of Cannell Capital LLC. As such, Mr. Cannell possesses sole power to vote and direct the disposition of all securities of Destination XL Group, Inc. held by the Cannell Investment Vehicles. Thus, for the purposes of Reg. Section 240.13d-3, as of October 15, 2018, Mr. Cannell beneficially owns 4,923,880 shares. Mr. Cannell's interest in the securities reported herein is limited to the extent of his pecuniary interest in each of the Cannell Investment Vehicles, if any.</w:t>
      </w:r>
    </w:p>
    <w:p>
      <w:pPr>
        <w:spacing w:after="0" w:line="15"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2"/>
              </w:rPr>
              <w:t>/s/ J. Carlo Cannell, on behalf</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10/15/2018</w:t>
            </w:r>
          </w:p>
        </w:tc>
        <w:tc>
          <w:tcPr>
            <w:tcW w:w="0" w:type="dxa"/>
            <w:vAlign w:val="bottom"/>
          </w:tcPr>
          <w:p>
            <w:pPr>
              <w:spacing w:after="0"/>
              <w:rPr>
                <w:sz w:val="1"/>
                <w:szCs w:val="1"/>
                <w:color w:val="auto"/>
              </w:rPr>
            </w:pPr>
          </w:p>
        </w:tc>
      </w:tr>
      <w:tr>
        <w:trPr>
          <w:trHeight w:val="88"/>
        </w:trPr>
        <w:tc>
          <w:tcPr>
            <w:tcW w:w="1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of Cannell Capital LLC</w:t>
            </w:r>
          </w:p>
        </w:tc>
        <w:tc>
          <w:tcPr>
            <w:tcW w:w="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885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2019-12-23T20:13:00Z</dcterms:created>
  <dcterms:modified xsi:type="dcterms:W3CDTF">2019-12-23T20:13:00Z</dcterms:modified>
</cp:coreProperties>
</file>