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333-90742</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to Prospectus dated September 11, 2002</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24,809,338 Shares</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64"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This prospectus supplement updates the prospectus dated September 11, 2002, as supplemented by the prospectus supplement dated February 25, 2004, relating to the offer for sale of up to an aggregate of 24,809,338 shares of common stock of Casual Male Retail Group, Inc. by the selling stockholders identified in the prospectus, as supplemented, and this prospectus supplement, and any of their pledgees, donees, transferees or other successors in interest.</w:t>
      </w:r>
    </w:p>
    <w:p>
      <w:pPr>
        <w:spacing w:after="0" w:line="93" w:lineRule="exact"/>
        <w:rPr>
          <w:sz w:val="24"/>
          <w:szCs w:val="24"/>
          <w:color w:val="auto"/>
        </w:rPr>
      </w:pPr>
    </w:p>
    <w:p>
      <w:pPr>
        <w:ind w:right="300"/>
        <w:spacing w:after="0" w:line="298" w:lineRule="auto"/>
        <w:rPr>
          <w:sz w:val="20"/>
          <w:szCs w:val="20"/>
          <w:color w:val="auto"/>
        </w:rPr>
      </w:pPr>
      <w:r>
        <w:rPr>
          <w:rFonts w:ascii="Arial" w:cs="Arial" w:eastAsia="Arial" w:hAnsi="Arial"/>
          <w:sz w:val="16"/>
          <w:szCs w:val="16"/>
          <w:color w:val="auto"/>
        </w:rPr>
        <w:t>We are providing this prospectus supplement to update the table in the prospectus under the caption “Selling Stockholders” to reflect a transfer of a warrant to purchase shares of common stock from Halpern Capital DBA UVEST Investment Services to Baruch and Shoshana Halpern JTWROS. The amounts set forth below are based upon information provided to us by the selling stockholders (or their representatives), or on our records, and are accurate to the best of our knowledge. Unless we indicate otherwise, the information in this prospectus supplement is as of March 24, 2004.</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8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8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8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prior to</w:t>
            </w:r>
          </w:p>
        </w:tc>
        <w:tc>
          <w:tcPr>
            <w:tcW w:w="8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offered</w:t>
            </w:r>
          </w:p>
        </w:tc>
        <w:tc>
          <w:tcPr>
            <w:tcW w:w="8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owned subsequent</w:t>
            </w:r>
          </w:p>
        </w:tc>
        <w:tc>
          <w:tcPr>
            <w:tcW w:w="8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subsequent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7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Selling Stockholder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the offering</w:t>
            </w:r>
          </w:p>
        </w:tc>
        <w:tc>
          <w:tcPr>
            <w:tcW w:w="8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common stock</w:t>
            </w:r>
          </w:p>
        </w:tc>
        <w:tc>
          <w:tcPr>
            <w:tcW w:w="8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to the offering (1)</w:t>
            </w:r>
          </w:p>
        </w:tc>
        <w:tc>
          <w:tcPr>
            <w:tcW w:w="8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the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Halpern Capital DBA UVEST Investment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80" w:type="dxa"/>
            <w:vAlign w:val="bottom"/>
            <w:gridSpan w:val="2"/>
            <w:shd w:val="clear" w:color="auto" w:fill="CCEEFF"/>
          </w:tcPr>
          <w:p>
            <w:pPr>
              <w:jc w:val="center"/>
              <w:ind w:left="712"/>
              <w:spacing w:after="0"/>
              <w:rPr>
                <w:sz w:val="20"/>
                <w:szCs w:val="20"/>
                <w:color w:val="auto"/>
              </w:rPr>
            </w:pPr>
            <w:r>
              <w:rPr>
                <w:rFonts w:ascii="Arial" w:cs="Arial" w:eastAsia="Arial" w:hAnsi="Arial"/>
                <w:sz w:val="18"/>
                <w:szCs w:val="18"/>
                <w:color w:val="auto"/>
                <w:w w:val="79"/>
              </w:rPr>
              <w:t>0</w:t>
            </w:r>
          </w:p>
        </w:tc>
        <w:tc>
          <w:tcPr>
            <w:tcW w:w="1600" w:type="dxa"/>
            <w:vAlign w:val="bottom"/>
            <w:gridSpan w:val="2"/>
            <w:shd w:val="clear" w:color="auto" w:fill="CCEEFF"/>
          </w:tcPr>
          <w:p>
            <w:pPr>
              <w:jc w:val="center"/>
              <w:ind w:left="7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Baruch and Shoshana Halpern JTWROS</w:t>
            </w:r>
          </w:p>
        </w:tc>
        <w:tc>
          <w:tcPr>
            <w:tcW w:w="1020" w:type="dxa"/>
            <w:vAlign w:val="bottom"/>
          </w:tcPr>
          <w:p>
            <w:pPr>
              <w:jc w:val="right"/>
              <w:spacing w:after="0"/>
              <w:rPr>
                <w:sz w:val="20"/>
                <w:szCs w:val="20"/>
                <w:color w:val="auto"/>
              </w:rPr>
            </w:pPr>
            <w:r>
              <w:rPr>
                <w:rFonts w:ascii="Arial" w:cs="Arial" w:eastAsia="Arial" w:hAnsi="Arial"/>
                <w:sz w:val="18"/>
                <w:szCs w:val="18"/>
                <w:color w:val="auto"/>
              </w:rPr>
              <w:t>500,000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880" w:type="dxa"/>
            <w:vAlign w:val="bottom"/>
            <w:gridSpan w:val="2"/>
          </w:tcPr>
          <w:p>
            <w:pPr>
              <w:jc w:val="center"/>
              <w:ind w:left="712"/>
              <w:spacing w:after="0"/>
              <w:rPr>
                <w:sz w:val="20"/>
                <w:szCs w:val="20"/>
                <w:color w:val="auto"/>
              </w:rPr>
            </w:pPr>
            <w:r>
              <w:rPr>
                <w:rFonts w:ascii="Arial" w:cs="Arial" w:eastAsia="Arial" w:hAnsi="Arial"/>
                <w:sz w:val="18"/>
                <w:szCs w:val="18"/>
                <w:color w:val="auto"/>
                <w:w w:val="79"/>
              </w:rPr>
              <w:t>0</w:t>
            </w:r>
          </w:p>
        </w:tc>
        <w:tc>
          <w:tcPr>
            <w:tcW w:w="1600" w:type="dxa"/>
            <w:vAlign w:val="bottom"/>
            <w:gridSpan w:val="2"/>
          </w:tcPr>
          <w:p>
            <w:pPr>
              <w:jc w:val="center"/>
              <w:ind w:left="7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that all shares of common stock offered by the selling stockholders will be sold by the selling stockholders.</w:t>
      </w:r>
    </w:p>
    <w:p>
      <w:pPr>
        <w:spacing w:after="0" w:line="158" w:lineRule="exact"/>
        <w:rPr>
          <w:sz w:val="24"/>
          <w:szCs w:val="24"/>
          <w:color w:val="auto"/>
        </w:rPr>
      </w:pPr>
    </w:p>
    <w:p>
      <w:pPr>
        <w:ind w:right="780"/>
        <w:spacing w:after="0" w:line="268" w:lineRule="auto"/>
        <w:rPr>
          <w:sz w:val="20"/>
          <w:szCs w:val="20"/>
          <w:color w:val="auto"/>
        </w:rPr>
      </w:pPr>
      <w:r>
        <w:rPr>
          <w:rFonts w:ascii="Arial" w:cs="Arial" w:eastAsia="Arial" w:hAnsi="Arial"/>
          <w:sz w:val="18"/>
          <w:szCs w:val="18"/>
          <w:color w:val="auto"/>
        </w:rPr>
        <w:t>This prospectus supplement is not complete without the prospectus dated September 11, 2002, and we have not authorized anyone to deliver or use this prospectus supplement without the prospectus.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24, 2004.</w:t>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2019-12-20T17:06:45Z</dcterms:created>
  <dcterms:modified xsi:type="dcterms:W3CDTF">2019-12-20T17:06:45Z</dcterms:modified>
</cp:coreProperties>
</file>