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rPr>
              <w:t>CUSIP NO. 25057L102</w:t>
            </w:r>
          </w:p>
        </w:tc>
        <w:tc>
          <w:tcPr>
            <w:tcW w:w="800" w:type="dxa"/>
            <w:vAlign w:val="bottom"/>
          </w:tcPr>
          <w:p>
            <w:pPr>
              <w:ind w:left="480"/>
              <w:spacing w:after="0"/>
              <w:rPr>
                <w:sz w:val="20"/>
                <w:szCs w:val="20"/>
                <w:color w:val="auto"/>
              </w:rPr>
            </w:pPr>
            <w:r>
              <w:rPr>
                <w:rFonts w:ascii="Courier New" w:cs="Courier New" w:eastAsia="Courier New" w:hAnsi="Courier New"/>
                <w:sz w:val="18"/>
                <w:szCs w:val="18"/>
                <w:color w:val="auto"/>
                <w:w w:val="92"/>
              </w:rPr>
              <w:t>13G</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8"/>
          <w:szCs w:val="18"/>
          <w:color w:val="auto"/>
        </w:rPr>
        <w:t>UNITED STATES</w:t>
      </w:r>
    </w:p>
    <w:p>
      <w:pPr>
        <w:jc w:val="center"/>
        <w:ind w:right="32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159"/>
        <w:spacing w:after="0" w:line="238" w:lineRule="auto"/>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Designs, Inc.</w:t>
      </w:r>
    </w:p>
    <w:p>
      <w:pPr>
        <w:ind w:left="264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Common Stock, par value $.01</w:t>
      </w:r>
    </w:p>
    <w:p>
      <w:pPr>
        <w:jc w:val="center"/>
        <w:ind w:right="325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25057L102</w:t>
      </w:r>
    </w:p>
    <w:p>
      <w:pPr>
        <w:ind w:left="274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Franklin Resources, Inc.</w:t>
      </w:r>
    </w:p>
    <w:p>
      <w:pPr>
        <w:spacing w:after="0" w:line="200" w:lineRule="exact"/>
        <w:rPr>
          <w:sz w:val="24"/>
          <w:szCs w:val="24"/>
          <w:color w:val="auto"/>
        </w:rPr>
      </w:pPr>
    </w:p>
    <w:p>
      <w:pPr>
        <w:spacing w:after="0" w:line="204"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4"/>
          <w:szCs w:val="24"/>
          <w:color w:val="auto"/>
        </w:rPr>
      </w:pPr>
    </w:p>
    <w:p>
      <w:pPr>
        <w:spacing w:after="0" w:line="226" w:lineRule="exact"/>
        <w:rPr>
          <w:sz w:val="24"/>
          <w:szCs w:val="24"/>
          <w:color w:val="auto"/>
        </w:rPr>
      </w:pPr>
    </w:p>
    <w:p>
      <w:pPr>
        <w:ind w:left="1280" w:right="7159" w:hanging="640"/>
        <w:spacing w:after="0" w:line="536" w:lineRule="auto"/>
        <w:tabs>
          <w:tab w:leader="none" w:pos="12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860" w:right="3259" w:hanging="852"/>
        <w:spacing w:after="0" w:line="470" w:lineRule="auto"/>
        <w:tabs>
          <w:tab w:leader="none" w:pos="64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1,835,000</w:t>
      </w:r>
    </w:p>
    <w:p>
      <w:pPr>
        <w:spacing w:after="0" w:line="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ectPr>
          <w:pgSz w:w="11900" w:h="16855" w:orient="portrait"/>
          <w:cols w:equalWidth="0" w:num="1">
            <w:col w:w="10219"/>
          </w:cols>
          <w:pgMar w:left="240" w:top="244" w:right="1440" w:bottom="0" w:gutter="0" w:footer="0" w:header="0"/>
        </w:sectPr>
      </w:pPr>
    </w:p>
    <w:bookmarkStart w:id="1" w:name="page2"/>
    <w:bookmarkEnd w:id="1"/>
    <w:p>
      <w:pPr>
        <w:ind w:left="640"/>
        <w:spacing w:after="0"/>
        <w:rPr>
          <w:sz w:val="20"/>
          <w:szCs w:val="20"/>
          <w:color w:val="auto"/>
        </w:rPr>
      </w:pPr>
      <w:r>
        <w:rPr>
          <w:rFonts w:ascii="Courier New" w:cs="Courier New" w:eastAsia="Courier New" w:hAnsi="Courier New"/>
          <w:sz w:val="18"/>
          <w:szCs w:val="18"/>
          <w:color w:val="auto"/>
        </w:rPr>
        <w:t>CERTAIN SHARES [ ]</w:t>
      </w:r>
    </w:p>
    <w:p>
      <w:pPr>
        <w:spacing w:after="0" w:line="200" w:lineRule="exact"/>
        <w:rPr>
          <w:sz w:val="20"/>
          <w:szCs w:val="20"/>
          <w:color w:val="auto"/>
        </w:rPr>
      </w:pPr>
    </w:p>
    <w:p>
      <w:pPr>
        <w:spacing w:after="0" w:line="209" w:lineRule="exact"/>
        <w:rPr>
          <w:sz w:val="20"/>
          <w:szCs w:val="20"/>
          <w:color w:val="auto"/>
        </w:rPr>
      </w:pPr>
    </w:p>
    <w:p>
      <w:pPr>
        <w:ind w:left="640" w:right="4619" w:hanging="632"/>
        <w:spacing w:after="0" w:line="470"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11.6%</w:t>
      </w:r>
    </w:p>
    <w:p>
      <w:pPr>
        <w:spacing w:after="0" w:line="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Charles B. Johnson</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26" w:lineRule="exact"/>
        <w:rPr>
          <w:sz w:val="20"/>
          <w:szCs w:val="20"/>
          <w:color w:val="auto"/>
        </w:rPr>
      </w:pPr>
    </w:p>
    <w:p>
      <w:pPr>
        <w:ind w:left="1280" w:right="7159" w:hanging="640"/>
        <w:spacing w:after="0" w:line="536" w:lineRule="auto"/>
        <w:tabs>
          <w:tab w:leader="none" w:pos="128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860" w:right="3259" w:hanging="852"/>
        <w:spacing w:after="0" w:line="470" w:lineRule="auto"/>
        <w:tabs>
          <w:tab w:leader="none" w:pos="64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1,835,000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640" w:right="4619" w:hanging="632"/>
        <w:spacing w:after="0" w:line="470"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11.6%</w:t>
      </w:r>
    </w:p>
    <w:p>
      <w:pPr>
        <w:spacing w:after="0" w:line="11" w:lineRule="exact"/>
        <w:rPr>
          <w:rFonts w:ascii="Courier New" w:cs="Courier New" w:eastAsia="Courier New" w:hAnsi="Courier New"/>
          <w:sz w:val="18"/>
          <w:szCs w:val="18"/>
          <w:color w:val="auto"/>
        </w:rPr>
      </w:pPr>
    </w:p>
    <w:p>
      <w:pPr>
        <w:ind w:left="640" w:right="7059" w:hanging="632"/>
        <w:spacing w:after="0" w:line="470"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09" w:lineRule="exact"/>
        <w:rPr>
          <w:sz w:val="20"/>
          <w:szCs w:val="20"/>
          <w:color w:val="auto"/>
        </w:rPr>
      </w:pPr>
    </w:p>
    <w:p>
      <w:pPr>
        <w:ind w:left="640" w:hanging="632"/>
        <w:spacing w:after="0"/>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0"/>
          <w:szCs w:val="20"/>
          <w:color w:val="auto"/>
        </w:rPr>
      </w:pPr>
    </w:p>
    <w:p>
      <w:pPr>
        <w:ind w:left="1280" w:right="7159" w:hanging="640"/>
        <w:spacing w:after="0" w:line="536" w:lineRule="auto"/>
        <w:tabs>
          <w:tab w:leader="none" w:pos="128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860" w:right="3259" w:hanging="852"/>
        <w:spacing w:after="0" w:line="470" w:lineRule="auto"/>
        <w:tabs>
          <w:tab w:leader="none" w:pos="64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1,835,000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640" w:right="4619" w:hanging="632"/>
        <w:spacing w:after="0" w:line="470"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11.6%</w:t>
      </w:r>
    </w:p>
    <w:p>
      <w:pPr>
        <w:spacing w:after="0" w:line="11" w:lineRule="exact"/>
        <w:rPr>
          <w:rFonts w:ascii="Courier New" w:cs="Courier New" w:eastAsia="Courier New" w:hAnsi="Courier New"/>
          <w:sz w:val="18"/>
          <w:szCs w:val="18"/>
          <w:color w:val="auto"/>
        </w:rPr>
      </w:pPr>
    </w:p>
    <w:p>
      <w:pPr>
        <w:ind w:left="640" w:right="7059" w:hanging="632"/>
        <w:spacing w:after="0" w:line="470"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09" w:lineRule="exact"/>
        <w:rPr>
          <w:sz w:val="20"/>
          <w:szCs w:val="20"/>
          <w:color w:val="auto"/>
        </w:rPr>
      </w:pPr>
    </w:p>
    <w:p>
      <w:pPr>
        <w:ind w:left="640" w:hanging="632"/>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Franklin Advisory Services, LLC</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21" w:lineRule="exact"/>
        <w:rPr>
          <w:sz w:val="20"/>
          <w:szCs w:val="20"/>
          <w:color w:val="auto"/>
        </w:rPr>
      </w:pPr>
    </w:p>
    <w:p>
      <w:pPr>
        <w:ind w:left="1280" w:hanging="640"/>
        <w:spacing w:after="0"/>
        <w:tabs>
          <w:tab w:leader="none" w:pos="128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1,835,000 (See Item 4)</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jc w:val="both"/>
        <w:ind w:left="1280" w:right="6639" w:hanging="640"/>
        <w:spacing w:after="0" w:line="536" w:lineRule="auto"/>
        <w:tabs>
          <w:tab w:leader="none" w:pos="128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1,835,000 (See Item 4)</w:t>
      </w:r>
    </w:p>
    <w:p>
      <w:pPr>
        <w:ind w:left="1280" w:hanging="640"/>
        <w:spacing w:after="0"/>
        <w:tabs>
          <w:tab w:leader="none" w:pos="128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860" w:right="3259" w:hanging="852"/>
        <w:spacing w:after="0" w:line="470" w:lineRule="auto"/>
        <w:tabs>
          <w:tab w:leader="none" w:pos="64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1,835,000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640" w:right="4619" w:hanging="632"/>
        <w:spacing w:after="0" w:line="470"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11.6%</w:t>
      </w:r>
    </w:p>
    <w:p>
      <w:pPr>
        <w:sectPr>
          <w:pgSz w:w="11900" w:h="16838" w:orient="portrait"/>
          <w:cols w:equalWidth="0" w:num="1">
            <w:col w:w="10219"/>
          </w:cols>
          <w:pgMar w:left="240" w:top="142" w:right="1440" w:bottom="0" w:gutter="0" w:footer="0" w:header="0"/>
        </w:sectPr>
      </w:pPr>
    </w:p>
    <w:bookmarkStart w:id="3" w:name="page4"/>
    <w:bookmarkEnd w:id="3"/>
    <w:p>
      <w:pPr>
        <w:ind w:left="640" w:hanging="632"/>
        <w:spacing w:after="0"/>
        <w:tabs>
          <w:tab w:leader="none" w:pos="6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Item 1.</w:t>
      </w:r>
    </w:p>
    <w:p>
      <w:pPr>
        <w:spacing w:after="0" w:line="5" w:lineRule="exact"/>
        <w:rPr>
          <w:sz w:val="20"/>
          <w:szCs w:val="20"/>
          <w:color w:val="auto"/>
        </w:rPr>
      </w:pPr>
    </w:p>
    <w:p>
      <w:pPr>
        <w:ind w:left="540" w:right="8099" w:hanging="532"/>
        <w:spacing w:after="0" w:line="536" w:lineRule="auto"/>
        <w:tabs>
          <w:tab w:leader="none" w:pos="5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Designs, Inc.</w:t>
      </w: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540" w:right="7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66 B Street Needham, MA 02494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540" w:hanging="532"/>
        <w:spacing w:after="0" w:line="238"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Franklin Resources, Inc.</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  Charles B. Johnson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(iii): Rupert H. Johnson, Jr.</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  Franklin Advisory Services, LLC</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(ii), and (iii):</w:t>
      </w:r>
    </w:p>
    <w:p>
      <w:pPr>
        <w:spacing w:after="0" w:line="4" w:lineRule="exact"/>
        <w:rPr>
          <w:rFonts w:ascii="Courier New" w:cs="Courier New" w:eastAsia="Courier New" w:hAnsi="Courier New"/>
          <w:sz w:val="18"/>
          <w:szCs w:val="18"/>
          <w:color w:val="auto"/>
        </w:rPr>
      </w:pPr>
    </w:p>
    <w:p>
      <w:pPr>
        <w:ind w:left="540" w:right="66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777 Mariners Island Boulevard San Mateo, CA 94404</w:t>
      </w:r>
    </w:p>
    <w:p>
      <w:pPr>
        <w:spacing w:after="0" w:line="16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spacing w:after="0" w:line="4" w:lineRule="exact"/>
        <w:rPr>
          <w:rFonts w:ascii="Courier New" w:cs="Courier New" w:eastAsia="Courier New" w:hAnsi="Courier New"/>
          <w:sz w:val="18"/>
          <w:szCs w:val="18"/>
          <w:color w:val="auto"/>
        </w:rPr>
      </w:pPr>
    </w:p>
    <w:p>
      <w:pPr>
        <w:ind w:left="540" w:right="6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One Parker Plaza, Sixteenth Floor Fort Lee, NJ 07024</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 or Citizenship: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 Delaware</w:t>
      </w:r>
    </w:p>
    <w:p>
      <w:pPr>
        <w:ind w:left="1060" w:hanging="525"/>
        <w:spacing w:after="0" w:line="238" w:lineRule="auto"/>
        <w:tabs>
          <w:tab w:leader="none" w:pos="106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 Delaware</w:t>
      </w:r>
    </w:p>
    <w:p>
      <w:pPr>
        <w:spacing w:after="0" w:line="207" w:lineRule="exact"/>
        <w:rPr>
          <w:rFonts w:ascii="Courier New" w:cs="Courier New" w:eastAsia="Courier New" w:hAnsi="Courier New"/>
          <w:sz w:val="18"/>
          <w:szCs w:val="18"/>
          <w:color w:val="auto"/>
        </w:rPr>
      </w:pPr>
    </w:p>
    <w:p>
      <w:pPr>
        <w:ind w:left="540" w:right="6639" w:hanging="532"/>
        <w:spacing w:after="0" w:line="536" w:lineRule="auto"/>
        <w:tabs>
          <w:tab w:leader="none" w:pos="5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Stock, par value $.01</w:t>
      </w:r>
    </w:p>
    <w:p>
      <w:pPr>
        <w:ind w:left="540" w:right="8319" w:hanging="532"/>
        <w:spacing w:after="0" w:line="558" w:lineRule="auto"/>
        <w:tabs>
          <w:tab w:leader="none" w:pos="5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25057L102</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this Schedule 13G are:</w:t>
      </w:r>
    </w:p>
    <w:p>
      <w:pPr>
        <w:spacing w:after="0" w:line="201" w:lineRule="exact"/>
        <w:rPr>
          <w:sz w:val="20"/>
          <w:szCs w:val="20"/>
          <w:color w:val="auto"/>
        </w:rPr>
      </w:pPr>
    </w:p>
    <w:p>
      <w:pPr>
        <w:ind w:left="1480" w:hanging="524"/>
        <w:spacing w:after="0"/>
        <w:tabs>
          <w:tab w:leader="none" w:pos="14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Resources, Inc.</w:t>
      </w:r>
    </w:p>
    <w:p>
      <w:pPr>
        <w:ind w:left="2000" w:hanging="517"/>
        <w:spacing w:after="0" w:line="238" w:lineRule="auto"/>
        <w:tabs>
          <w:tab w:leader="none" w:pos="200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Holding Company</w:t>
      </w:r>
    </w:p>
    <w:p>
      <w:pPr>
        <w:ind w:left="1480" w:hanging="524"/>
        <w:spacing w:after="0" w:line="238" w:lineRule="auto"/>
        <w:tabs>
          <w:tab w:leader="none" w:pos="1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Charles B. Johnson</w:t>
      </w:r>
    </w:p>
    <w:p>
      <w:pPr>
        <w:spacing w:after="0" w:line="5" w:lineRule="exact"/>
        <w:rPr>
          <w:sz w:val="20"/>
          <w:szCs w:val="20"/>
          <w:color w:val="auto"/>
        </w:rPr>
      </w:pPr>
    </w:p>
    <w:p>
      <w:pPr>
        <w:ind w:left="960" w:right="3259" w:firstLine="523"/>
        <w:spacing w:after="0" w:line="235" w:lineRule="auto"/>
        <w:tabs>
          <w:tab w:leader="none" w:pos="201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Shareholder of Parent Holding Company (iii)Rupert H. Johnson, Jr.</w:t>
      </w:r>
    </w:p>
    <w:p>
      <w:pPr>
        <w:spacing w:after="0" w:line="6" w:lineRule="exact"/>
        <w:rPr>
          <w:sz w:val="20"/>
          <w:szCs w:val="20"/>
          <w:color w:val="auto"/>
        </w:rPr>
      </w:pPr>
    </w:p>
    <w:p>
      <w:pPr>
        <w:ind w:left="2000" w:hanging="517"/>
        <w:spacing w:after="0"/>
        <w:tabs>
          <w:tab w:leader="none" w:pos="200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 Shareholder of Parent Holding Company</w:t>
      </w:r>
    </w:p>
    <w:p>
      <w:pPr>
        <w:spacing w:after="0" w:line="16" w:lineRule="exact"/>
        <w:rPr>
          <w:rFonts w:ascii="Courier New" w:cs="Courier New" w:eastAsia="Courier New" w:hAnsi="Courier New"/>
          <w:sz w:val="16"/>
          <w:szCs w:val="16"/>
          <w:color w:val="auto"/>
        </w:rPr>
      </w:pPr>
    </w:p>
    <w:p>
      <w:pPr>
        <w:ind w:left="1480" w:hanging="524"/>
        <w:spacing w:after="0" w:line="238" w:lineRule="auto"/>
        <w:tabs>
          <w:tab w:leader="none" w:pos="14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Advisory Services, LLC</w:t>
      </w:r>
    </w:p>
    <w:p>
      <w:pPr>
        <w:ind w:left="2000" w:hanging="517"/>
        <w:spacing w:after="0" w:line="238" w:lineRule="auto"/>
        <w:tabs>
          <w:tab w:leader="none" w:pos="200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The securities reported on herein are beneficially owned by one or more open or closed-end investment companies or other managed accounts which are advised by direct and indirect investment advisory subsidiaries (the "Adviser Subsidiaries") of Franklin Resources, Inc. ("FRI"). Such advisory contracts grant to such Adviser Subsidiaries all investment and/or voting power over the securities owned by such advisory clients. Therefore, such Adviser Subsidiaries may be deemed to be, for purposes of Rule 13d-3 under the Securities Exchange Act of 1934, the beneficial owner of the securities covered by this statement.</w:t>
      </w:r>
    </w:p>
    <w:p>
      <w:pPr>
        <w:spacing w:after="0" w:line="215" w:lineRule="exact"/>
        <w:rPr>
          <w:sz w:val="20"/>
          <w:szCs w:val="20"/>
          <w:color w:val="auto"/>
        </w:rPr>
      </w:pPr>
    </w:p>
    <w:p>
      <w:pPr>
        <w:ind w:right="3259"/>
        <w:spacing w:after="0" w:line="271" w:lineRule="auto"/>
        <w:rPr>
          <w:sz w:val="20"/>
          <w:szCs w:val="20"/>
          <w:color w:val="auto"/>
        </w:rPr>
      </w:pPr>
      <w:r>
        <w:rPr>
          <w:rFonts w:ascii="Courier New" w:cs="Courier New" w:eastAsia="Courier New" w:hAnsi="Courier New"/>
          <w:sz w:val="16"/>
          <w:szCs w:val="16"/>
          <w:color w:val="auto"/>
        </w:rPr>
        <w:t>Beneficial ownership by investment advisory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 other. The voting and investment powers held by Franklin Mutual Advisers, LLC ("FMA"), formerly Franklin Mutual Advisers, Inc., an indirect</w:t>
      </w:r>
    </w:p>
    <w:p>
      <w:pPr>
        <w:sectPr>
          <w:pgSz w:w="11900" w:h="16838" w:orient="portrait"/>
          <w:cols w:equalWidth="0" w:num="1">
            <w:col w:w="10219"/>
          </w:cols>
          <w:pgMar w:left="240" w:top="136" w:right="1440" w:bottom="0" w:gutter="0" w:footer="0" w:header="0"/>
        </w:sectPr>
      </w:pPr>
    </w:p>
    <w:bookmarkStart w:id="4" w:name="page5"/>
    <w:bookmarkEnd w:id="4"/>
    <w:p>
      <w:pPr>
        <w:ind w:right="3159"/>
        <w:spacing w:after="0" w:line="237" w:lineRule="auto"/>
        <w:rPr>
          <w:sz w:val="20"/>
          <w:szCs w:val="20"/>
          <w:color w:val="auto"/>
        </w:rPr>
      </w:pPr>
      <w:r>
        <w:rPr>
          <w:rFonts w:ascii="Courier New" w:cs="Courier New" w:eastAsia="Courier New" w:hAnsi="Courier New"/>
          <w:sz w:val="18"/>
          <w:szCs w:val="18"/>
          <w:color w:val="auto"/>
        </w:rPr>
        <w:t>wholly owned investment advisory subsidiary of FRI, are exercised independently from FRI and from all other investment advisor subsidiaries of FRI (FRI, its affiliates and investment advisor subsidiaries other than FMA are collectively referred to herein as "FRI affiliates"). Furthermore, FMA and FRI internal policies and procedures establish informational barriers that prevent the flow between FMA and the FRI affiliates of information that relates to the voting and investment powers over the securities owned by their respective advisory clients. Consequently, FMA and the FRI affiliates are each reporting the securities over which they hold investment and voting power separately from each other.</w:t>
      </w:r>
    </w:p>
    <w:p>
      <w:pPr>
        <w:spacing w:after="0" w:line="216"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shareholders of FRI. FRI and the Principal Shareholders may be deemed to be, for purposes of Rule 13d-3 under the 1934 Act, the beneficial owner of securities held by persons and entities advised by FRI subsidiaries. FRI, the Principal Shareholders and each of the Adviser Subsidiaries disclaim any economic interest or beneficial ownership in any of the securities covered by this statement.</w:t>
      </w:r>
    </w:p>
    <w:p>
      <w:pPr>
        <w:spacing w:after="0" w:line="21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FRI, the Principal Shareholders, and each of the Adviser Subsidiaries are of the view that they are not acting as a "group" for purposes of Section 13(d) under the 1934 Act and that they are not otherwise required to attribute to each other the "beneficial ownership" of securities held by any of them or by any persons or entities advised by FRI subsidiaries.</w:t>
      </w:r>
    </w:p>
    <w:p>
      <w:pPr>
        <w:spacing w:after="0" w:line="210" w:lineRule="exact"/>
        <w:rPr>
          <w:sz w:val="20"/>
          <w:szCs w:val="20"/>
          <w:color w:val="auto"/>
        </w:rPr>
      </w:pPr>
    </w:p>
    <w:p>
      <w:pPr>
        <w:ind w:left="960" w:right="6739" w:hanging="636"/>
        <w:spacing w:after="0" w:line="470" w:lineRule="auto"/>
        <w:tabs>
          <w:tab w:leader="none" w:pos="749"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1,835,000</w:t>
      </w:r>
    </w:p>
    <w:p>
      <w:pPr>
        <w:spacing w:after="0" w:line="6"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11.6%</w:t>
      </w:r>
    </w:p>
    <w:p>
      <w:pPr>
        <w:spacing w:after="0" w:line="201"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384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1420" w:type="dxa"/>
            <w:vAlign w:val="bottom"/>
          </w:tcPr>
          <w:p>
            <w:pPr>
              <w:ind w:left="480"/>
              <w:spacing w:after="0"/>
              <w:rPr>
                <w:sz w:val="20"/>
                <w:szCs w:val="20"/>
                <w:color w:val="auto"/>
              </w:rPr>
            </w:pPr>
            <w:r>
              <w:rPr>
                <w:rFonts w:ascii="Courier New" w:cs="Courier New" w:eastAsia="Courier New" w:hAnsi="Courier New"/>
                <w:sz w:val="18"/>
                <w:szCs w:val="18"/>
                <w:color w:val="auto"/>
              </w:rPr>
              <w:t>0</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Charles B. Johnson:</w:t>
            </w:r>
          </w:p>
        </w:tc>
        <w:tc>
          <w:tcPr>
            <w:tcW w:w="14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Rupert H. Johnson, Jr.:</w:t>
            </w:r>
          </w:p>
        </w:tc>
        <w:tc>
          <w:tcPr>
            <w:tcW w:w="14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 Advisory Services, LLC:</w:t>
            </w:r>
          </w:p>
        </w:tc>
        <w:tc>
          <w:tcPr>
            <w:tcW w:w="14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4"/>
              </w:rPr>
              <w:t>1,835,000</w:t>
            </w:r>
          </w:p>
        </w:tc>
      </w:tr>
    </w:tbl>
    <w:p>
      <w:pPr>
        <w:spacing w:after="0" w:line="201" w:lineRule="exact"/>
        <w:rPr>
          <w:sz w:val="20"/>
          <w:szCs w:val="20"/>
          <w:color w:val="auto"/>
        </w:rPr>
      </w:pPr>
    </w:p>
    <w:p>
      <w:pPr>
        <w:ind w:left="960" w:hanging="531"/>
        <w:spacing w:after="0"/>
        <w:tabs>
          <w:tab w:leader="none" w:pos="9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636"/>
        <w:spacing w:after="0"/>
        <w:tabs>
          <w:tab w:leader="none" w:pos="9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37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Franklin Resources, Inc.:</w:t>
            </w:r>
          </w:p>
        </w:tc>
        <w:tc>
          <w:tcPr>
            <w:tcW w:w="2320" w:type="dxa"/>
            <w:vAlign w:val="bottom"/>
          </w:tcPr>
          <w:p>
            <w:pPr>
              <w:ind w:left="640"/>
              <w:spacing w:after="0"/>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rPr>
                <w:sz w:val="17"/>
                <w:szCs w:val="17"/>
                <w:color w:val="auto"/>
              </w:rPr>
            </w:pP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Charles B. Johnson:</w:t>
            </w:r>
          </w:p>
        </w:tc>
        <w:tc>
          <w:tcPr>
            <w:tcW w:w="1680" w:type="dxa"/>
            <w:vAlign w:val="bottom"/>
          </w:tcPr>
          <w:p>
            <w:pPr>
              <w:spacing w:after="0"/>
              <w:rPr>
                <w:sz w:val="17"/>
                <w:szCs w:val="17"/>
                <w:color w:val="auto"/>
              </w:rPr>
            </w:pPr>
          </w:p>
        </w:tc>
        <w:tc>
          <w:tcPr>
            <w:tcW w:w="2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rPr>
                <w:sz w:val="17"/>
                <w:szCs w:val="17"/>
                <w:color w:val="auto"/>
              </w:rPr>
            </w:pP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Rupert H. Johnson,</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Jr.:</w:t>
            </w:r>
          </w:p>
        </w:tc>
        <w:tc>
          <w:tcPr>
            <w:tcW w:w="2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rPr>
                <w:sz w:val="17"/>
                <w:szCs w:val="17"/>
                <w:color w:val="auto"/>
              </w:rPr>
            </w:pPr>
          </w:p>
        </w:tc>
        <w:tc>
          <w:tcPr>
            <w:tcW w:w="37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Franklin Advisory Services, LLC:</w:t>
            </w:r>
          </w:p>
        </w:tc>
        <w:tc>
          <w:tcPr>
            <w:tcW w:w="2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1,835,000</w:t>
            </w:r>
          </w:p>
        </w:tc>
      </w:tr>
      <w:tr>
        <w:trPr>
          <w:trHeight w:val="405"/>
        </w:trPr>
        <w:tc>
          <w:tcPr>
            <w:tcW w:w="900" w:type="dxa"/>
            <w:vAlign w:val="bottom"/>
          </w:tcPr>
          <w:p>
            <w:pPr>
              <w:ind w:left="420"/>
              <w:spacing w:after="0"/>
              <w:rPr>
                <w:sz w:val="20"/>
                <w:szCs w:val="20"/>
                <w:color w:val="auto"/>
              </w:rPr>
            </w:pPr>
            <w:r>
              <w:rPr>
                <w:rFonts w:ascii="Courier New" w:cs="Courier New" w:eastAsia="Courier New" w:hAnsi="Courier New"/>
                <w:sz w:val="18"/>
                <w:szCs w:val="18"/>
                <w:color w:val="auto"/>
              </w:rPr>
              <w:t>(iv)</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Shared power</w:t>
            </w:r>
          </w:p>
        </w:tc>
        <w:tc>
          <w:tcPr>
            <w:tcW w:w="468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to dispose or to direct the disposition of</w:t>
            </w:r>
          </w:p>
        </w:tc>
      </w:tr>
      <w:tr>
        <w:trPr>
          <w:trHeight w:val="608"/>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Ownership of</w:t>
            </w:r>
          </w:p>
        </w:tc>
        <w:tc>
          <w:tcPr>
            <w:tcW w:w="468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Five Percent or Less of a Class</w:t>
            </w:r>
          </w:p>
        </w:tc>
      </w:tr>
      <w:tr>
        <w:trPr>
          <w:trHeight w:val="203"/>
        </w:trPr>
        <w:tc>
          <w:tcPr>
            <w:tcW w:w="296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rPr>
              <w:t>If this statement is</w:t>
            </w:r>
          </w:p>
        </w:tc>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being filed to report the fact that as</w:t>
            </w:r>
          </w:p>
        </w:tc>
      </w:tr>
      <w:tr>
        <w:trPr>
          <w:trHeight w:val="203"/>
        </w:trPr>
        <w:tc>
          <w:tcPr>
            <w:tcW w:w="6960" w:type="dxa"/>
            <w:vAlign w:val="bottom"/>
            <w:gridSpan w:val="5"/>
          </w:tcPr>
          <w:p>
            <w:pPr>
              <w:ind w:left="740"/>
              <w:spacing w:after="0" w:line="203" w:lineRule="exact"/>
              <w:rPr>
                <w:sz w:val="20"/>
                <w:szCs w:val="20"/>
                <w:color w:val="auto"/>
              </w:rPr>
            </w:pPr>
            <w:r>
              <w:rPr>
                <w:rFonts w:ascii="Courier New" w:cs="Courier New" w:eastAsia="Courier New" w:hAnsi="Courier New"/>
                <w:sz w:val="18"/>
                <w:szCs w:val="18"/>
                <w:color w:val="auto"/>
              </w:rPr>
              <w:t>of the date hereof the reporting person has ceased to be</w:t>
            </w:r>
          </w:p>
        </w:tc>
      </w:tr>
      <w:tr>
        <w:trPr>
          <w:trHeight w:val="203"/>
        </w:trPr>
        <w:tc>
          <w:tcPr>
            <w:tcW w:w="22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the beneficial</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owner</w:t>
            </w:r>
          </w:p>
        </w:tc>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of more than five percent of the class</w:t>
            </w:r>
          </w:p>
        </w:tc>
      </w:tr>
      <w:tr>
        <w:trPr>
          <w:trHeight w:val="203"/>
        </w:trPr>
        <w:tc>
          <w:tcPr>
            <w:tcW w:w="22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of securities,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check</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the following [</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740" w:right="3259"/>
        <w:spacing w:after="0" w:line="237" w:lineRule="auto"/>
        <w:rPr>
          <w:sz w:val="20"/>
          <w:szCs w:val="20"/>
          <w:color w:val="auto"/>
        </w:rPr>
      </w:pPr>
      <w:r>
        <w:rPr>
          <w:rFonts w:ascii="Courier New" w:cs="Courier New" w:eastAsia="Courier New" w:hAnsi="Courier New"/>
          <w:sz w:val="18"/>
          <w:szCs w:val="18"/>
          <w:color w:val="auto"/>
        </w:rPr>
        <w:t>The clients of the Adviser Subsidiaries, including investment companies registered under the Investment Company Act of 1940 and other managed accounts, have the right to receive dividends from as well as the proceeds from the sale of such securities reported on in this statement. Franklin Balance Sheet Investment Fund, a series of Franklin Value Investors Trust, a company registered under the Investment Company Act of 1940, has an interest in more than 5% of the class of securities reported on herein.</w:t>
      </w:r>
    </w:p>
    <w:p>
      <w:pPr>
        <w:sectPr>
          <w:pgSz w:w="11900" w:h="16838" w:orient="portrait"/>
          <w:cols w:equalWidth="0" w:num="1">
            <w:col w:w="10219"/>
          </w:cols>
          <w:pgMar w:left="240" w:top="142" w:right="1440" w:bottom="0" w:gutter="0" w:footer="0" w:header="0"/>
        </w:sectPr>
      </w:pPr>
    </w:p>
    <w:bookmarkStart w:id="5" w:name="page6"/>
    <w:bookmarkEnd w:id="5"/>
    <w:p>
      <w:pPr>
        <w:ind w:left="740" w:right="325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3780" w:type="dxa"/>
            <w:vAlign w:val="bottom"/>
          </w:tcPr>
          <w:p>
            <w:pPr>
              <w:spacing w:after="0"/>
              <w:rPr>
                <w:sz w:val="20"/>
                <w:szCs w:val="20"/>
                <w:color w:val="auto"/>
              </w:rPr>
            </w:pPr>
            <w:r>
              <w:rPr>
                <w:rFonts w:ascii="Courier New" w:cs="Courier New" w:eastAsia="Courier New" w:hAnsi="Courier New"/>
                <w:sz w:val="18"/>
                <w:szCs w:val="18"/>
                <w:color w:val="auto"/>
              </w:rPr>
              <w:t>Franklin Advisory Services, LLC</w:t>
            </w:r>
          </w:p>
        </w:tc>
        <w:tc>
          <w:tcPr>
            <w:tcW w:w="960" w:type="dxa"/>
            <w:vAlign w:val="bottom"/>
          </w:tcPr>
          <w:p>
            <w:pPr>
              <w:ind w:left="540"/>
              <w:spacing w:after="0"/>
              <w:rPr>
                <w:sz w:val="20"/>
                <w:szCs w:val="20"/>
                <w:color w:val="auto"/>
              </w:rPr>
            </w:pPr>
            <w:r>
              <w:rPr>
                <w:rFonts w:ascii="Courier New" w:cs="Courier New" w:eastAsia="Courier New" w:hAnsi="Courier New"/>
                <w:sz w:val="18"/>
                <w:szCs w:val="18"/>
                <w:color w:val="auto"/>
                <w:w w:val="92"/>
              </w:rPr>
              <w:t>3(e)</w:t>
            </w:r>
          </w:p>
        </w:tc>
      </w:tr>
    </w:tbl>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By signing below, we certify that, to the best of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1"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pacing w:after="0" w:line="209"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our knowledge and belief, we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26, 2001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Leslie M. Kratter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and Secretary, Franklin Resources, Inc.</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Advisory Services, LLC</w:t>
      </w:r>
    </w:p>
    <w:p>
      <w:pPr>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Franklin/Templeton Distributors, Inc.</w:t>
      </w:r>
    </w:p>
    <w:p>
      <w:pPr>
        <w:spacing w:after="0" w:line="238" w:lineRule="auto"/>
        <w:rPr>
          <w:sz w:val="20"/>
          <w:szCs w:val="20"/>
          <w:color w:val="auto"/>
        </w:rPr>
      </w:pPr>
      <w:r>
        <w:rPr>
          <w:rFonts w:ascii="Courier New" w:cs="Courier New" w:eastAsia="Courier New" w:hAnsi="Courier New"/>
          <w:sz w:val="18"/>
          <w:szCs w:val="18"/>
          <w:color w:val="auto"/>
        </w:rPr>
        <w:t>Its: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38" w:lineRule="auto"/>
        <w:rPr>
          <w:sz w:val="20"/>
          <w:szCs w:val="20"/>
          <w:color w:val="auto"/>
        </w:rPr>
      </w:pPr>
      <w:r>
        <w:rPr>
          <w:rFonts w:ascii="Courier New" w:cs="Courier New" w:eastAsia="Courier New" w:hAnsi="Courier New"/>
          <w:sz w:val="18"/>
          <w:szCs w:val="18"/>
          <w:color w:val="auto"/>
        </w:rPr>
        <w:t>LESLIE M. KRATTER</w:t>
      </w:r>
    </w:p>
    <w:p>
      <w:pPr>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In accordance with Rule 13d-1 (f)(1) under the Securities Exchange Act of 1934, as amended, the undersigned hereby agrees to the joint filing with each other of the attached statement on Schedule 13G and to all amendments to such statement and that such statement and all amendments to such statement is made on behalf of each of them.</w:t>
      </w:r>
    </w:p>
    <w:p>
      <w:pPr>
        <w:sectPr>
          <w:pgSz w:w="11900" w:h="16838" w:orient="portrait"/>
          <w:cols w:equalWidth="0" w:num="1">
            <w:col w:w="10219"/>
          </w:cols>
          <w:pgMar w:left="240" w:top="142" w:right="1440" w:bottom="0" w:gutter="0" w:footer="0" w:header="0"/>
        </w:sectPr>
      </w:pPr>
    </w:p>
    <w:bookmarkStart w:id="6" w:name="page7"/>
    <w:bookmarkEnd w:id="6"/>
    <w:p>
      <w:pPr>
        <w:ind w:right="335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on</w:t>
      </w:r>
    </w:p>
    <w:p>
      <w:pPr>
        <w:spacing w:after="0"/>
        <w:rPr>
          <w:sz w:val="20"/>
          <w:szCs w:val="20"/>
          <w:color w:val="auto"/>
        </w:rPr>
      </w:pPr>
      <w:r>
        <w:rPr>
          <w:rFonts w:ascii="Courier New" w:cs="Courier New" w:eastAsia="Courier New" w:hAnsi="Courier New"/>
          <w:sz w:val="18"/>
          <w:szCs w:val="18"/>
          <w:color w:val="auto"/>
        </w:rPr>
        <w:t>January 26,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Leslie M. Kratter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and Secretary, Franklin Resources, Inc.</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Advisory Services, LLC</w:t>
      </w:r>
    </w:p>
    <w:p>
      <w:pPr>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Franklin/Templeton Distributors, Inc.</w:t>
      </w:r>
    </w:p>
    <w:p>
      <w:pPr>
        <w:spacing w:after="0" w:line="238" w:lineRule="auto"/>
        <w:rPr>
          <w:sz w:val="20"/>
          <w:szCs w:val="20"/>
          <w:color w:val="auto"/>
        </w:rPr>
      </w:pPr>
      <w:r>
        <w:rPr>
          <w:rFonts w:ascii="Courier New" w:cs="Courier New" w:eastAsia="Courier New" w:hAnsi="Courier New"/>
          <w:sz w:val="18"/>
          <w:szCs w:val="18"/>
          <w:color w:val="auto"/>
        </w:rPr>
        <w:t>Its: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38" w:lineRule="auto"/>
        <w:rPr>
          <w:sz w:val="20"/>
          <w:szCs w:val="20"/>
          <w:color w:val="auto"/>
        </w:rPr>
      </w:pPr>
      <w:r>
        <w:rPr>
          <w:rFonts w:ascii="Courier New" w:cs="Courier New" w:eastAsia="Courier New" w:hAnsi="Courier New"/>
          <w:sz w:val="18"/>
          <w:szCs w:val="18"/>
          <w:color w:val="auto"/>
        </w:rPr>
        <w:t>LESLIE M. KRATTER</w:t>
      </w:r>
    </w:p>
    <w:p>
      <w:pPr>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CHARLES B. JOHNSON hereby appoints LESLIE M. KRATTER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S\CHARLES B. JOHNSON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RUPERT H. JOHNSON, JR. hereby appoints LESLIE M. KRATTER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S\RUPERT H. JOHNSON, JR.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decimal"/>
      <w:start w:val="1"/>
    </w:lvl>
  </w:abstractNum>
  <w:abstractNum w:abstractNumId="1">
    <w:nsid w:val="257130A3"/>
    <w:multiLevelType w:val="hybridMultilevel"/>
    <w:lvl w:ilvl="0">
      <w:lvlJc w:val="left"/>
      <w:lvlText w:val="%1."/>
      <w:numFmt w:val="decimal"/>
      <w:start w:val="2"/>
    </w:lvl>
  </w:abstractNum>
  <w:abstractNum w:abstractNumId="2">
    <w:nsid w:val="62BBD95A"/>
    <w:multiLevelType w:val="hybridMultilevel"/>
    <w:lvl w:ilvl="0">
      <w:lvlJc w:val="left"/>
      <w:lvlText w:val="%1"/>
      <w:numFmt w:val="decimal"/>
      <w:start w:val="1"/>
    </w:lvl>
    <w:lvl w:ilvl="1">
      <w:lvlJc w:val="left"/>
      <w:lvlText w:val="(%2)"/>
      <w:numFmt w:val="lowerLetter"/>
      <w:start w:val="2"/>
    </w:lvl>
  </w:abstractNum>
  <w:abstractNum w:abstractNumId="3">
    <w:nsid w:val="436C6125"/>
    <w:multiLevelType w:val="hybridMultilevel"/>
    <w:lvl w:ilvl="0">
      <w:lvlJc w:val="left"/>
      <w:lvlText w:val="%1."/>
      <w:numFmt w:val="decimal"/>
      <w:start w:val="3"/>
    </w:lvl>
    <w:lvl w:ilvl="1">
      <w:lvlJc w:val="left"/>
      <w:lvlText w:val="%2"/>
      <w:numFmt w:val="lowerLetter"/>
      <w:start w:val="1"/>
    </w:lvl>
  </w:abstractNum>
  <w:abstractNum w:abstractNumId="4">
    <w:nsid w:val="628C895D"/>
    <w:multiLevelType w:val="hybridMultilevel"/>
    <w:lvl w:ilvl="0">
      <w:lvlJc w:val="left"/>
      <w:lvlText w:val="%1"/>
      <w:numFmt w:val="decimal"/>
      <w:start w:val="1"/>
    </w:lvl>
    <w:lvl w:ilvl="1">
      <w:lvlJc w:val="left"/>
      <w:lvlText w:val="%2."/>
      <w:numFmt w:val="decimal"/>
      <w:start w:val="5"/>
    </w:lvl>
  </w:abstractNum>
  <w:abstractNum w:abstractNumId="5">
    <w:nsid w:val="333AB105"/>
    <w:multiLevelType w:val="hybridMultilevel"/>
    <w:lvl w:ilvl="0">
      <w:lvlJc w:val="left"/>
      <w:lvlText w:val="%1."/>
      <w:numFmt w:val="decimal"/>
      <w:start w:val="9"/>
    </w:lvl>
    <w:lvl w:ilvl="1">
      <w:lvlJc w:val="left"/>
      <w:lvlText w:val="%2"/>
      <w:numFmt w:val="decimal"/>
      <w:start w:val="1"/>
    </w:lvl>
  </w:abstractNum>
  <w:abstractNum w:abstractNumId="6">
    <w:nsid w:val="721DA317"/>
    <w:multiLevelType w:val="hybridMultilevel"/>
    <w:lvl w:ilvl="0">
      <w:lvlJc w:val="left"/>
      <w:lvlText w:val="%1."/>
      <w:numFmt w:val="decimal"/>
      <w:start w:val="1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2"/>
    </w:lvl>
  </w:abstractNum>
  <w:abstractNum w:abstractNumId="9">
    <w:nsid w:val="6763845E"/>
    <w:multiLevelType w:val="hybridMultilevel"/>
    <w:lvl w:ilvl="0">
      <w:lvlJc w:val="left"/>
      <w:lvlText w:val="%1"/>
      <w:numFmt w:val="decimal"/>
      <w:start w:val="1"/>
    </w:lvl>
    <w:lvl w:ilvl="1">
      <w:lvlJc w:val="left"/>
      <w:lvlText w:val="(%2)"/>
      <w:numFmt w:val="lowerLetter"/>
      <w:start w:val="2"/>
    </w:lvl>
  </w:abstractNum>
  <w:abstractNum w:abstractNumId="10">
    <w:nsid w:val="75A2A8D4"/>
    <w:multiLevelType w:val="hybridMultilevel"/>
    <w:lvl w:ilvl="0">
      <w:lvlJc w:val="left"/>
      <w:lvlText w:val="%1."/>
      <w:numFmt w:val="decimal"/>
      <w:start w:val="3"/>
    </w:lvl>
    <w:lvl w:ilvl="1">
      <w:lvlJc w:val="left"/>
      <w:lvlText w:val="%2"/>
      <w:numFmt w:val="lowerLetter"/>
      <w:start w:val="1"/>
    </w:lvl>
  </w:abstractNum>
  <w:abstractNum w:abstractNumId="11">
    <w:nsid w:val="8EDBDAB"/>
    <w:multiLevelType w:val="hybridMultilevel"/>
    <w:lvl w:ilvl="0">
      <w:lvlJc w:val="left"/>
      <w:lvlText w:val="%1"/>
      <w:numFmt w:val="decimal"/>
      <w:start w:val="1"/>
    </w:lvl>
    <w:lvl w:ilvl="1">
      <w:lvlJc w:val="left"/>
      <w:lvlText w:val="%2."/>
      <w:numFmt w:val="decimal"/>
      <w:start w:val="5"/>
    </w:lvl>
  </w:abstractNum>
  <w:abstractNum w:abstractNumId="12">
    <w:nsid w:val="79838CB2"/>
    <w:multiLevelType w:val="hybridMultilevel"/>
    <w:lvl w:ilvl="0">
      <w:lvlJc w:val="left"/>
      <w:lvlText w:val="%1."/>
      <w:numFmt w:val="decimal"/>
      <w:start w:val="9"/>
    </w:lvl>
    <w:lvl w:ilvl="1">
      <w:lvlJc w:val="left"/>
      <w:lvlText w:val="%2"/>
      <w:numFmt w:val="decimal"/>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2"/>
    </w:lvl>
  </w:abstractNum>
  <w:abstractNum w:abstractNumId="15">
    <w:nsid w:val="189A769B"/>
    <w:multiLevelType w:val="hybridMultilevel"/>
    <w:lvl w:ilvl="0">
      <w:lvlJc w:val="left"/>
      <w:lvlText w:val="%1"/>
      <w:numFmt w:val="decimal"/>
      <w:start w:val="1"/>
    </w:lvl>
    <w:lvl w:ilvl="1">
      <w:lvlJc w:val="left"/>
      <w:lvlText w:val="(%2)"/>
      <w:numFmt w:val="lowerLetter"/>
      <w:start w:val="2"/>
    </w:lvl>
  </w:abstractNum>
  <w:abstractNum w:abstractNumId="16">
    <w:nsid w:val="54E49EB4"/>
    <w:multiLevelType w:val="hybridMultilevel"/>
    <w:lvl w:ilvl="0">
      <w:lvlJc w:val="left"/>
      <w:lvlText w:val="%1."/>
      <w:numFmt w:val="decimal"/>
      <w:start w:val="3"/>
    </w:lvl>
    <w:lvl w:ilvl="1">
      <w:lvlJc w:val="left"/>
      <w:lvlText w:val="%2"/>
      <w:numFmt w:val="lowerLetter"/>
      <w:start w:val="1"/>
    </w:lvl>
  </w:abstractNum>
  <w:abstractNum w:abstractNumId="17">
    <w:nsid w:val="71F32454"/>
    <w:multiLevelType w:val="hybridMultilevel"/>
    <w:lvl w:ilvl="0">
      <w:lvlJc w:val="left"/>
      <w:lvlText w:val="%1"/>
      <w:numFmt w:val="decimal"/>
      <w:start w:val="1"/>
    </w:lvl>
    <w:lvl w:ilvl="1">
      <w:lvlJc w:val="left"/>
      <w:lvlText w:val="%2."/>
      <w:numFmt w:val="decimal"/>
      <w:start w:val="5"/>
    </w:lvl>
  </w:abstractNum>
  <w:abstractNum w:abstractNumId="18">
    <w:nsid w:val="2CA88611"/>
    <w:multiLevelType w:val="hybridMultilevel"/>
    <w:lvl w:ilvl="0">
      <w:lvlJc w:val="left"/>
      <w:lvlText w:val="%1."/>
      <w:numFmt w:val="decimal"/>
      <w:start w:val="9"/>
    </w:lvl>
    <w:lvl w:ilvl="1">
      <w:lvlJc w:val="left"/>
      <w:lvlText w:val="%2"/>
      <w:numFmt w:val="decimal"/>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2"/>
    </w:lvl>
  </w:abstractNum>
  <w:abstractNum w:abstractNumId="21">
    <w:nsid w:val="3A95F874"/>
    <w:multiLevelType w:val="hybridMultilevel"/>
    <w:lvl w:ilvl="0">
      <w:lvlJc w:val="left"/>
      <w:lvlText w:val="%1"/>
      <w:numFmt w:val="decimal"/>
      <w:start w:val="1"/>
    </w:lvl>
    <w:lvl w:ilvl="1">
      <w:lvlJc w:val="left"/>
      <w:lvlText w:val="(%2)"/>
      <w:numFmt w:val="lowerLetter"/>
      <w:start w:val="2"/>
    </w:lvl>
  </w:abstractNum>
  <w:abstractNum w:abstractNumId="22">
    <w:nsid w:val="8138641"/>
    <w:multiLevelType w:val="hybridMultilevel"/>
    <w:lvl w:ilvl="0">
      <w:lvlJc w:val="left"/>
      <w:lvlText w:val="%1."/>
      <w:numFmt w:val="decimal"/>
      <w:start w:val="3"/>
    </w:lvl>
    <w:lvl w:ilvl="1">
      <w:lvlJc w:val="left"/>
      <w:lvlText w:val="%2"/>
      <w:numFmt w:val="lowerLetter"/>
      <w:start w:val="1"/>
    </w:lvl>
  </w:abstractNum>
  <w:abstractNum w:abstractNumId="23">
    <w:nsid w:val="1E7FF521"/>
    <w:multiLevelType w:val="hybridMultilevel"/>
    <w:lvl w:ilvl="0">
      <w:lvlJc w:val="left"/>
      <w:lvlText w:val="%1"/>
      <w:numFmt w:val="decimal"/>
      <w:start w:val="1"/>
    </w:lvl>
    <w:lvl w:ilvl="1">
      <w:lvlJc w:val="left"/>
      <w:lvlText w:val="%2."/>
      <w:numFmt w:val="decimal"/>
      <w:start w:val="5"/>
    </w:lvl>
  </w:abstractNum>
  <w:abstractNum w:abstractNumId="24">
    <w:nsid w:val="7C3DBD3D"/>
    <w:multiLevelType w:val="hybridMultilevel"/>
    <w:lvl w:ilvl="0">
      <w:lvlJc w:val="left"/>
      <w:lvlText w:val="%1."/>
      <w:numFmt w:val="decimal"/>
      <w:start w:val="9"/>
    </w:lvl>
    <w:lvl w:ilvl="1">
      <w:lvlJc w:val="left"/>
      <w:lvlText w:val="%2"/>
      <w:numFmt w:val="decimal"/>
      <w:start w:val="1"/>
    </w:lvl>
  </w:abstractNum>
  <w:abstractNum w:abstractNumId="25">
    <w:nsid w:val="737B8DDC"/>
    <w:multiLevelType w:val="hybridMultilevel"/>
    <w:lvl w:ilvl="0">
      <w:lvlJc w:val="left"/>
      <w:lvlText w:val="%1."/>
      <w:numFmt w:val="decimal"/>
      <w:start w:val="12"/>
    </w:lvl>
  </w:abstractNum>
  <w:abstractNum w:abstractNumId="26">
    <w:nsid w:val="6CEAF087"/>
    <w:multiLevelType w:val="hybridMultilevel"/>
    <w:lvl w:ilvl="0">
      <w:lvlJc w:val="left"/>
      <w:lvlText w:val="(%1)"/>
      <w:numFmt w:val="lowerLetter"/>
      <w:start w:val="1"/>
    </w:lvl>
  </w:abstractNum>
  <w:abstractNum w:abstractNumId="27">
    <w:nsid w:val="22221A70"/>
    <w:multiLevelType w:val="hybridMultilevel"/>
    <w:lvl w:ilvl="0">
      <w:lvlJc w:val="left"/>
      <w:lvlText w:val="(%1)"/>
      <w:numFmt w:val="lowerLetter"/>
      <w:start w:val="1"/>
    </w:lvl>
  </w:abstractNum>
  <w:abstractNum w:abstractNumId="28">
    <w:nsid w:val="4516DDE9"/>
    <w:multiLevelType w:val="hybridMultilevel"/>
    <w:lvl w:ilvl="0">
      <w:lvlJc w:val="left"/>
      <w:lvlText w:val="%1"/>
      <w:numFmt w:val="lowerLetter"/>
      <w:start w:val="1"/>
    </w:lvl>
    <w:lvl w:ilvl="1">
      <w:lvlJc w:val="left"/>
      <w:lvlText w:val="(%2)"/>
      <w:numFmt w:val="lowerLetter"/>
      <w:start w:val="35"/>
    </w:lvl>
  </w:abstractNum>
  <w:abstractNum w:abstractNumId="29">
    <w:nsid w:val="3006C83E"/>
    <w:multiLevelType w:val="hybridMultilevel"/>
    <w:lvl w:ilvl="0">
      <w:lvlJc w:val="left"/>
      <w:lvlText w:val="(%1)"/>
      <w:numFmt w:val="lowerLetter"/>
      <w:start w:val="4"/>
    </w:lvl>
    <w:lvl w:ilvl="1">
      <w:lvlJc w:val="left"/>
      <w:lvlText w:val="%2"/>
      <w:numFmt w:val="lowerLetter"/>
      <w:start w:val="1"/>
    </w:lvl>
  </w:abstractNum>
  <w:abstractNum w:abstractNumId="30">
    <w:nsid w:val="614FD4A1"/>
    <w:multiLevelType w:val="hybridMultilevel"/>
    <w:lvl w:ilvl="0">
      <w:lvlJc w:val="left"/>
      <w:lvlText w:val="(%1)"/>
      <w:numFmt w:val="lowerLetter"/>
      <w:start w:val="9"/>
    </w:lvl>
    <w:lvl w:ilvl="1">
      <w:lvlJc w:val="left"/>
      <w:lvlText w:val="(%2)"/>
      <w:numFmt w:val="lowerLetter"/>
      <w:start w:val="7"/>
    </w:lvl>
  </w:abstractNum>
  <w:abstractNum w:abstractNumId="31">
    <w:nsid w:val="419AC241"/>
    <w:multiLevelType w:val="hybridMultilevel"/>
    <w:lvl w:ilvl="0">
      <w:lvlJc w:val="left"/>
      <w:lvlText w:val="(%1)"/>
      <w:numFmt w:val="lowerLetter"/>
      <w:start w:val="35"/>
    </w:lvl>
    <w:lvl w:ilvl="1">
      <w:lvlJc w:val="left"/>
      <w:lvlText w:val="%2"/>
      <w:numFmt w:val="lowerLetter"/>
      <w:start w:val="1"/>
    </w:lvl>
  </w:abstractNum>
  <w:abstractNum w:abstractNumId="32">
    <w:nsid w:val="5577F8E1"/>
    <w:multiLevelType w:val="hybridMultilevel"/>
    <w:lvl w:ilvl="0">
      <w:lvlJc w:val="left"/>
      <w:lvlText w:val="(%1)"/>
      <w:numFmt w:val="lowerLetter"/>
      <w:start w:val="7"/>
    </w:lvl>
  </w:abstractNum>
  <w:abstractNum w:abstractNumId="33">
    <w:nsid w:val="440BADFC"/>
    <w:multiLevelType w:val="hybridMultilevel"/>
    <w:lvl w:ilvl="0">
      <w:lvlJc w:val="left"/>
      <w:lvlText w:val="%1"/>
      <w:numFmt w:val="lowerRoman"/>
      <w:start w:val="1"/>
    </w:lvl>
    <w:lvl w:ilvl="1">
      <w:lvlJc w:val="left"/>
      <w:lvlText w:val="(%2)"/>
      <w:numFmt w:val="lowerLetter"/>
      <w:start w:val="7"/>
    </w:lvl>
  </w:abstractNum>
  <w:abstractNum w:abstractNumId="34">
    <w:nsid w:val="5072367"/>
    <w:multiLevelType w:val="hybridMultilevel"/>
    <w:lvl w:ilvl="0">
      <w:lvlJc w:val="left"/>
      <w:lvlText w:val="(%1)"/>
      <w:numFmt w:val="lowerRoman"/>
      <w:start w:val="4"/>
    </w:lvl>
    <w:lvl w:ilvl="1">
      <w:lvlJc w:val="left"/>
      <w:lvlText w:val="(%2)"/>
      <w:numFmt w:val="lowerLetter"/>
      <w:start w:val="5"/>
    </w:lvl>
  </w:abstractNum>
  <w:abstractNum w:abstractNumId="35">
    <w:nsid w:val="3804823E"/>
    <w:multiLevelType w:val="hybridMultilevel"/>
    <w:lvl w:ilvl="0">
      <w:lvlJc w:val="left"/>
      <w:lvlText w:val="(%1)"/>
      <w:numFmt w:val="lowerLetter"/>
      <w:start w:val="1"/>
    </w:lvl>
    <w:lvl w:ilvl="1">
      <w:lvlJc w:val="left"/>
      <w:lvlText w:val="(%2)"/>
      <w:numFmt w:val="lowerLetter"/>
      <w:start w:val="9"/>
    </w:lvl>
  </w:abstractNum>
  <w:abstractNum w:abstractNumId="36">
    <w:nsid w:val="77465F01"/>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2019-12-19T20:10:34Z</dcterms:created>
  <dcterms:modified xsi:type="dcterms:W3CDTF">2019-12-19T20:10:34Z</dcterms:modified>
</cp:coreProperties>
</file>