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On May 19, 2017, Destination XL Group, Inc. (the “Company”) issued a press release announcing the Company’s operating results for the first quarter of fiscal 2017. A copy of this press release is attached hereto as Exhibit 99.1.</w:t>
      </w:r>
    </w:p>
    <w:p>
      <w:pPr>
        <w:spacing w:after="0" w:line="173"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An audio webcast to discuss the Company’s operating results for the first quarter of fiscal 2017 and 2017 outlook will be held today, May 19, 2017, at 9:00 a.m. ET. Interested parties can access the webcast on the Company's website at www.destinationxl.com under the Investor Relations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4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464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30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May 19,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May 19,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April and May sales performance accelerates with start of advertising campaign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Reaffirms Fiscal 2017 guidance</w:t>
      </w:r>
    </w:p>
    <w:p>
      <w:pPr>
        <w:spacing w:after="0" w:line="23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 xml:space="preserve">CANTON, Mass., May 19, 2017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xml:space="preserve"> (NASDAQ: DXLG), the largest omni-channel specialty retailer of big and tall men's apparel, today reported operating results for the first quarter of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2017 First Quarter Highlights</w:t>
      </w:r>
    </w:p>
    <w:p>
      <w:pPr>
        <w:spacing w:after="0" w:line="166"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of $107.7 million compared to $107.9 million in the prior-year quarter including a comparable sales decline of 2.1%.</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month of April increased 8.6%, inclusive of a comparable sales increase of 6.4%</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of ($6.1) million vs. Net Income of $0.2 million in the prior year quarter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was $2.5 million compared to $8.4 million in the prior-year quarter</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approximately 670,000 shares, leaving $10.2 million remaining on existing share repurchase authorization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15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"We're pleased to report that our sales momentum has accelerated since the start of fiscal 2017,” said President and CEO David Levin. “We experienced a challenging sales environment in February and March, but we anticipated a strong April with the launch of our spring advertising campaign on April 2</w:t>
      </w:r>
      <w:r>
        <w:rPr>
          <w:rFonts w:ascii="Arial" w:cs="Arial" w:eastAsia="Arial" w:hAnsi="Arial"/>
          <w:sz w:val="15"/>
          <w:szCs w:val="15"/>
          <w:color w:val="auto"/>
        </w:rPr>
        <w:t>nd</w:t>
      </w:r>
      <w:r>
        <w:rPr>
          <w:rFonts w:ascii="Arial" w:cs="Arial" w:eastAsia="Arial" w:hAnsi="Arial"/>
          <w:sz w:val="18"/>
          <w:szCs w:val="18"/>
          <w:color w:val="auto"/>
        </w:rPr>
        <w:t>. Since the campaign launch, not only has our April performance exceeded our expectations with positive comp of 6.4%, the positive trend has continued in May.” Levin said.</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Levin also noted, “Our top priorities for fiscal 2017 are customer acquisition and retention, which we are fueling by reinvesting in marketing and in our digital capabilities. These investments, which will have an adverse impact on EBITDA and Net Income in the near term, have been factored into our guidance and, more importantly, are building the foundation for sustained future sales growth with attractive profit margins.</w:t>
      </w:r>
    </w:p>
    <w:p>
      <w:pPr>
        <w:spacing w:after="0" w:line="16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Levin further commented, “A recent report, which has been repeated by various media outlets, has called into question our ability to repay our debt. This report inaccurately assesses our financial position and business outlook. We ended fiscal 2016 with over $57.0 million of unused, excess availability under our credit facility and a Debt to EBITDA ratio of 2.0x. We remain on track to generate free cash flow of $15 to $20 million which will be used to repay our debt and repurchase our shares in the open market.”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2017 First Quarter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6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Total sales for the first quarter declined slightly to $107.7 million from $107.9 million in the prior year’s first quarter. The decrease of $0.2 million in total sales was due to a comparable sales decrease of $2.1 million, or 2.1% compared to a comparable sales increase of 2.0% last year. In the month of April, comparable sales increased to 6.4% which coincided with the start of our spring television marketing campaign.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Gross Margin</w:t>
      </w:r>
    </w:p>
    <w:p>
      <w:pPr>
        <w:spacing w:after="0" w:line="16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Gross margin, inclusive of occupancy costs, was 45.2%, compared with gross margin of 46.1% for the prior year’s first quarter. Our merchandise margins improved 10 basis points over first quarter of last year primarily due to fewer promotional markdowns, but we also had a 100 basis point increase in occupancy costs as a percentage of total sales. The Company opened 11 new DXL stores in the first quarter, compared to just 5 in the first quarter last year. The increase in occupancy expense as a percent of sales was due to higher rent expense on new DXL stores plus pre-opening rent expense on the elevated number of new store openings.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SG&amp;A expenses for the first quarter were 42.9% of sales, compared with 38.3% in the prior year’s first quarter. On a dollar basis, SG&amp;A expense increased $4.8 million from the prior year quarter, primarily due to an increase in advertising costs of approximately $ 3.5 million. The balance of the increase was due to increases in stores payroll and other supporting costs associated with a greater DXL store base.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Loss for the first quarter was $ 6.1 million, or $(0.12) per diluted share, compared with net income of $0.2 million, or $0.00 per diluted share, for the prior year’s first quarter. On a non-GAAP basis, assuming a normalized tax rate of 40%, adjusted net loss for the first quarter was $(0.07) per diluted share compared with net income of $0.00 per diluted share for the prior year’s first quarter. The decline in earnings was driven primarily by a combination of higher planned marketing costs related to our television advertising campaign as well as lower gross margin dollar contribution due to occupancy de-leverage.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22"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Earnings before interest, taxes, depreciation and amortization (EBITDA), a non-GAAP measure, for the first quarter were $2.5 million, compared with $8.4 million for the first quarter of fiscal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Cash Flow provided by operations for the first quarter of fiscal 2017 was $(4.6) million, compared with cash flow of $ (5.0) million for the first quarter of fiscal 2016. Capital expenditures for the first quarter of fiscal 2017 were $6.9 million and consisted of $5.8 million for new DXL stores and $1.1 million for infrastructure projects. Capital expenditures for the first quarter of fiscal 2016 of $6.1 million consisted of $4.6 million for new DXL stores and $1.5 million for infrastructure projects. Free cash flow, a non-GAAP measure, decreased slightly to $(11.5) million for the first quarter of fiscal 2017 from $(11.1) million for the first quarter of fiscal 2016.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4"/>
                <w:szCs w:val="14"/>
                <w:color w:val="auto"/>
              </w:rPr>
              <w:t>April 29, 2017</w:t>
            </w:r>
          </w:p>
        </w:tc>
        <w:tc>
          <w:tcPr>
            <w:tcW w:w="62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w w:val="97"/>
              </w:rPr>
              <w:t>April 30, 2016</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(5.8)</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Company believes it is important to distinguish between capital expenditures for DXL stores, which is a discretionary investment, and capital expenditures for infrastructure projects. Capital expenditures on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 w:name="page6"/>
    <w:bookmarkEnd w:id="5"/>
    <w:p>
      <w:pPr>
        <w:ind w:right="60"/>
        <w:spacing w:after="0"/>
        <w:rPr>
          <w:sz w:val="20"/>
          <w:szCs w:val="20"/>
          <w:color w:val="auto"/>
        </w:rPr>
      </w:pPr>
      <w:r>
        <w:rPr>
          <w:rFonts w:ascii="Arial" w:cs="Arial" w:eastAsia="Arial" w:hAnsi="Arial"/>
          <w:sz w:val="18"/>
          <w:szCs w:val="18"/>
          <w:color w:val="auto"/>
        </w:rPr>
        <w:t>new DXL stores are subject to demanding ROIC (“Return on Invested Capital”) hurdles. Management believes free cash flow before DXL capital expenditures is an important metric, because it demonstrates DXL’s ability to strengthen liquidity while also contributing to the funding of DXL store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4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EBITDA, adjusted net income (loss) and adjusted net income (loss) per share, free cash flow and free cash flow before DXL capital expenditures are non-GAAP financial measures. Please see “Non-GAAP Measures” below and reconciliations of these non-GAAP measures to the comparable GAAP measures that follow in the tables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16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At April 29, 2017, the Company had cash and cash equivalents of $7.9 million. Total debt at April 29, 2017 was $78.8 million. Total debt consisted of $62.1 million outstanding under the Company’s credit facility, net of unamortized debt issuance costs, and approximately $16.7 million outstanding under its term loan and equipment financing notes, net of unamortized debt issuance costs. Excess availability under its credit facility was $45.7 million at April 29, 2017, a decrease from year-end as we built up Spring seasonal inventory consistent with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Inventory was $121.4 million at April 29, 2017 compared with $117.4 million at January 28, 2017 and $125.8 million at April 30, 2016. The decrease in inventory compared with last year’s first quarter is due to inventory initiatives to improve timing of receipts and weeks of supply on hand.</w:t>
      </w:r>
    </w:p>
    <w:p>
      <w:pPr>
        <w:spacing w:after="0" w:line="20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Under the Company’s stock repurchase plan, the Company has repurchased approximately 670,000 shares at a total cost of approximately $1.8 million. Approximately $10.2 million remains available for purchases under the stock repurchase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2017, the Company opened a total of 10 DXL retail stores, with 2 DXL retail stores opened in Ontario, Canada, and</w:t>
      </w:r>
    </w:p>
    <w:p>
      <w:pPr>
        <w:spacing w:after="0"/>
        <w:rPr>
          <w:sz w:val="20"/>
          <w:szCs w:val="20"/>
          <w:color w:val="auto"/>
        </w:rPr>
      </w:pPr>
      <w:r>
        <w:rPr>
          <w:rFonts w:ascii="Arial" w:cs="Arial" w:eastAsia="Arial" w:hAnsi="Arial"/>
          <w:sz w:val="18"/>
          <w:szCs w:val="18"/>
          <w:color w:val="auto"/>
        </w:rPr>
        <w:t>1 DXL outlet store: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2280" w:type="dxa"/>
            <w:vAlign w:val="bottom"/>
            <w:gridSpan w:val="4"/>
          </w:tcPr>
          <w:p>
            <w:pPr>
              <w:ind w:left="540"/>
              <w:spacing w:after="0"/>
              <w:rPr>
                <w:sz w:val="20"/>
                <w:szCs w:val="20"/>
                <w:color w:val="auto"/>
              </w:rPr>
            </w:pPr>
            <w:r>
              <w:rPr>
                <w:rFonts w:ascii="Arial" w:cs="Arial" w:eastAsia="Arial" w:hAnsi="Arial"/>
                <w:sz w:val="18"/>
                <w:szCs w:val="18"/>
                <w:color w:val="auto"/>
              </w:rPr>
              <w:t>Year End 2015</w:t>
            </w:r>
          </w:p>
        </w:tc>
        <w:tc>
          <w:tcPr>
            <w:tcW w:w="2280" w:type="dxa"/>
            <w:vAlign w:val="bottom"/>
            <w:gridSpan w:val="4"/>
          </w:tcPr>
          <w:p>
            <w:pPr>
              <w:ind w:left="540"/>
              <w:spacing w:after="0"/>
              <w:rPr>
                <w:sz w:val="20"/>
                <w:szCs w:val="20"/>
                <w:color w:val="auto"/>
              </w:rPr>
            </w:pPr>
            <w:r>
              <w:rPr>
                <w:rFonts w:ascii="Arial" w:cs="Arial" w:eastAsia="Arial" w:hAnsi="Arial"/>
                <w:sz w:val="18"/>
                <w:szCs w:val="18"/>
                <w:color w:val="auto"/>
              </w:rPr>
              <w:t>Year End 2016</w:t>
            </w:r>
          </w:p>
        </w:tc>
        <w:tc>
          <w:tcPr>
            <w:tcW w:w="2260" w:type="dxa"/>
            <w:vAlign w:val="bottom"/>
            <w:gridSpan w:val="4"/>
          </w:tcPr>
          <w:p>
            <w:pPr>
              <w:ind w:left="420"/>
              <w:spacing w:after="0"/>
              <w:rPr>
                <w:sz w:val="20"/>
                <w:szCs w:val="20"/>
                <w:color w:val="auto"/>
              </w:rPr>
            </w:pPr>
            <w:r>
              <w:rPr>
                <w:rFonts w:ascii="Arial" w:cs="Arial" w:eastAsia="Arial" w:hAnsi="Arial"/>
                <w:sz w:val="18"/>
                <w:szCs w:val="18"/>
                <w:color w:val="auto"/>
              </w:rPr>
              <w:t>At April 29, 2017</w:t>
            </w:r>
          </w:p>
        </w:tc>
        <w:tc>
          <w:tcPr>
            <w:tcW w:w="2300" w:type="dxa"/>
            <w:vAlign w:val="bottom"/>
            <w:gridSpan w:val="4"/>
          </w:tcPr>
          <w:p>
            <w:pPr>
              <w:ind w:left="500"/>
              <w:spacing w:after="0"/>
              <w:rPr>
                <w:sz w:val="20"/>
                <w:szCs w:val="20"/>
                <w:color w:val="auto"/>
              </w:rPr>
            </w:pPr>
            <w:r>
              <w:rPr>
                <w:rFonts w:ascii="Arial" w:cs="Arial" w:eastAsia="Arial" w:hAnsi="Arial"/>
                <w:sz w:val="18"/>
                <w:szCs w:val="18"/>
                <w:color w:val="auto"/>
              </w:rPr>
              <w:t>Year End 2017E</w:t>
            </w:r>
          </w:p>
        </w:tc>
        <w:tc>
          <w:tcPr>
            <w:tcW w:w="20" w:type="dxa"/>
            <w:vAlign w:val="bottom"/>
          </w:tcPr>
          <w:p>
            <w:pPr>
              <w:spacing w:after="0"/>
              <w:rPr>
                <w:sz w:val="20"/>
                <w:szCs w:val="20"/>
                <w:color w:val="auto"/>
              </w:rPr>
            </w:pPr>
          </w:p>
        </w:tc>
      </w:tr>
      <w:tr>
        <w:trPr>
          <w:trHeight w:val="215"/>
        </w:trPr>
        <w:tc>
          <w:tcPr>
            <w:tcW w:w="230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9"/>
              </w:rPr>
              <w:t># of</w:t>
            </w:r>
          </w:p>
        </w:tc>
        <w:tc>
          <w:tcPr>
            <w:tcW w:w="4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3"/>
              </w:rPr>
              <w:t># of</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 of</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Sq Ft.</w:t>
            </w:r>
          </w:p>
        </w:tc>
        <w:tc>
          <w:tcPr>
            <w:tcW w:w="20" w:type="dxa"/>
            <w:vAlign w:val="bottom"/>
          </w:tcPr>
          <w:p>
            <w:pPr>
              <w:spacing w:after="0"/>
              <w:rPr>
                <w:sz w:val="18"/>
                <w:szCs w:val="18"/>
                <w:color w:val="auto"/>
              </w:rPr>
            </w:pPr>
          </w:p>
        </w:tc>
      </w:tr>
      <w:tr>
        <w:trPr>
          <w:trHeight w:val="230"/>
        </w:trPr>
        <w:tc>
          <w:tcPr>
            <w:tcW w:w="2300" w:type="dxa"/>
            <w:vAlign w:val="bottom"/>
            <w:shd w:val="clear" w:color="auto" w:fill="CFF0FC"/>
          </w:tcPr>
          <w:p>
            <w:pPr>
              <w:spacing w:after="0"/>
              <w:rPr>
                <w:sz w:val="20"/>
                <w:szCs w:val="20"/>
                <w:color w:val="auto"/>
              </w:rPr>
            </w:pPr>
          </w:p>
        </w:tc>
        <w:tc>
          <w:tcPr>
            <w:tcW w:w="84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8"/>
              </w:rPr>
              <w:t>Stores</w:t>
            </w:r>
          </w:p>
        </w:tc>
        <w:tc>
          <w:tcPr>
            <w:tcW w:w="4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Stores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Stores</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(000’s)</w:t>
            </w:r>
          </w:p>
        </w:tc>
        <w:tc>
          <w:tcPr>
            <w:tcW w:w="20" w:type="dxa"/>
            <w:vAlign w:val="bottom"/>
          </w:tcPr>
          <w:p>
            <w:pPr>
              <w:spacing w:after="0"/>
              <w:rPr>
                <w:sz w:val="20"/>
                <w:szCs w:val="20"/>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DXL retail</w:t>
            </w:r>
          </w:p>
        </w:tc>
        <w:tc>
          <w:tcPr>
            <w:tcW w:w="8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166</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125</w:t>
            </w: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3"/>
              </w:rPr>
              <w:t>345</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168"/>
        </w:trPr>
        <w:tc>
          <w:tcPr>
            <w:tcW w:w="2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Reaffirmed Fiscal 2017 Outlook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fiscal 2017 outlook, based on a 53-week year, is as follows:</w:t>
      </w:r>
    </w:p>
    <w:p>
      <w:pPr>
        <w:spacing w:after="0" w:line="185" w:lineRule="exact"/>
        <w:rPr>
          <w:sz w:val="20"/>
          <w:szCs w:val="20"/>
          <w:color w:val="auto"/>
        </w:rPr>
      </w:pPr>
    </w:p>
    <w:p>
      <w:pPr>
        <w:ind w:left="88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Sales are expected to range from $470.0 million to $480.0 million, with a total Company comparable sales increase of approximately 1.0% to 4.0%.</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margin rate of approximately 46.0%, an increase of 50 basis points from fiscal 2016.</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SG&amp;A expenses expected to increase 150 to 200 basis points from fiscal 2016.</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loss, on a GAAP basis, of $(5.7) to $(11.7) million, or $(0.11) to $(0.23) per diluted share.</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EBITDA of $24.0 to $30.0 million. *</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net loss, on a non-GAAP basis, of $(0.06) to $(0.14) per diluted share, assuming a normal tax rate of 40%. *</w:t>
      </w:r>
    </w:p>
    <w:p>
      <w:pPr>
        <w:spacing w:after="0" w:line="9" w:lineRule="exact"/>
        <w:rPr>
          <w:rFonts w:ascii="Arial" w:cs="Arial" w:eastAsia="Arial" w:hAnsi="Arial"/>
          <w:sz w:val="18"/>
          <w:szCs w:val="18"/>
          <w:color w:val="auto"/>
        </w:rPr>
      </w:pPr>
    </w:p>
    <w:p>
      <w:pPr>
        <w:ind w:left="880" w:right="20" w:hanging="440"/>
        <w:spacing w:after="0" w:line="234"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$8.3 million of which will be for infrastructure projects and $13.7 million of which will be for new DXL stores (before tenant allowances of approximately $5.0 million).</w:t>
      </w:r>
    </w:p>
    <w:p>
      <w:pPr>
        <w:spacing w:after="0" w:line="1" w:lineRule="exact"/>
        <w:rPr>
          <w:rFonts w:ascii="Arial" w:cs="Arial" w:eastAsia="Arial" w:hAnsi="Arial"/>
          <w:sz w:val="18"/>
          <w:szCs w:val="18"/>
          <w:color w:val="auto"/>
        </w:rPr>
      </w:pPr>
    </w:p>
    <w:p>
      <w:pPr>
        <w:ind w:left="880" w:right="40" w:hanging="440"/>
        <w:spacing w:after="0" w:line="246"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flow from operating activities of $37.0 million to $42.0 million, resulting in free cash flow after capital expenditures for new DXL stores of $15.0 to $20.0 million. *</w:t>
      </w:r>
    </w:p>
    <w:p>
      <w:pPr>
        <w:spacing w:after="0" w:line="1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Reconciliations of these non-GAAP measures to their comparable GAAP measures are provided in the tables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will hold a conference call to review its financial results on Friday, May 19, 2017 at 9:00 a.m. ET. To listen to the live webcast, visit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section of the Company's website. The live call also can be accessed by dialing: (888) 378-0320. Please reference conference ID: 5302286.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6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income (loss), adjusted net income (loss) per diluted share, free cash flow and free cash flow before DXL capital expenditures.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sectPr>
      </w:pPr>
    </w:p>
    <w:bookmarkStart w:id="7" w:name="page8"/>
    <w:bookmarkEnd w:id="7"/>
    <w:p>
      <w:pPr>
        <w:ind w:right="180"/>
        <w:spacing w:after="0"/>
        <w:rPr>
          <w:sz w:val="20"/>
          <w:szCs w:val="20"/>
          <w:color w:val="auto"/>
        </w:rPr>
      </w:pPr>
      <w:r>
        <w:rPr>
          <w:rFonts w:ascii="Arial" w:cs="Arial" w:eastAsia="Arial" w:hAnsi="Arial"/>
          <w:sz w:val="18"/>
          <w:szCs w:val="18"/>
          <w:color w:val="auto"/>
        </w:rPr>
        <w:t>The Company believes that EBITDA (calculated as earnings before interest, taxes, depreciation and amortization) is useful to investors in evaluating its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3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Free cash flow and free cash flow before DXL capital expenditures are metrics that management uses to monitor liquidity. Management believes this metric is important to investors because it demonstrates the Company’s ability to strengthen liquidity while also contributing to the funding of the 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6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Destination XL Group, Inc. is the largest omni-channel specialty retailer of big &amp; tall men's apparel with store locations throughout the United States and in London, England and Ontario, Canada. The retailer operates under five brands: DXL, Casual Male XL, Rochester Clothing, ShoesXL and LivingXL. The Company also operates e-commerce sites at </w:t>
      </w:r>
      <w:r>
        <w:rPr>
          <w:rFonts w:ascii="Arial" w:cs="Arial" w:eastAsia="Arial" w:hAnsi="Arial"/>
          <w:sz w:val="18"/>
          <w:szCs w:val="18"/>
          <w:u w:val="single" w:color="auto"/>
          <w:color w:val="0000FF"/>
        </w:rPr>
        <w:t>www.destinationxl.com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www.bigandtall.com</w:t>
      </w:r>
      <w:r>
        <w:rPr>
          <w:rFonts w:ascii="Arial" w:cs="Arial" w:eastAsia="Arial" w:hAnsi="Arial"/>
          <w:sz w:val="18"/>
          <w:szCs w:val="18"/>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0000FF"/>
        </w:rPr>
        <w:t>http://investor.destinationxl.com</w:t>
      </w:r>
      <w:r>
        <w:rPr>
          <w:rFonts w:ascii="Arial" w:cs="Arial" w:eastAsia="Arial" w:hAnsi="Arial"/>
          <w:sz w:val="18"/>
          <w:szCs w:val="18"/>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gross profit margins, store counts, capital expenditures, debt levels, sales, EBITDA, and earnings for fiscal 2017, t and the Company’s ability to sustain future sales growth.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2017, that set forth certain risks and uncertainties that may have an impact on future results and direction of the Company, including the Company’s ability to grow its market share, its ability to predict customer tastes and fashion trends, its ability to forecast sales growth trends and its ability to compete successfully in the United States men’s big and tall apparel market.</w:t>
      </w:r>
    </w:p>
    <w:p>
      <w:pPr>
        <w:spacing w:after="0" w:line="122"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00" w:type="dxa"/>
            <w:vAlign w:val="bottom"/>
            <w:gridSpan w:val="4"/>
          </w:tcPr>
          <w:p>
            <w:pPr>
              <w:jc w:val="right"/>
              <w:ind w:right="725"/>
              <w:spacing w:after="0"/>
              <w:rPr>
                <w:sz w:val="20"/>
                <w:szCs w:val="20"/>
                <w:color w:val="auto"/>
              </w:rPr>
            </w:pPr>
            <w:r>
              <w:rPr>
                <w:rFonts w:ascii="Arial" w:cs="Arial" w:eastAsia="Arial" w:hAnsi="Arial"/>
                <w:sz w:val="14"/>
                <w:szCs w:val="14"/>
                <w:color w:val="auto"/>
              </w:rPr>
              <w:t>For the three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4960" w:type="dxa"/>
            <w:vAlign w:val="bottom"/>
            <w:tcBorders>
              <w:bottom w:val="single" w:sz="8" w:color="CFF0FC"/>
            </w:tcBorders>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April 29, 2017</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April 30, 2016</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3280" w:type="dxa"/>
            <w:vAlign w:val="bottom"/>
            <w:gridSpan w:val="2"/>
            <w:shd w:val="clear" w:color="auto" w:fill="CFF0FC"/>
          </w:tcPr>
          <w:p>
            <w:pPr>
              <w:jc w:val="right"/>
              <w:ind w:right="126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107,629</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2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107,891</w:t>
            </w: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8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58,941</w:t>
            </w:r>
          </w:p>
        </w:tc>
        <w:tc>
          <w:tcPr>
            <w:tcW w:w="3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58,125</w:t>
            </w:r>
          </w:p>
        </w:tc>
        <w:tc>
          <w:tcPr>
            <w:tcW w:w="360" w:type="dxa"/>
            <w:vAlign w:val="bottom"/>
            <w:tcBorders>
              <w:bottom w:val="single" w:sz="8" w:color="CFF0FC"/>
            </w:tcBorders>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48,688</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49,766</w:t>
            </w:r>
          </w:p>
        </w:tc>
        <w:tc>
          <w:tcPr>
            <w:tcW w:w="36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46,168</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41,369</w:t>
            </w:r>
          </w:p>
        </w:tc>
        <w:tc>
          <w:tcPr>
            <w:tcW w:w="36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86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7,754</w:t>
            </w:r>
          </w:p>
        </w:tc>
        <w:tc>
          <w:tcPr>
            <w:tcW w:w="36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7,342</w:t>
            </w:r>
          </w:p>
        </w:tc>
        <w:tc>
          <w:tcPr>
            <w:tcW w:w="360" w:type="dxa"/>
            <w:vAlign w:val="bottom"/>
            <w:shd w:val="clear" w:color="auto" w:fill="CFF0FC"/>
          </w:tcPr>
          <w:p>
            <w:pPr>
              <w:spacing w:after="0"/>
              <w:rPr>
                <w:sz w:val="19"/>
                <w:szCs w:val="19"/>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860" w:type="dxa"/>
            <w:vAlign w:val="bottom"/>
            <w:tcBorders>
              <w:bottom w:val="single" w:sz="8" w:color="CFF0FC"/>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53,922</w:t>
            </w:r>
          </w:p>
        </w:tc>
        <w:tc>
          <w:tcPr>
            <w:tcW w:w="36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48,711</w:t>
            </w:r>
          </w:p>
        </w:tc>
        <w:tc>
          <w:tcPr>
            <w:tcW w:w="360" w:type="dxa"/>
            <w:vAlign w:val="bottom"/>
            <w:tcBorders>
              <w:bottom w:val="single" w:sz="8" w:color="CFF0FC"/>
            </w:tcBorders>
          </w:tcPr>
          <w:p>
            <w:pPr>
              <w:spacing w:after="0"/>
              <w:rPr>
                <w:sz w:val="17"/>
                <w:szCs w:val="17"/>
                <w:color w:val="auto"/>
              </w:rPr>
            </w:pPr>
          </w:p>
        </w:tc>
      </w:tr>
      <w:tr>
        <w:trPr>
          <w:trHeight w:val="213"/>
        </w:trPr>
        <w:tc>
          <w:tcPr>
            <w:tcW w:w="49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(5,234)</w:t>
            </w:r>
          </w:p>
        </w:tc>
        <w:tc>
          <w:tcPr>
            <w:tcW w:w="1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1,055</w:t>
            </w:r>
          </w:p>
        </w:tc>
        <w:tc>
          <w:tcPr>
            <w:tcW w:w="360" w:type="dxa"/>
            <w:vAlign w:val="bottom"/>
          </w:tcPr>
          <w:p>
            <w:pPr>
              <w:spacing w:after="0"/>
              <w:rPr>
                <w:sz w:val="18"/>
                <w:szCs w:val="18"/>
                <w:color w:val="auto"/>
              </w:rPr>
            </w:pPr>
          </w:p>
        </w:tc>
      </w:tr>
      <w:tr>
        <w:trPr>
          <w:trHeight w:val="219"/>
        </w:trPr>
        <w:tc>
          <w:tcPr>
            <w:tcW w:w="496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Interest expense, net</w:t>
            </w: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(802)</w:t>
            </w:r>
          </w:p>
        </w:tc>
        <w:tc>
          <w:tcPr>
            <w:tcW w:w="13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(784)</w:t>
            </w:r>
          </w:p>
        </w:tc>
      </w:tr>
      <w:tr>
        <w:trPr>
          <w:trHeight w:val="213"/>
        </w:trPr>
        <w:tc>
          <w:tcPr>
            <w:tcW w:w="4960" w:type="dxa"/>
            <w:vAlign w:val="bottom"/>
            <w:tcBorders>
              <w:top w:val="single" w:sz="8" w:color="CFF0FC"/>
            </w:tcBorders>
            <w:shd w:val="clear" w:color="auto" w:fill="CFF0FC"/>
          </w:tcPr>
          <w:p>
            <w:pPr>
              <w:spacing w:after="0"/>
              <w:rPr>
                <w:sz w:val="18"/>
                <w:szCs w:val="18"/>
                <w:color w:val="auto"/>
              </w:rPr>
            </w:pPr>
          </w:p>
        </w:tc>
        <w:tc>
          <w:tcPr>
            <w:tcW w:w="186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1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(6,036)</w:t>
            </w:r>
          </w:p>
        </w:tc>
        <w:tc>
          <w:tcPr>
            <w:tcW w:w="1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271</w:t>
            </w:r>
          </w:p>
        </w:tc>
        <w:tc>
          <w:tcPr>
            <w:tcW w:w="36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860" w:type="dxa"/>
            <w:vAlign w:val="bottom"/>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6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60" w:type="dxa"/>
            <w:vAlign w:val="bottom"/>
            <w:shd w:val="clear" w:color="auto" w:fill="CFF0FC"/>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18"/>
                <w:szCs w:val="18"/>
                <w:color w:val="auto"/>
              </w:rPr>
            </w:pPr>
          </w:p>
        </w:tc>
        <w:tc>
          <w:tcPr>
            <w:tcW w:w="18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3280" w:type="dxa"/>
            <w:vAlign w:val="bottom"/>
            <w:gridSpan w:val="2"/>
            <w:shd w:val="clear" w:color="auto" w:fill="CFF0FC"/>
          </w:tcPr>
          <w:p>
            <w:pPr>
              <w:jc w:val="right"/>
              <w:ind w:right="1268"/>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(6,065)</w:t>
            </w:r>
          </w:p>
        </w:tc>
        <w:tc>
          <w:tcPr>
            <w:tcW w:w="1380" w:type="dxa"/>
            <w:vAlign w:val="bottom"/>
            <w:shd w:val="clear" w:color="auto" w:fill="CFF0FC"/>
          </w:tcPr>
          <w:p>
            <w:pPr>
              <w:jc w:val="right"/>
              <w:ind w:right="12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360" w:type="dxa"/>
            <w:vAlign w:val="bottom"/>
            <w:shd w:val="clear" w:color="auto" w:fill="CFF0FC"/>
          </w:tcPr>
          <w:p>
            <w:pPr>
              <w:spacing w:after="0"/>
              <w:rPr>
                <w:sz w:val="17"/>
                <w:szCs w:val="17"/>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21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(0.12)</w:t>
            </w:r>
          </w:p>
        </w:tc>
        <w:tc>
          <w:tcPr>
            <w:tcW w:w="92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240"/>
              <w:spacing w:after="0"/>
              <w:rPr>
                <w:sz w:val="20"/>
                <w:szCs w:val="20"/>
                <w:color w:val="auto"/>
              </w:rPr>
            </w:pPr>
            <w:r>
              <w:rPr>
                <w:rFonts w:ascii="Arial" w:cs="Arial" w:eastAsia="Arial" w:hAnsi="Arial"/>
                <w:sz w:val="18"/>
                <w:szCs w:val="18"/>
                <w:color w:val="auto"/>
              </w:rPr>
              <w:t>Basic</w:t>
            </w:r>
          </w:p>
        </w:tc>
        <w:tc>
          <w:tcPr>
            <w:tcW w:w="2100" w:type="dxa"/>
            <w:vAlign w:val="bottom"/>
          </w:tcPr>
          <w:p>
            <w:pPr>
              <w:spacing w:after="0"/>
              <w:rPr>
                <w:sz w:val="19"/>
                <w:szCs w:val="19"/>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49,735</w:t>
            </w:r>
          </w:p>
        </w:tc>
        <w:tc>
          <w:tcPr>
            <w:tcW w:w="920" w:type="dxa"/>
            <w:vAlign w:val="bottom"/>
          </w:tcPr>
          <w:p>
            <w:pPr>
              <w:spacing w:after="0"/>
              <w:rPr>
                <w:sz w:val="19"/>
                <w:szCs w:val="19"/>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49,513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49,735</w:t>
            </w:r>
          </w:p>
        </w:tc>
        <w:tc>
          <w:tcPr>
            <w:tcW w:w="9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49,880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6"/>
        </w:trPr>
        <w:tc>
          <w:tcPr>
            <w:tcW w:w="20" w:type="dxa"/>
            <w:vAlign w:val="bottom"/>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9" w:name="page10"/>
    <w:bookmarkEnd w:id="9"/>
    <w:p>
      <w:pPr>
        <w:jc w:val="center"/>
        <w:ind w:right="1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April 29, 2017, January 28, 2017 and April 30, 2016</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ind w:left="240"/>
              <w:spacing w:after="0"/>
              <w:rPr>
                <w:sz w:val="20"/>
                <w:szCs w:val="20"/>
                <w:color w:val="auto"/>
              </w:rPr>
            </w:pPr>
            <w:r>
              <w:rPr>
                <w:rFonts w:ascii="Arial" w:cs="Arial" w:eastAsia="Arial" w:hAnsi="Arial"/>
                <w:sz w:val="14"/>
                <w:szCs w:val="14"/>
                <w:color w:val="auto"/>
              </w:rPr>
              <w:t>April 29,</w:t>
            </w:r>
          </w:p>
        </w:tc>
        <w:tc>
          <w:tcPr>
            <w:tcW w:w="2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January 28,</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color w:val="auto"/>
              </w:rPr>
              <w:t>April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121,424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125,788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124,652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276,594</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275,749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104,521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16,655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82,242</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276,594</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7"/>
        </w:trPr>
        <w:tc>
          <w:tcPr>
            <w:tcW w:w="20" w:type="dxa"/>
            <w:vAlign w:val="bottom"/>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10" w:name="page11"/>
    <w:bookmarkEnd w:id="10"/>
    <w:p>
      <w:pPr>
        <w:ind w:left="3360"/>
        <w:spacing w:after="0"/>
        <w:rPr>
          <w:sz w:val="20"/>
          <w:szCs w:val="20"/>
          <w:color w:val="auto"/>
        </w:rPr>
      </w:pPr>
      <w:r>
        <w:rPr>
          <w:rFonts w:ascii="Arial" w:cs="Arial" w:eastAsia="Arial" w:hAnsi="Arial"/>
          <w:sz w:val="18"/>
          <w:szCs w:val="18"/>
          <w:b w:val="1"/>
          <w:bCs w:val="1"/>
          <w:color w:val="auto"/>
        </w:rPr>
        <w:t>GAAP TO NON-GAAP RECONCILIATION OF NET INCOME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3"/>
          </w:tcPr>
          <w:p>
            <w:pPr>
              <w:jc w:val="right"/>
              <w:ind w:right="22"/>
              <w:spacing w:after="0"/>
              <w:rPr>
                <w:sz w:val="20"/>
                <w:szCs w:val="20"/>
                <w:color w:val="auto"/>
              </w:rPr>
            </w:pPr>
            <w:r>
              <w:rPr>
                <w:rFonts w:ascii="Arial" w:cs="Arial" w:eastAsia="Arial" w:hAnsi="Arial"/>
                <w:sz w:val="16"/>
                <w:szCs w:val="16"/>
                <w:color w:val="auto"/>
              </w:rPr>
              <w:t>For the three months ended</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April 29, 2017</w:t>
            </w:r>
          </w:p>
        </w:tc>
        <w:tc>
          <w:tcPr>
            <w:tcW w:w="3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April 30, 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color w:val="auto"/>
              </w:rPr>
              <w:t>Per diluted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Per diluted</w:t>
            </w: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6"/>
                <w:szCs w:val="16"/>
                <w:color w:val="auto"/>
              </w:rPr>
              <w:t>share</w:t>
            </w:r>
          </w:p>
        </w:tc>
        <w:tc>
          <w:tcPr>
            <w:tcW w:w="7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share</w:t>
            </w:r>
          </w:p>
        </w:tc>
        <w:tc>
          <w:tcPr>
            <w:tcW w:w="0" w:type="dxa"/>
            <w:vAlign w:val="bottom"/>
          </w:tcPr>
          <w:p>
            <w:pPr>
              <w:spacing w:after="0"/>
              <w:rPr>
                <w:sz w:val="1"/>
                <w:szCs w:val="1"/>
                <w:color w:val="auto"/>
              </w:rPr>
            </w:pPr>
          </w:p>
        </w:tc>
      </w:tr>
      <w:tr>
        <w:trPr>
          <w:trHeight w:val="175"/>
        </w:trPr>
        <w:tc>
          <w:tcPr>
            <w:tcW w:w="300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25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(loss) (GAAP basis)</w:t>
            </w:r>
          </w:p>
        </w:tc>
        <w:tc>
          <w:tcPr>
            <w:tcW w:w="3180" w:type="dxa"/>
            <w:vAlign w:val="bottom"/>
            <w:gridSpan w:val="2"/>
            <w:shd w:val="clear" w:color="auto" w:fill="CFF0FC"/>
          </w:tcPr>
          <w:p>
            <w:pPr>
              <w:ind w:left="2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w w:val="98"/>
              </w:rPr>
              <w:t>(6,065)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(0.12)</w:t>
            </w: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 Actual income tax provision</w:t>
            </w:r>
          </w:p>
        </w:tc>
        <w:tc>
          <w:tcPr>
            <w:tcW w:w="25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40" w:type="dxa"/>
            <w:vAlign w:val="bottom"/>
            <w:gridSpan w:val="3"/>
          </w:tcPr>
          <w:p>
            <w:pPr>
              <w:ind w:left="260"/>
              <w:spacing w:after="0"/>
              <w:rPr>
                <w:sz w:val="20"/>
                <w:szCs w:val="20"/>
                <w:color w:val="auto"/>
              </w:rPr>
            </w:pPr>
            <w:r>
              <w:rPr>
                <w:rFonts w:ascii="Arial" w:cs="Arial" w:eastAsia="Arial" w:hAnsi="Arial"/>
                <w:sz w:val="16"/>
                <w:szCs w:val="16"/>
                <w:color w:val="auto"/>
              </w:rPr>
              <w:t>Income tax (provision) benefit, assuming a normal tax rate of 40%</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w w:val="92"/>
              </w:rPr>
              <w:t>Adjusted net income (loss) (non-GAAP basis)</w:t>
            </w:r>
          </w:p>
        </w:tc>
        <w:tc>
          <w:tcPr>
            <w:tcW w:w="25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00" w:type="dxa"/>
            <w:vAlign w:val="bottom"/>
            <w:gridSpan w:val="2"/>
            <w:vMerge w:val="continue"/>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(3,622)</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(0.07)</w:t>
            </w: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FF0FC"/>
          </w:tcPr>
          <w:p>
            <w:pPr>
              <w:spacing w:after="0"/>
              <w:rPr>
                <w:sz w:val="20"/>
                <w:szCs w:val="20"/>
                <w:color w:val="auto"/>
              </w:rPr>
            </w:pPr>
            <w:r>
              <w:rPr>
                <w:rFonts w:ascii="Arial" w:cs="Arial" w:eastAsia="Arial" w:hAnsi="Arial"/>
                <w:sz w:val="16"/>
                <w:szCs w:val="16"/>
                <w:color w:val="auto"/>
                <w:w w:val="91"/>
              </w:rPr>
              <w:t>Weighted average number of common shares</w:t>
            </w:r>
          </w:p>
        </w:tc>
        <w:tc>
          <w:tcPr>
            <w:tcW w:w="3180" w:type="dxa"/>
            <w:vAlign w:val="bottom"/>
            <w:gridSpan w:val="2"/>
            <w:shd w:val="clear" w:color="auto" w:fill="CFF0FC"/>
          </w:tcPr>
          <w:p>
            <w:pPr>
              <w:jc w:val="right"/>
              <w:ind w:right="1159"/>
              <w:spacing w:after="0"/>
              <w:rPr>
                <w:sz w:val="20"/>
                <w:szCs w:val="20"/>
                <w:color w:val="auto"/>
              </w:rPr>
            </w:pPr>
            <w:r>
              <w:rPr>
                <w:rFonts w:ascii="Arial" w:cs="Arial" w:eastAsia="Arial" w:hAnsi="Arial"/>
                <w:sz w:val="16"/>
                <w:szCs w:val="16"/>
                <w:color w:val="auto"/>
                <w:w w:val="90"/>
              </w:rPr>
              <w:t>outstanding on a diluted basis</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49,735</w:t>
            </w: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GAAP TO NON-GAAP RECONCILIATION OF EBITDA</w:t>
      </w:r>
    </w:p>
    <w:p>
      <w:pPr>
        <w:sectPr>
          <w:pgSz w:w="11900" w:h="16838" w:orient="portrait"/>
          <w:cols w:equalWidth="0" w:num="1">
            <w:col w:w="11440"/>
          </w:cols>
          <w:pgMar w:left="240" w:top="562" w:right="2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millions)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Net income (loss) (GAAP basis)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Add back: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EBITDA (non-GAAP basis)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5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April 29, 2017</w:t>
            </w: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97"/>
              </w:rPr>
              <w:t>April 30, 2016</w:t>
            </w:r>
          </w:p>
        </w:tc>
      </w:tr>
      <w:tr>
        <w:trPr>
          <w:trHeight w:val="346"/>
        </w:trPr>
        <w:tc>
          <w:tcPr>
            <w:tcW w:w="360" w:type="dxa"/>
            <w:vAlign w:val="bottom"/>
            <w:gridSpan w:val="2"/>
          </w:tcPr>
          <w:p>
            <w:pPr>
              <w:jc w:val="right"/>
              <w:ind w:right="229"/>
              <w:spacing w:after="0"/>
              <w:rPr>
                <w:sz w:val="20"/>
                <w:szCs w:val="20"/>
                <w:color w:val="auto"/>
              </w:rPr>
            </w:pPr>
            <w:r>
              <w:rPr>
                <w:rFonts w:ascii="Arial" w:cs="Arial" w:eastAsia="Arial" w:hAnsi="Arial"/>
                <w:sz w:val="14"/>
                <w:szCs w:val="14"/>
                <w:color w:val="auto"/>
                <w:w w:val="76"/>
              </w:rPr>
              <w:t>$</w:t>
            </w:r>
          </w:p>
        </w:tc>
        <w:tc>
          <w:tcPr>
            <w:tcW w:w="2140" w:type="dxa"/>
            <w:vAlign w:val="bottom"/>
            <w:gridSpan w:val="2"/>
          </w:tcPr>
          <w:p>
            <w:pPr>
              <w:jc w:val="right"/>
              <w:ind w:right="320"/>
              <w:spacing w:after="0"/>
              <w:rPr>
                <w:sz w:val="20"/>
                <w:szCs w:val="20"/>
                <w:color w:val="auto"/>
              </w:rPr>
            </w:pPr>
            <w:r>
              <w:rPr>
                <w:rFonts w:ascii="Arial" w:cs="Arial" w:eastAsia="Arial" w:hAnsi="Arial"/>
                <w:sz w:val="14"/>
                <w:szCs w:val="14"/>
                <w:color w:val="auto"/>
              </w:rPr>
              <w:t>(6.1)</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30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0.0</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67"/>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56"/>
        </w:trPr>
        <w:tc>
          <w:tcPr>
            <w:tcW w:w="20" w:type="dxa"/>
            <w:vAlign w:val="bottom"/>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-548005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-342265</wp:posOffset>
            </wp:positionV>
            <wp:extent cx="72466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-136525</wp:posOffset>
            </wp:positionV>
            <wp:extent cx="72466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5860" w:space="720"/>
            <w:col w:w="4860"/>
          </w:cols>
          <w:pgMar w:left="240" w:top="562" w:right="2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4"/>
                <w:szCs w:val="14"/>
                <w:color w:val="auto"/>
              </w:rPr>
              <w:t>April 29, 2017</w:t>
            </w:r>
          </w:p>
        </w:tc>
        <w:tc>
          <w:tcPr>
            <w:tcW w:w="62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w w:val="97"/>
              </w:rPr>
              <w:t>April 30, 2016</w:t>
            </w:r>
          </w:p>
        </w:tc>
        <w:tc>
          <w:tcPr>
            <w:tcW w:w="20" w:type="dxa"/>
            <w:vAlign w:val="bottom"/>
          </w:tcPr>
          <w:p>
            <w:pPr>
              <w:spacing w:after="0"/>
              <w:rPr>
                <w:sz w:val="14"/>
                <w:szCs w:val="14"/>
                <w:color w:val="auto"/>
              </w:rPr>
            </w:pP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(5.8)</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0"/>
        </w:trPr>
        <w:tc>
          <w:tcPr>
            <w:tcW w:w="6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2" w:right="2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520" w:type="dxa"/>
            <w:vAlign w:val="bottom"/>
            <w:gridSpan w:val="3"/>
          </w:tcPr>
          <w:p>
            <w:pPr>
              <w:jc w:val="right"/>
              <w:ind w:right="1228"/>
              <w:spacing w:after="0"/>
              <w:rPr>
                <w:sz w:val="20"/>
                <w:szCs w:val="20"/>
                <w:color w:val="auto"/>
              </w:rPr>
            </w:pPr>
            <w:r>
              <w:rPr>
                <w:rFonts w:ascii="Arial" w:cs="Arial" w:eastAsia="Arial" w:hAnsi="Arial"/>
                <w:sz w:val="18"/>
                <w:szCs w:val="18"/>
                <w:b w:val="1"/>
                <w:bCs w:val="1"/>
                <w:color w:val="auto"/>
              </w:rPr>
              <w:t>2017 FORECAST GAAP TO NON-GAAP RECONCILIATIONS</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w w:val="91"/>
              </w:rPr>
              <w:t>Projected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9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Fiscal 2017</w:t>
            </w:r>
          </w:p>
        </w:tc>
        <w:tc>
          <w:tcPr>
            <w:tcW w:w="1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80" w:type="dxa"/>
            <w:vAlign w:val="bottom"/>
          </w:tcPr>
          <w:p>
            <w:pPr>
              <w:jc w:val="right"/>
              <w:ind w:right="62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56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$(5.7)-$(11.7)</w:t>
            </w:r>
          </w:p>
        </w:tc>
        <w:tc>
          <w:tcPr>
            <w:tcW w:w="8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3.0</w:t>
            </w: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$24.0-$30.0</w:t>
            </w:r>
          </w:p>
        </w:tc>
        <w:tc>
          <w:tcPr>
            <w:tcW w:w="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56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Net loss (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$(5.7)-$(11.7)</w:t>
            </w:r>
          </w:p>
        </w:tc>
        <w:tc>
          <w:tcPr>
            <w:tcW w:w="8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$(0.11)-$(0.23)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$2.3-$4.7</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$0.05-0.09</w:t>
            </w:r>
          </w:p>
        </w:tc>
        <w:tc>
          <w:tcPr>
            <w:tcW w:w="0" w:type="dxa"/>
            <w:vAlign w:val="bottom"/>
          </w:tcPr>
          <w:p>
            <w:pPr>
              <w:spacing w:after="0"/>
              <w:rPr>
                <w:sz w:val="1"/>
                <w:szCs w:val="1"/>
                <w:color w:val="auto"/>
              </w:rPr>
            </w:pPr>
          </w:p>
        </w:tc>
      </w:tr>
      <w:tr>
        <w:trPr>
          <w:trHeight w:val="196"/>
        </w:trPr>
        <w:tc>
          <w:tcPr>
            <w:tcW w:w="6580" w:type="dxa"/>
            <w:vAlign w:val="bottom"/>
            <w:gridSpan w:val="3"/>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w:t>
            </w:r>
          </w:p>
        </w:tc>
        <w:tc>
          <w:tcPr>
            <w:tcW w:w="840" w:type="dxa"/>
            <w:vAlign w:val="bottom"/>
          </w:tcPr>
          <w:p>
            <w:pPr>
              <w:spacing w:after="0"/>
              <w:rPr>
                <w:sz w:val="17"/>
                <w:szCs w:val="17"/>
                <w:color w:val="auto"/>
              </w:rPr>
            </w:pPr>
          </w:p>
        </w:tc>
        <w:tc>
          <w:tcPr>
            <w:tcW w:w="1880" w:type="dxa"/>
            <w:vAlign w:val="bottom"/>
          </w:tcPr>
          <w:p>
            <w:pPr>
              <w:jc w:val="right"/>
              <w:spacing w:after="0" w:line="155" w:lineRule="exact"/>
              <w:rPr>
                <w:sz w:val="20"/>
                <w:szCs w:val="20"/>
                <w:color w:val="auto"/>
              </w:rPr>
            </w:pPr>
            <w:r>
              <w:rPr>
                <w:rFonts w:ascii="Arial" w:cs="Arial" w:eastAsia="Arial" w:hAnsi="Arial"/>
                <w:sz w:val="14"/>
                <w:szCs w:val="14"/>
                <w:color w:val="auto"/>
              </w:rPr>
              <w:t>$(0.06)-(0.14)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tcBorders>
              <w:top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49.5</w:t>
            </w:r>
          </w:p>
        </w:tc>
        <w:tc>
          <w:tcPr>
            <w:tcW w:w="840" w:type="dxa"/>
            <w:vAlign w:val="bottom"/>
            <w:tcBorders>
              <w:top w:val="single" w:sz="8" w:color="CFF0FC"/>
            </w:tcBorders>
            <w:shd w:val="clear" w:color="auto" w:fill="CFF0FC"/>
          </w:tcPr>
          <w:p>
            <w:pPr>
              <w:spacing w:after="0"/>
              <w:rPr>
                <w:sz w:val="12"/>
                <w:szCs w:val="12"/>
                <w:color w:val="auto"/>
              </w:rPr>
            </w:pPr>
          </w:p>
        </w:tc>
        <w:tc>
          <w:tcPr>
            <w:tcW w:w="18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$37.0-$42.0</w:t>
            </w:r>
          </w:p>
        </w:tc>
        <w:tc>
          <w:tcPr>
            <w:tcW w:w="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(8.3)</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 (non-GAAP basis)</w:t>
            </w:r>
          </w:p>
        </w:tc>
        <w:tc>
          <w:tcPr>
            <w:tcW w:w="2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$28.7-$33.7</w:t>
            </w:r>
          </w:p>
        </w:tc>
        <w:tc>
          <w:tcPr>
            <w:tcW w:w="84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60" w:type="dxa"/>
            <w:vAlign w:val="bottom"/>
            <w:gridSpan w:val="2"/>
          </w:tcPr>
          <w:p>
            <w:pPr>
              <w:jc w:val="right"/>
              <w:ind w:right="728"/>
              <w:spacing w:after="0"/>
              <w:rPr>
                <w:sz w:val="20"/>
                <w:szCs w:val="20"/>
                <w:color w:val="auto"/>
              </w:rPr>
            </w:pPr>
            <w:r>
              <w:rPr>
                <w:rFonts w:ascii="Arial" w:cs="Arial" w:eastAsia="Arial" w:hAnsi="Arial"/>
                <w:sz w:val="14"/>
                <w:szCs w:val="14"/>
                <w:color w:val="auto"/>
              </w:rPr>
              <w:t>(13.7)</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$15.0-$20.0</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2019-12-05T15:28:02Z</dcterms:created>
  <dcterms:modified xsi:type="dcterms:W3CDTF">2019-12-05T15:28:02Z</dcterms:modified>
</cp:coreProperties>
</file>