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8508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HUSIC FRANK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500"/>
        <w:spacing w:after="0" w:line="331" w:lineRule="auto"/>
        <w:rPr>
          <w:sz w:val="20"/>
          <w:szCs w:val="20"/>
          <w:color w:val="auto"/>
        </w:rPr>
      </w:pPr>
      <w:r>
        <w:rPr>
          <w:rFonts w:ascii="Arial" w:cs="Arial" w:eastAsia="Arial" w:hAnsi="Arial"/>
          <w:sz w:val="18"/>
          <w:szCs w:val="18"/>
          <w:color w:val="0000FF"/>
        </w:rPr>
        <w:t>C/O CASUAL MALE RETAIL GROUP, INC. 555 TURNPIKE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CANTON,</w:t>
            </w:r>
          </w:p>
        </w:tc>
        <w:tc>
          <w:tcPr>
            <w:tcW w:w="1080" w:type="dxa"/>
            <w:vAlign w:val="bottom"/>
          </w:tcPr>
          <w:p>
            <w:pPr>
              <w:ind w:left="24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2"/>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CASUAL MALE RETAIL GROUP INC </w:t>
              </w:r>
            </w:hyperlink>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3900" w:type="dxa"/>
            <w:vAlign w:val="bottom"/>
            <w:gridSpan w:val="2"/>
          </w:tcPr>
          <w:p>
            <w:pPr>
              <w:spacing w:after="0"/>
              <w:rPr>
                <w:sz w:val="3"/>
                <w:szCs w:val="3"/>
                <w:color w:val="auto"/>
              </w:rPr>
            </w:pPr>
          </w:p>
        </w:tc>
        <w:tc>
          <w:tcPr>
            <w:tcW w:w="520" w:type="dxa"/>
            <w:vAlign w:val="bottom"/>
            <w:vMerge w:val="restart"/>
          </w:tcPr>
          <w:p>
            <w:pPr>
              <w:ind w:left="280"/>
              <w:spacing w:after="0" w:line="55" w:lineRule="exact"/>
              <w:rPr>
                <w:sz w:val="20"/>
                <w:szCs w:val="20"/>
                <w:color w:val="auto"/>
              </w:rPr>
            </w:pPr>
            <w:r>
              <w:rPr>
                <w:rFonts w:ascii="Arial" w:cs="Arial" w:eastAsia="Arial" w:hAnsi="Arial"/>
                <w:sz w:val="5"/>
                <w:szCs w:val="5"/>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
        </w:trPr>
        <w:tc>
          <w:tcPr>
            <w:tcW w:w="80" w:type="dxa"/>
            <w:vAlign w:val="bottom"/>
          </w:tcPr>
          <w:p>
            <w:pPr>
              <w:spacing w:after="0" w:line="20" w:lineRule="exact"/>
              <w:rPr>
                <w:sz w:val="1"/>
                <w:szCs w:val="1"/>
                <w:color w:val="auto"/>
              </w:rPr>
            </w:pPr>
          </w:p>
        </w:tc>
        <w:tc>
          <w:tcPr>
            <w:tcW w:w="35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CMRG </w:t>
              </w:r>
              <w:r>
                <w:rPr>
                  <w:rFonts w:ascii="Arial" w:cs="Arial" w:eastAsia="Arial" w:hAnsi="Arial"/>
                  <w:sz w:val="1"/>
                  <w:szCs w:val="1"/>
                  <w:color w:val="000000"/>
                </w:rPr>
                <w:t>]</w:t>
              </w:r>
            </w:hyperlink>
          </w:p>
        </w:tc>
        <w:tc>
          <w:tcPr>
            <w:tcW w:w="36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35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620" w:type="dxa"/>
            <w:vAlign w:val="bottom"/>
            <w:gridSpan w:val="2"/>
          </w:tcPr>
          <w:p>
            <w:pPr>
              <w:ind w:left="80"/>
              <w:spacing w:after="0"/>
              <w:rPr>
                <w:sz w:val="20"/>
                <w:szCs w:val="20"/>
                <w:color w:val="auto"/>
              </w:rPr>
            </w:pPr>
            <w:r>
              <w:rPr>
                <w:rFonts w:ascii="Arial" w:cs="Arial" w:eastAsia="Arial" w:hAnsi="Arial"/>
                <w:sz w:val="18"/>
                <w:szCs w:val="18"/>
                <w:color w:val="0000FF"/>
              </w:rPr>
              <w:t>07/01/2004</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35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19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3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1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1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rPr>
                <w:sz w:val="11"/>
                <w:szCs w:val="11"/>
                <w:color w:val="auto"/>
              </w:rPr>
            </w:pPr>
          </w:p>
        </w:tc>
        <w:tc>
          <w:tcPr>
            <w:tcW w:w="10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1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10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0000FF"/>
              </w:rPr>
              <w:t>By Husic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$.01 par value</w:t>
            </w:r>
          </w:p>
        </w:tc>
        <w:tc>
          <w:tcPr>
            <w:tcW w:w="1540" w:type="dxa"/>
            <w:vAlign w:val="bottom"/>
            <w:gridSpan w:val="2"/>
          </w:tcPr>
          <w:p>
            <w:pPr>
              <w:ind w:left="540"/>
              <w:spacing w:after="0"/>
              <w:rPr>
                <w:sz w:val="20"/>
                <w:szCs w:val="20"/>
                <w:color w:val="auto"/>
              </w:rPr>
            </w:pPr>
            <w:r>
              <w:rPr>
                <w:rFonts w:ascii="Arial" w:cs="Arial" w:eastAsia="Arial" w:hAnsi="Arial"/>
                <w:sz w:val="18"/>
                <w:szCs w:val="18"/>
                <w:color w:val="0000FF"/>
              </w:rPr>
              <w:t>07/01/2004</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ind w:left="80"/>
              <w:spacing w:after="0" w:line="216"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w:t>
            </w:r>
          </w:p>
        </w:tc>
        <w:tc>
          <w:tcPr>
            <w:tcW w:w="380" w:type="dxa"/>
            <w:vAlign w:val="bottom"/>
          </w:tcPr>
          <w:p>
            <w:pPr>
              <w:ind w:left="100"/>
              <w:spacing w:after="0"/>
              <w:rPr>
                <w:sz w:val="20"/>
                <w:szCs w:val="20"/>
                <w:color w:val="auto"/>
              </w:rPr>
            </w:pPr>
            <w:r>
              <w:rPr>
                <w:rFonts w:ascii="Arial" w:cs="Arial" w:eastAsia="Arial" w:hAnsi="Arial"/>
                <w:sz w:val="14"/>
                <w:szCs w:val="14"/>
                <w:color w:val="0000FF"/>
              </w:rPr>
              <w:t>V</w:t>
            </w:r>
          </w:p>
        </w:tc>
        <w:tc>
          <w:tcPr>
            <w:tcW w:w="780" w:type="dxa"/>
            <w:vAlign w:val="bottom"/>
          </w:tcPr>
          <w:p>
            <w:pPr>
              <w:ind w:left="140"/>
              <w:spacing w:after="0"/>
              <w:rPr>
                <w:sz w:val="20"/>
                <w:szCs w:val="20"/>
                <w:color w:val="auto"/>
              </w:rPr>
            </w:pPr>
            <w:r>
              <w:rPr>
                <w:rFonts w:ascii="Arial" w:cs="Arial" w:eastAsia="Arial" w:hAnsi="Arial"/>
                <w:sz w:val="18"/>
                <w:szCs w:val="18"/>
                <w:color w:val="0000FF"/>
              </w:rPr>
              <w:t>2,736</w:t>
            </w:r>
          </w:p>
        </w:tc>
        <w:tc>
          <w:tcPr>
            <w:tcW w:w="500" w:type="dxa"/>
            <w:vAlign w:val="bottom"/>
          </w:tcPr>
          <w:p>
            <w:pPr>
              <w:ind w:left="160"/>
              <w:spacing w:after="0"/>
              <w:rPr>
                <w:sz w:val="20"/>
                <w:szCs w:val="20"/>
                <w:color w:val="auto"/>
              </w:rPr>
            </w:pPr>
            <w:r>
              <w:rPr>
                <w:rFonts w:ascii="Arial" w:cs="Arial" w:eastAsia="Arial" w:hAnsi="Arial"/>
                <w:sz w:val="18"/>
                <w:szCs w:val="18"/>
                <w:color w:val="0000FF"/>
              </w:rPr>
              <w:t>A</w:t>
            </w:r>
          </w:p>
        </w:tc>
        <w:tc>
          <w:tcPr>
            <w:tcW w:w="600" w:type="dxa"/>
            <w:vAlign w:val="bottom"/>
          </w:tcPr>
          <w:p>
            <w:pPr>
              <w:ind w:left="120"/>
              <w:spacing w:after="0" w:line="216" w:lineRule="exact"/>
              <w:rPr>
                <w:sz w:val="20"/>
                <w:szCs w:val="20"/>
                <w:color w:val="auto"/>
              </w:rPr>
            </w:pPr>
            <w:r>
              <w:rPr>
                <w:rFonts w:ascii="Arial" w:cs="Arial" w:eastAsia="Arial" w:hAnsi="Arial"/>
                <w:sz w:val="25"/>
                <w:szCs w:val="25"/>
                <w:color w:val="000000"/>
                <w:vertAlign w:val="subscript"/>
              </w:rPr>
              <w:t>$</w:t>
            </w:r>
            <w:r>
              <w:rPr>
                <w:rFonts w:ascii="Arial" w:cs="Arial" w:eastAsia="Arial" w:hAnsi="Arial"/>
                <w:sz w:val="25"/>
                <w:szCs w:val="25"/>
                <w:color w:val="0000FF"/>
                <w:vertAlign w:val="subscript"/>
              </w:rPr>
              <w:t>0</w:t>
            </w:r>
            <w:r>
              <w:rPr>
                <w:rFonts w:ascii="Arial" w:cs="Arial" w:eastAsia="Arial" w:hAnsi="Arial"/>
                <w:sz w:val="10"/>
                <w:szCs w:val="10"/>
                <w:color w:val="008000"/>
              </w:rPr>
              <w:t>(2)</w:t>
            </w:r>
          </w:p>
        </w:tc>
        <w:tc>
          <w:tcPr>
            <w:tcW w:w="40" w:type="dxa"/>
            <w:vAlign w:val="bottom"/>
          </w:tcPr>
          <w:p>
            <w:pPr>
              <w:spacing w:after="0"/>
              <w:rPr>
                <w:sz w:val="18"/>
                <w:szCs w:val="18"/>
                <w:color w:val="auto"/>
              </w:rPr>
            </w:pPr>
          </w:p>
        </w:tc>
        <w:tc>
          <w:tcPr>
            <w:tcW w:w="1100" w:type="dxa"/>
            <w:vAlign w:val="bottom"/>
            <w:gridSpan w:val="2"/>
          </w:tcPr>
          <w:p>
            <w:pPr>
              <w:ind w:left="220"/>
              <w:spacing w:after="0" w:line="217" w:lineRule="exact"/>
              <w:rPr>
                <w:sz w:val="20"/>
                <w:szCs w:val="20"/>
                <w:color w:val="auto"/>
              </w:rPr>
            </w:pPr>
            <w:r>
              <w:rPr>
                <w:rFonts w:ascii="Arial" w:cs="Arial" w:eastAsia="Arial" w:hAnsi="Arial"/>
                <w:sz w:val="18"/>
                <w:szCs w:val="18"/>
                <w:color w:val="0000FF"/>
              </w:rPr>
              <w:t>23,748</w:t>
            </w:r>
            <w:r>
              <w:rPr>
                <w:rFonts w:ascii="Arial" w:cs="Arial" w:eastAsia="Arial" w:hAnsi="Arial"/>
                <w:sz w:val="22"/>
                <w:szCs w:val="22"/>
                <w:color w:val="008000"/>
                <w:vertAlign w:val="superscript"/>
              </w:rPr>
              <w:t>(3)</w:t>
            </w:r>
          </w:p>
        </w:tc>
        <w:tc>
          <w:tcPr>
            <w:tcW w:w="600" w:type="dxa"/>
            <w:vAlign w:val="bottom"/>
          </w:tcPr>
          <w:p>
            <w:pPr>
              <w:ind w:left="460"/>
              <w:spacing w:after="0"/>
              <w:rPr>
                <w:sz w:val="20"/>
                <w:szCs w:val="20"/>
                <w:color w:val="auto"/>
              </w:rPr>
            </w:pPr>
            <w:r>
              <w:rPr>
                <w:rFonts w:ascii="Arial" w:cs="Arial" w:eastAsia="Arial" w:hAnsi="Arial"/>
                <w:sz w:val="18"/>
                <w:szCs w:val="18"/>
                <w:color w:val="0000FF"/>
              </w:rPr>
              <w:t>I</w:t>
            </w:r>
          </w:p>
        </w:tc>
        <w:tc>
          <w:tcPr>
            <w:tcW w:w="4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0000FF"/>
                <w:w w:val="91"/>
              </w:rPr>
              <w:t>Management</w:t>
            </w:r>
            <w:r>
              <w:rPr>
                <w:rFonts w:ascii="Arial" w:cs="Arial" w:eastAsia="Arial" w:hAnsi="Arial"/>
                <w:sz w:val="22"/>
                <w:szCs w:val="22"/>
                <w:color w:val="008000"/>
                <w:w w:val="91"/>
                <w:vertAlign w:val="superscript"/>
              </w:rPr>
              <w:t>(4)</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1"/>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filing reflects a change in the pecuniary interest attributable to the Reporting Person. Such change arises due to changes in the ownership composition of the private investment funds for which Husic Capital Management, Frank J. Husic &amp; Co., and/or the Reporting Person serve as general partner and/or investment adviser. The change is not due to transactions by private investment funds or the Reporting Person in the issuer's securities nor due to an affirmative, volitional act by the Reporting Person.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of the securities acquired is the proportionate share of each cost lot held by the private investment funds.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 shares for which the Reporting Person has a pecuniary interest.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By private investment funds for which Husic Capital Management, Frank J. Husic &amp; Co., and/or the Reporting Person serve as general partner and/or investment adviser.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Frank J. Husic</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07/07/2004</w:t>
            </w:r>
          </w:p>
        </w:tc>
      </w:tr>
      <w:tr>
        <w:trPr>
          <w:trHeight w:val="20"/>
        </w:trPr>
        <w:tc>
          <w:tcPr>
            <w:tcW w:w="10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18220"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2019-12-16T22:49:14Z</dcterms:created>
  <dcterms:modified xsi:type="dcterms:W3CDTF">2019-12-16T22:49:14Z</dcterms:modified>
</cp:coreProperties>
</file>