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10-K</w:t>
      </w:r>
    </w:p>
    <w:p>
      <w:pPr>
        <w:spacing w:after="0" w:line="207"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ANNUAL REPORT PURSUANT TO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447"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FISCAL YEAR ENDED JANUARY 28, 1995</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0-15898</w:t>
      </w:r>
    </w:p>
    <w:p>
      <w:pPr>
        <w:spacing w:after="0" w:line="200" w:lineRule="exact"/>
        <w:rPr>
          <w:sz w:val="24"/>
          <w:szCs w:val="24"/>
          <w:color w:val="auto"/>
        </w:rPr>
      </w:pPr>
    </w:p>
    <w:p>
      <w:pPr>
        <w:sectPr>
          <w:pgSz w:w="11900" w:h="16838" w:orient="portrait"/>
          <w:cols w:equalWidth="0" w:num="2">
            <w:col w:w="4560" w:space="720"/>
            <w:col w:w="4939"/>
          </w:cols>
          <w:pgMar w:left="240" w:top="447" w:right="1440" w:bottom="0" w:gutter="0" w:footer="0" w:header="0"/>
          <w:type w:val="continuous"/>
        </w:sectPr>
      </w:pPr>
    </w:p>
    <w:p>
      <w:pPr>
        <w:spacing w:after="0" w:line="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DELAWARE</w:t>
      </w:r>
    </w:p>
    <w:p>
      <w:pPr>
        <w:ind w:left="320"/>
        <w:spacing w:after="0" w:line="238" w:lineRule="auto"/>
        <w:rPr>
          <w:sz w:val="20"/>
          <w:szCs w:val="20"/>
          <w:color w:val="auto"/>
        </w:rPr>
      </w:pPr>
      <w:r>
        <w:rPr>
          <w:rFonts w:ascii="Courier New" w:cs="Courier New" w:eastAsia="Courier New" w:hAnsi="Courier New"/>
          <w:sz w:val="18"/>
          <w:szCs w:val="18"/>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4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4740" w:space="120"/>
            <w:col w:w="5359"/>
          </w:cols>
          <w:pgMar w:left="240" w:top="447" w:right="1440" w:bottom="0" w:gutter="0" w:footer="0" w:header="0"/>
          <w:type w:val="continuous"/>
        </w:sectPr>
      </w:pPr>
    </w:p>
    <w:p>
      <w:pPr>
        <w:spacing w:after="0" w:line="24" w:lineRule="exact"/>
        <w:rPr>
          <w:sz w:val="24"/>
          <w:szCs w:val="24"/>
          <w:color w:val="auto"/>
        </w:rPr>
      </w:pPr>
    </w:p>
    <w:p>
      <w:pPr>
        <w:ind w:right="1600"/>
        <w:spacing w:after="0" w:line="290" w:lineRule="auto"/>
        <w:rPr>
          <w:sz w:val="20"/>
          <w:szCs w:val="20"/>
          <w:color w:val="auto"/>
        </w:rPr>
      </w:pPr>
      <w:r>
        <w:rPr>
          <w:rFonts w:ascii="Courier New" w:cs="Courier New" w:eastAsia="Courier New" w:hAnsi="Courier New"/>
          <w:sz w:val="16"/>
          <w:szCs w:val="16"/>
          <w:color w:val="auto"/>
        </w:rPr>
        <w:t>1244 BOYLSTON STREET, CHESTNUT HILL, MA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02167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820" w:space="720"/>
            <w:col w:w="3679"/>
          </w:cols>
          <w:pgMar w:left="240" w:top="447" w:right="1440" w:bottom="0" w:gutter="0" w:footer="0" w:header="0"/>
          <w:type w:val="continuous"/>
        </w:sectPr>
      </w:pPr>
    </w:p>
    <w:p>
      <w:pPr>
        <w:jc w:val="center"/>
        <w:ind w:right="1759"/>
        <w:spacing w:after="0"/>
        <w:rPr>
          <w:sz w:val="20"/>
          <w:szCs w:val="20"/>
          <w:color w:val="auto"/>
        </w:rPr>
      </w:pPr>
      <w:r>
        <w:rPr>
          <w:rFonts w:ascii="Courier New" w:cs="Courier New" w:eastAsia="Courier New" w:hAnsi="Courier New"/>
          <w:sz w:val="18"/>
          <w:szCs w:val="18"/>
          <w:color w:val="auto"/>
        </w:rPr>
        <w:t>(617) 739-6722</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Securities registered pursuant to Section 12(b) of the Act: None</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$0.01 PAR VALUE</w:t>
      </w:r>
    </w:p>
    <w:p>
      <w:pPr>
        <w:ind w:left="3380"/>
        <w:spacing w:after="0" w:line="238" w:lineRule="auto"/>
        <w:rPr>
          <w:sz w:val="20"/>
          <w:szCs w:val="20"/>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34" w:lineRule="auto"/>
        <w:tabs>
          <w:tab w:leader="none" w:pos="4000" w:val="left"/>
          <w:tab w:leader="none" w:pos="4720" w:val="left"/>
        </w:tabs>
        <w:rPr>
          <w:sz w:val="20"/>
          <w:szCs w:val="20"/>
          <w:color w:val="auto"/>
        </w:rPr>
      </w:pPr>
      <w:r>
        <w:rPr>
          <w:rFonts w:ascii="Courier New" w:cs="Courier New" w:eastAsia="Courier New" w:hAnsi="Courier New"/>
          <w:sz w:val="18"/>
          <w:szCs w:val="18"/>
          <w:color w:val="auto"/>
        </w:rPr>
        <w:t>requirements for the past 90 days.</w:t>
      </w:r>
      <w:r>
        <w:rPr>
          <w:sz w:val="20"/>
          <w:szCs w:val="20"/>
          <w:color w:val="auto"/>
        </w:rPr>
        <w:tab/>
      </w:r>
      <w:r>
        <w:rPr>
          <w:rFonts w:ascii="Courier New" w:cs="Courier New" w:eastAsia="Courier New" w:hAnsi="Courier New"/>
          <w:sz w:val="18"/>
          <w:szCs w:val="18"/>
          <w:color w:val="auto"/>
        </w:rPr>
        <w:t>Yes X</w:t>
        <w:tab/>
        <w:t>No</w:t>
      </w:r>
    </w:p>
    <w:p>
      <w:pPr>
        <w:spacing w:after="0" w:line="200" w:lineRule="exact"/>
        <w:rPr>
          <w:sz w:val="24"/>
          <w:szCs w:val="24"/>
          <w:color w:val="auto"/>
        </w:rPr>
      </w:pP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aggregate market value of the voting stock of the registrant held by non-affiliates of the registrant, based on the last sales price of such stock on April 21, 1995, was $140 million.</w:t>
      </w: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The registrant has 15,752,435 shares of Common Stock, $0.01 par value outstanding as of April 21, 1995.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6840" w:type="dxa"/>
            <w:vAlign w:val="bottom"/>
            <w:gridSpan w:val="2"/>
          </w:tcPr>
          <w:p>
            <w:pPr>
              <w:ind w:left="1140"/>
              <w:spacing w:after="0"/>
              <w:rPr>
                <w:sz w:val="20"/>
                <w:szCs w:val="20"/>
                <w:color w:val="auto"/>
              </w:rPr>
            </w:pPr>
            <w:r>
              <w:rPr>
                <w:rFonts w:ascii="Courier New" w:cs="Courier New" w:eastAsia="Courier New" w:hAnsi="Courier New"/>
                <w:sz w:val="18"/>
                <w:szCs w:val="18"/>
                <w:color w:val="auto"/>
              </w:rPr>
              <w:t>DOCUMENTS INCORPORATED BY REFERENCE</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FORM 10-K REQUIREMENT</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INCORPORATED DOCUMENT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31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Market for Registrant's</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Page 37 of the Annual Report to</w:t>
            </w:r>
          </w:p>
        </w:tc>
      </w:tr>
      <w:tr>
        <w:trPr>
          <w:trHeight w:val="203"/>
        </w:trPr>
        <w:tc>
          <w:tcPr>
            <w:tcW w:w="860" w:type="dxa"/>
            <w:vAlign w:val="bottom"/>
          </w:tcPr>
          <w:p>
            <w:pPr>
              <w:spacing w:after="0"/>
              <w:rPr>
                <w:sz w:val="17"/>
                <w:szCs w:val="17"/>
                <w:color w:val="auto"/>
              </w:rPr>
            </w:pP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 Equity and Related</w:t>
            </w: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Shareholders for the year ended</w:t>
            </w:r>
          </w:p>
        </w:tc>
      </w:tr>
      <w:tr>
        <w:trPr>
          <w:trHeight w:val="203"/>
        </w:trPr>
        <w:tc>
          <w:tcPr>
            <w:tcW w:w="860" w:type="dxa"/>
            <w:vAlign w:val="bottom"/>
          </w:tcPr>
          <w:p>
            <w:pPr>
              <w:spacing w:after="0"/>
              <w:rPr>
                <w:sz w:val="17"/>
                <w:szCs w:val="17"/>
                <w:color w:val="auto"/>
              </w:rPr>
            </w:pP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 Matters</w:t>
            </w: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January 28, 1995.</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Selected Financial Data</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Page 16 of the Annual Report to</w:t>
            </w:r>
          </w:p>
        </w:tc>
      </w:tr>
      <w:tr>
        <w:trPr>
          <w:trHeight w:val="203"/>
        </w:trPr>
        <w:tc>
          <w:tcPr>
            <w:tcW w:w="8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Shareholders for the year ended</w:t>
            </w:r>
          </w:p>
        </w:tc>
      </w:tr>
      <w:tr>
        <w:trPr>
          <w:trHeight w:val="203"/>
        </w:trPr>
        <w:tc>
          <w:tcPr>
            <w:tcW w:w="8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January 28, 1995.</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w w:val="97"/>
              </w:rPr>
              <w:t>Pages 17 through 23 of the Annual</w:t>
            </w:r>
          </w:p>
        </w:tc>
      </w:tr>
      <w:tr>
        <w:trPr>
          <w:trHeight w:val="203"/>
        </w:trPr>
        <w:tc>
          <w:tcPr>
            <w:tcW w:w="860" w:type="dxa"/>
            <w:vAlign w:val="bottom"/>
          </w:tcPr>
          <w:p>
            <w:pPr>
              <w:spacing w:after="0"/>
              <w:rPr>
                <w:sz w:val="17"/>
                <w:szCs w:val="17"/>
                <w:color w:val="auto"/>
              </w:rPr>
            </w:pP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Analysis of Financial</w:t>
            </w: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 to Shareholders for the</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Condition and Results of</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year ended January 28, 1995.</w:t>
            </w:r>
          </w:p>
        </w:tc>
      </w:tr>
      <w:tr>
        <w:trPr>
          <w:trHeight w:val="203"/>
        </w:trPr>
        <w:tc>
          <w:tcPr>
            <w:tcW w:w="900" w:type="dxa"/>
            <w:vAlign w:val="bottom"/>
          </w:tcPr>
          <w:p>
            <w:pPr>
              <w:spacing w:after="0"/>
              <w:rPr>
                <w:sz w:val="17"/>
                <w:szCs w:val="17"/>
                <w:color w:val="auto"/>
              </w:rPr>
            </w:pP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Operations</w:t>
            </w:r>
          </w:p>
        </w:tc>
        <w:tc>
          <w:tcPr>
            <w:tcW w:w="40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Financial Statements and</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Pages 24 through 34 of the Annual</w:t>
            </w:r>
          </w:p>
        </w:tc>
      </w:tr>
      <w:tr>
        <w:trPr>
          <w:trHeight w:val="203"/>
        </w:trPr>
        <w:tc>
          <w:tcPr>
            <w:tcW w:w="900" w:type="dxa"/>
            <w:vAlign w:val="bottom"/>
          </w:tcPr>
          <w:p>
            <w:pPr>
              <w:spacing w:after="0"/>
              <w:rPr>
                <w:sz w:val="17"/>
                <w:szCs w:val="17"/>
                <w:color w:val="auto"/>
              </w:rPr>
            </w:pP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Supplementary Data</w:t>
            </w: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 to Shareholders for the</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 ended January 28, 1995.</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PART III</w:t>
            </w:r>
          </w:p>
        </w:tc>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Directors and Executive</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All information under the caption</w:t>
            </w:r>
          </w:p>
        </w:tc>
      </w:tr>
      <w:tr>
        <w:trPr>
          <w:trHeight w:val="203"/>
        </w:trPr>
        <w:tc>
          <w:tcPr>
            <w:tcW w:w="900" w:type="dxa"/>
            <w:vAlign w:val="bottom"/>
          </w:tcPr>
          <w:p>
            <w:pPr>
              <w:spacing w:after="0"/>
              <w:rPr>
                <w:sz w:val="17"/>
                <w:szCs w:val="17"/>
                <w:color w:val="auto"/>
              </w:rPr>
            </w:pP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Officers</w:t>
            </w: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"Nominees for Director and</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Officers" in the</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Company's definitive Proxy</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which is expected to be</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filed within 120 days of the end</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the fiscal year ended</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January 28, 1995.</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11</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Executive Compensation</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All information under the caption</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Compensation" in the</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Company's definitive Proxy</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which is expected to be</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filed within 120 days of the end</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the fiscal year ended</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January 28, 1995.</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Security Ownership of</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All information under the caption</w:t>
            </w:r>
          </w:p>
        </w:tc>
      </w:tr>
      <w:tr>
        <w:trPr>
          <w:trHeight w:val="203"/>
        </w:trPr>
        <w:tc>
          <w:tcPr>
            <w:tcW w:w="900" w:type="dxa"/>
            <w:vAlign w:val="bottom"/>
          </w:tcPr>
          <w:p>
            <w:pPr>
              <w:spacing w:after="0"/>
              <w:rPr>
                <w:sz w:val="17"/>
                <w:szCs w:val="17"/>
                <w:color w:val="auto"/>
              </w:rPr>
            </w:pP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Certain Beneficial Owners</w:t>
            </w: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"Security Ownership of Certain</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 Owners and</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Management" in the Company's</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definitive Proxy Statement which</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 expected to be filed within</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120 days of the end of the</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fiscal year ended</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January 28, 1995.</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13</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Certain Relationships and</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All information under the caption</w:t>
            </w:r>
          </w:p>
        </w:tc>
      </w:tr>
      <w:tr>
        <w:trPr>
          <w:trHeight w:val="203"/>
        </w:trPr>
        <w:tc>
          <w:tcPr>
            <w:tcW w:w="900" w:type="dxa"/>
            <w:vAlign w:val="bottom"/>
          </w:tcPr>
          <w:p>
            <w:pPr>
              <w:spacing w:after="0"/>
              <w:rPr>
                <w:sz w:val="17"/>
                <w:szCs w:val="17"/>
                <w:color w:val="auto"/>
              </w:rPr>
            </w:pP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Related Transactions</w:t>
            </w: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"Certain Relationships and Related</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Transactions" in the Company's</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definitive Proxy Statement which is</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expected to be filed within 120</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days of the end of the fiscal year</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ended January 28, 1995.</w:t>
            </w:r>
          </w:p>
        </w:tc>
      </w:tr>
    </w:tbl>
    <w:p>
      <w:pPr>
        <w:sectPr>
          <w:pgSz w:w="11900" w:h="16838" w:orient="portrait"/>
          <w:cols w:equalWidth="0" w:num="1">
            <w:col w:w="10219"/>
          </w:cols>
          <w:pgMar w:left="240" w:top="136"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DESIGNS, INC.</w:t>
      </w:r>
    </w:p>
    <w:p>
      <w:pPr>
        <w:ind w:left="2320"/>
        <w:spacing w:after="0" w:line="238" w:lineRule="auto"/>
        <w:rPr>
          <w:sz w:val="20"/>
          <w:szCs w:val="20"/>
          <w:color w:val="auto"/>
        </w:rPr>
      </w:pPr>
      <w:r>
        <w:rPr>
          <w:rFonts w:ascii="Courier New" w:cs="Courier New" w:eastAsia="Courier New" w:hAnsi="Courier New"/>
          <w:sz w:val="18"/>
          <w:szCs w:val="18"/>
          <w:color w:val="auto"/>
        </w:rPr>
        <w:t>INDEX TO ANNUAL REPORT ON FORM 10-K</w:t>
      </w:r>
    </w:p>
    <w:p>
      <w:pPr>
        <w:ind w:left="2740"/>
        <w:spacing w:after="0"/>
        <w:rPr>
          <w:sz w:val="20"/>
          <w:szCs w:val="20"/>
          <w:color w:val="auto"/>
        </w:rPr>
      </w:pPr>
      <w:r>
        <w:rPr>
          <w:rFonts w:ascii="Courier New" w:cs="Courier New" w:eastAsia="Courier New" w:hAnsi="Courier New"/>
          <w:sz w:val="18"/>
          <w:szCs w:val="18"/>
          <w:color w:val="auto"/>
        </w:rPr>
        <w:t>YEAR ENDED JANUARY 28, 1995</w:t>
      </w:r>
    </w:p>
    <w:p>
      <w:pPr>
        <w:spacing w:after="0" w:line="200" w:lineRule="exact"/>
        <w:rPr>
          <w:sz w:val="20"/>
          <w:szCs w:val="20"/>
          <w:color w:val="auto"/>
        </w:rPr>
      </w:pPr>
    </w:p>
    <w:p>
      <w:pPr>
        <w:spacing w:after="0" w:line="203"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Page</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Item 1. Business</w:t>
      </w:r>
      <w:r>
        <w:rPr>
          <w:sz w:val="20"/>
          <w:szCs w:val="20"/>
          <w:color w:val="auto"/>
        </w:rPr>
        <w:tab/>
      </w:r>
      <w:r>
        <w:rPr>
          <w:rFonts w:ascii="Courier New" w:cs="Courier New" w:eastAsia="Courier New" w:hAnsi="Courier New"/>
          <w:sz w:val="18"/>
          <w:szCs w:val="18"/>
          <w:color w:val="auto"/>
        </w:rPr>
        <w:t>4</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Item 2. Properties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Item 3. Legal Proceedings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Item 4. Submission of Matters to a Vote of Security Holders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38" w:lineRule="auto"/>
        <w:rPr>
          <w:sz w:val="20"/>
          <w:szCs w:val="20"/>
          <w:color w:val="auto"/>
        </w:rPr>
      </w:pPr>
      <w:r>
        <w:rPr>
          <w:rFonts w:ascii="Courier New" w:cs="Courier New" w:eastAsia="Courier New" w:hAnsi="Courier New"/>
          <w:sz w:val="18"/>
          <w:szCs w:val="18"/>
          <w:color w:val="auto"/>
        </w:rPr>
        <w:t>Item 5. Market for Registrant's Common Equity and Related</w:t>
      </w:r>
    </w:p>
    <w:p>
      <w:pPr>
        <w:jc w:val="right"/>
        <w:ind w:right="2099"/>
        <w:spacing w:after="0"/>
        <w:tabs>
          <w:tab w:leader="dot" w:pos="200" w:val="left"/>
        </w:tabs>
        <w:rPr>
          <w:sz w:val="20"/>
          <w:szCs w:val="20"/>
          <w:color w:val="auto"/>
        </w:rPr>
      </w:pPr>
      <w:r>
        <w:rPr>
          <w:rFonts w:ascii="Courier New" w:cs="Courier New" w:eastAsia="Courier New" w:hAnsi="Courier New"/>
          <w:sz w:val="18"/>
          <w:szCs w:val="18"/>
          <w:color w:val="auto"/>
        </w:rPr>
        <w:t>Shareholder Matters</w:t>
      </w:r>
      <w:r>
        <w:rPr>
          <w:sz w:val="20"/>
          <w:szCs w:val="20"/>
          <w:color w:val="auto"/>
        </w:rPr>
        <w:tab/>
      </w: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Item 6. Selected Financial Data</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Management's Discussion and Analysis of</w:t>
      </w:r>
    </w:p>
    <w:p>
      <w:pPr>
        <w:jc w:val="right"/>
        <w:ind w:right="2099"/>
        <w:spacing w:after="0" w:line="238" w:lineRule="auto"/>
        <w:tabs>
          <w:tab w:leader="dot" w:pos="200" w:val="left"/>
        </w:tabs>
        <w:rPr>
          <w:sz w:val="20"/>
          <w:szCs w:val="20"/>
          <w:color w:val="auto"/>
        </w:rPr>
      </w:pPr>
      <w:r>
        <w:rPr>
          <w:rFonts w:ascii="Courier New" w:cs="Courier New" w:eastAsia="Courier New" w:hAnsi="Courier New"/>
          <w:sz w:val="18"/>
          <w:szCs w:val="18"/>
          <w:color w:val="auto"/>
        </w:rPr>
        <w:t>Financial Condition and Results of Operations</w:t>
      </w:r>
      <w:r>
        <w:rPr>
          <w:sz w:val="20"/>
          <w:szCs w:val="20"/>
          <w:color w:val="auto"/>
        </w:rPr>
        <w:tab/>
      </w:r>
      <w:r>
        <w:rPr>
          <w:rFonts w:ascii="Courier New" w:cs="Courier New" w:eastAsia="Courier New" w:hAnsi="Courier New"/>
          <w:sz w:val="18"/>
          <w:szCs w:val="18"/>
          <w:color w:val="auto"/>
        </w:rPr>
        <w:t>17</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Item 8. Financial Statements and Supplementary Data</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Changes in and Disagreements with Accountants</w:t>
      </w:r>
    </w:p>
    <w:p>
      <w:pPr>
        <w:jc w:val="right"/>
        <w:ind w:right="2099"/>
        <w:spacing w:after="0" w:line="238" w:lineRule="auto"/>
        <w:tabs>
          <w:tab w:leader="dot" w:pos="200" w:val="left"/>
        </w:tabs>
        <w:rPr>
          <w:sz w:val="20"/>
          <w:szCs w:val="20"/>
          <w:color w:val="auto"/>
        </w:rPr>
      </w:pPr>
      <w:r>
        <w:rPr>
          <w:rFonts w:ascii="Courier New" w:cs="Courier New" w:eastAsia="Courier New" w:hAnsi="Courier New"/>
          <w:sz w:val="18"/>
          <w:szCs w:val="18"/>
          <w:color w:val="auto"/>
        </w:rPr>
        <w:t>on Accounting and Financial Disclosure</w:t>
      </w:r>
      <w:r>
        <w:rPr>
          <w:sz w:val="20"/>
          <w:szCs w:val="20"/>
          <w:color w:val="auto"/>
        </w:rPr>
        <w:tab/>
      </w:r>
      <w:r>
        <w:rPr>
          <w:rFonts w:ascii="Courier New" w:cs="Courier New" w:eastAsia="Courier New" w:hAnsi="Courier New"/>
          <w:sz w:val="18"/>
          <w:szCs w:val="18"/>
          <w:color w:val="auto"/>
        </w:rPr>
        <w:t>17</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information called for by Items 5, 6, 7 and 8, to</w:t>
      </w:r>
    </w:p>
    <w:p>
      <w:pPr>
        <w:ind w:left="860"/>
        <w:spacing w:after="0" w:line="238" w:lineRule="auto"/>
        <w:rPr>
          <w:sz w:val="20"/>
          <w:szCs w:val="20"/>
          <w:color w:val="auto"/>
        </w:rPr>
      </w:pPr>
      <w:r>
        <w:rPr>
          <w:rFonts w:ascii="Courier New" w:cs="Courier New" w:eastAsia="Courier New" w:hAnsi="Courier New"/>
          <w:sz w:val="18"/>
          <w:szCs w:val="18"/>
          <w:color w:val="auto"/>
        </w:rPr>
        <w:t>the extent not included in this document, is</w:t>
      </w:r>
    </w:p>
    <w:p>
      <w:pPr>
        <w:ind w:left="860"/>
        <w:spacing w:after="0"/>
        <w:rPr>
          <w:sz w:val="20"/>
          <w:szCs w:val="20"/>
          <w:color w:val="auto"/>
        </w:rPr>
      </w:pPr>
      <w:r>
        <w:rPr>
          <w:rFonts w:ascii="Courier New" w:cs="Courier New" w:eastAsia="Courier New" w:hAnsi="Courier New"/>
          <w:sz w:val="18"/>
          <w:szCs w:val="18"/>
          <w:color w:val="auto"/>
        </w:rPr>
        <w:t>incorporated herein by reference to the Company's</w:t>
      </w:r>
    </w:p>
    <w:p>
      <w:pPr>
        <w:ind w:left="860"/>
        <w:spacing w:after="0" w:line="237" w:lineRule="auto"/>
        <w:rPr>
          <w:sz w:val="20"/>
          <w:szCs w:val="20"/>
          <w:color w:val="auto"/>
        </w:rPr>
      </w:pPr>
      <w:r>
        <w:rPr>
          <w:rFonts w:ascii="Courier New" w:cs="Courier New" w:eastAsia="Courier New" w:hAnsi="Courier New"/>
          <w:sz w:val="18"/>
          <w:szCs w:val="18"/>
          <w:color w:val="auto"/>
        </w:rPr>
        <w:t>Annual Report to Shareholders for the year ended</w:t>
      </w:r>
    </w:p>
    <w:p>
      <w:pPr>
        <w:ind w:left="860"/>
        <w:spacing w:after="0" w:line="238" w:lineRule="auto"/>
        <w:rPr>
          <w:sz w:val="20"/>
          <w:szCs w:val="20"/>
          <w:color w:val="auto"/>
        </w:rPr>
      </w:pPr>
      <w:r>
        <w:rPr>
          <w:rFonts w:ascii="Courier New" w:cs="Courier New" w:eastAsia="Courier New" w:hAnsi="Courier New"/>
          <w:sz w:val="18"/>
          <w:szCs w:val="18"/>
          <w:color w:val="auto"/>
        </w:rPr>
        <w:t>January 28,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Item 10. Directors and Executive Officers of the Registrant</w:t>
      </w:r>
      <w:r>
        <w:rPr>
          <w:sz w:val="20"/>
          <w:szCs w:val="20"/>
          <w:color w:val="auto"/>
        </w:rPr>
        <w:tab/>
      </w:r>
      <w:r>
        <w:rPr>
          <w:rFonts w:ascii="Courier New" w:cs="Courier New" w:eastAsia="Courier New" w:hAnsi="Courier New"/>
          <w:sz w:val="18"/>
          <w:szCs w:val="18"/>
          <w:color w:val="auto"/>
        </w:rPr>
        <w:t>18</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Item 11. Executive Compensation</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Security Ownership of Certain Beneficial Owners</w:t>
      </w:r>
    </w:p>
    <w:p>
      <w:pPr>
        <w:jc w:val="right"/>
        <w:ind w:right="2099"/>
        <w:spacing w:after="0" w:line="238" w:lineRule="auto"/>
        <w:tabs>
          <w:tab w:leader="dot" w:pos="200" w:val="left"/>
        </w:tabs>
        <w:rPr>
          <w:sz w:val="20"/>
          <w:szCs w:val="20"/>
          <w:color w:val="auto"/>
        </w:rPr>
      </w:pPr>
      <w:r>
        <w:rPr>
          <w:rFonts w:ascii="Courier New" w:cs="Courier New" w:eastAsia="Courier New" w:hAnsi="Courier New"/>
          <w:sz w:val="18"/>
          <w:szCs w:val="18"/>
          <w:color w:val="auto"/>
        </w:rPr>
        <w:t>and Management</w:t>
      </w:r>
      <w:r>
        <w:rPr>
          <w:sz w:val="20"/>
          <w:szCs w:val="20"/>
          <w:color w:val="auto"/>
        </w:rPr>
        <w:tab/>
      </w:r>
      <w:r>
        <w:rPr>
          <w:rFonts w:ascii="Courier New" w:cs="Courier New" w:eastAsia="Courier New" w:hAnsi="Courier New"/>
          <w:sz w:val="18"/>
          <w:szCs w:val="18"/>
          <w:color w:val="auto"/>
        </w:rPr>
        <w:t>18</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Item 13. Certain Relationships and Related Transactions</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information called for by Items 10, 11, 12 and</w:t>
      </w:r>
    </w:p>
    <w:p>
      <w:pPr>
        <w:ind w:left="860"/>
        <w:spacing w:after="0" w:line="238" w:lineRule="auto"/>
        <w:rPr>
          <w:sz w:val="20"/>
          <w:szCs w:val="20"/>
          <w:color w:val="auto"/>
        </w:rPr>
      </w:pPr>
      <w:r>
        <w:rPr>
          <w:rFonts w:ascii="Courier New" w:cs="Courier New" w:eastAsia="Courier New" w:hAnsi="Courier New"/>
          <w:sz w:val="18"/>
          <w:szCs w:val="18"/>
          <w:color w:val="auto"/>
        </w:rPr>
        <w:t>13, to the extent not included in this document, is</w:t>
      </w:r>
    </w:p>
    <w:p>
      <w:pPr>
        <w:ind w:left="860"/>
        <w:spacing w:after="0"/>
        <w:rPr>
          <w:sz w:val="20"/>
          <w:szCs w:val="20"/>
          <w:color w:val="auto"/>
        </w:rPr>
      </w:pPr>
      <w:r>
        <w:rPr>
          <w:rFonts w:ascii="Courier New" w:cs="Courier New" w:eastAsia="Courier New" w:hAnsi="Courier New"/>
          <w:sz w:val="18"/>
          <w:szCs w:val="18"/>
          <w:color w:val="auto"/>
        </w:rPr>
        <w:t>incorporated herein by reference to the Company's</w:t>
      </w:r>
    </w:p>
    <w:p>
      <w:pPr>
        <w:ind w:left="860"/>
        <w:spacing w:after="0" w:line="237" w:lineRule="auto"/>
        <w:rPr>
          <w:sz w:val="20"/>
          <w:szCs w:val="20"/>
          <w:color w:val="auto"/>
        </w:rPr>
      </w:pPr>
      <w:r>
        <w:rPr>
          <w:rFonts w:ascii="Courier New" w:cs="Courier New" w:eastAsia="Courier New" w:hAnsi="Courier New"/>
          <w:sz w:val="18"/>
          <w:szCs w:val="18"/>
          <w:color w:val="auto"/>
        </w:rPr>
        <w:t>definitive proxy statement which is expected to be</w:t>
      </w:r>
    </w:p>
    <w:p>
      <w:pPr>
        <w:ind w:left="860"/>
        <w:spacing w:after="0" w:line="238" w:lineRule="auto"/>
        <w:rPr>
          <w:sz w:val="20"/>
          <w:szCs w:val="20"/>
          <w:color w:val="auto"/>
        </w:rPr>
      </w:pPr>
      <w:r>
        <w:rPr>
          <w:rFonts w:ascii="Courier New" w:cs="Courier New" w:eastAsia="Courier New" w:hAnsi="Courier New"/>
          <w:sz w:val="18"/>
          <w:szCs w:val="18"/>
          <w:color w:val="auto"/>
        </w:rPr>
        <w:t>filed on or about May 10,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w:t>
      </w:r>
    </w:p>
    <w:p>
      <w:pPr>
        <w:spacing w:after="0" w:line="238" w:lineRule="auto"/>
        <w:rPr>
          <w:sz w:val="20"/>
          <w:szCs w:val="20"/>
          <w:color w:val="auto"/>
        </w:rPr>
      </w:pPr>
      <w:r>
        <w:rPr>
          <w:rFonts w:ascii="Courier New" w:cs="Courier New" w:eastAsia="Courier New" w:hAnsi="Courier New"/>
          <w:sz w:val="18"/>
          <w:szCs w:val="18"/>
          <w:color w:val="auto"/>
        </w:rPr>
        <w:t>Item 14. Exhibits, Financial Statement Schedules and Reports</w:t>
      </w:r>
    </w:p>
    <w:p>
      <w:pPr>
        <w:jc w:val="right"/>
        <w:ind w:right="2099"/>
        <w:spacing w:after="0"/>
        <w:tabs>
          <w:tab w:leader="dot" w:pos="200" w:val="left"/>
        </w:tabs>
        <w:rPr>
          <w:sz w:val="20"/>
          <w:szCs w:val="20"/>
          <w:color w:val="auto"/>
        </w:rPr>
      </w:pPr>
      <w:r>
        <w:rPr>
          <w:rFonts w:ascii="Courier New" w:cs="Courier New" w:eastAsia="Courier New" w:hAnsi="Courier New"/>
          <w:sz w:val="18"/>
          <w:szCs w:val="18"/>
          <w:color w:val="auto"/>
        </w:rPr>
        <w:t>on Form 8-K</w:t>
      </w:r>
      <w:r>
        <w:rPr>
          <w:sz w:val="20"/>
          <w:szCs w:val="20"/>
          <w:color w:val="auto"/>
        </w:rPr>
        <w:tab/>
      </w:r>
      <w:r>
        <w:rPr>
          <w:rFonts w:ascii="Courier New" w:cs="Courier New" w:eastAsia="Courier New" w:hAnsi="Courier New"/>
          <w:sz w:val="18"/>
          <w:szCs w:val="18"/>
          <w:color w:val="auto"/>
        </w:rPr>
        <w:t>19</w:t>
      </w:r>
    </w:p>
    <w:p>
      <w:pPr>
        <w:sectPr>
          <w:pgSz w:w="11900" w:h="16838" w:orient="portrait"/>
          <w:cols w:equalWidth="0" w:num="1">
            <w:col w:w="10219"/>
          </w:cols>
          <w:pgMar w:left="240" w:top="514"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The Company is a leading retailer in the United States of apparel and accessories manufactured by Levi Strauss &amp; Co. The Company markets a broad selection of Levi Strauss &amp; Co. products in the Eastern United States through mall-based first quality stores under the names "Designs" and "Designs exclusively Levi's(R)" and outlet stores under the name "Levi's(R) Outlet by Designs." A subsidiary of the Company also operates, as part of a joint venture with a subsidiary of Levi's(R) Only Stores, Inc. ("LOS"), a subsidiary of Levi Strauss &amp; Co., stores under the name "The Original Levi's(R) Store" featuring a more focused selection of men's and women's Levi Strauss &amp; Co. products. Through the end of fiscal 1995, the Company also operated two stores under the name "Dockers(R) Shop" and an Original Levi's(R) Store in Minneapolis, Minnesota. These three stores were sold to LOS on January 28, 1995. The Company does not anticipate participating in the future expansion of stores in the "Dockers(R) Shop" format.</w:t>
      </w:r>
    </w:p>
    <w:p>
      <w:pPr>
        <w:spacing w:after="0" w:line="208"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makes extensive use of Levi Strauss &amp; Co. brand names, trademarks and trade names in its advertising, signs and store displays, and uses the broad recognition of the Levi Strauss &amp; Co. brand name to generate customer demand.</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stores are merchandised to capitalize on the strength of the Levi's(R) and Dockers(R) brand names, and in-store displays reflect the image, attractiveness and quality of Levi Strauss &amp; Co. merchandise. Management believes that the Levi's(R) and Dockers(R) names are two of the most recognized apparel brand names in the United States and that the Levi's(R) brand name is among the most recognized brand names in the world.</w:t>
      </w:r>
    </w:p>
    <w:p>
      <w:pPr>
        <w:spacing w:after="0" w:line="211"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Designs stores are located in enclosed regional shopping malls and offer a broad selection of first quality Levi Strauss &amp; Co. merchandise for the entire family. In November 1994, the Company introduced Timberland(R) brand apparel and accessories, a recognized manufacturer of rugged, durable casual apparel, in certain of the Company's new and remodeled multi-brand format Designs stores. Also in November 1994, in addition to the Timberland(R) product line, the Company introduced a line of private-label merchandise in these same stores.</w:t>
      </w:r>
    </w:p>
    <w:p>
      <w:pPr>
        <w:spacing w:after="0" w:line="212"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Levi's(R) Outlet stores are located in manufacturers outlet parks and destination shopping centers. Levi's(R) Outlet stores sell manufacturing overruns, discontinued lines and irregulars purchased by the Company directly from Levi Strauss &amp; Co., as well as end-of-season merchandise transferred from Designs stores. Levi's(R) Outlet stores have capitalized on the rapid expansion of outlet shopping areas specializing in "value" retailing. To date, each Levi's(R) Outlet store is the only outlet in its shopping area selling exclusively Levi Strauss &amp; Co. products. The Company does not expect to open additional Levi's(R) Outlets during fiscal 1996, with the exception of Levi's(R) Outlets opened by the joint venture as discussed below. See "Expansion Strategy."</w:t>
      </w:r>
    </w:p>
    <w:p>
      <w:pPr>
        <w:spacing w:after="0" w:line="392"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In recent years, Levi Strauss &amp; Co. has broadened its product lines through the addition of the Dockers(R) line of men's, women's and children's casual apparel, as well as expansions of the traditional Levi's(R) brand product lines. Levi Strauss &amp; Co. continues to expand its sales base on the Levi's(R) and Dockers(R) brands. Levi's(R) brand jeans and Dockers(R) brand slacks are the leading market share products in their respective casual apparel classifications.</w:t>
      </w:r>
    </w:p>
    <w:p>
      <w:pPr>
        <w:spacing w:after="0" w:line="211"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By featuring a wide array of these products, the Company's Designs and Levi's(R) Outlet stores appeal to all age groups and serve as convenient places to shop for the entire family.</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Through the end of fiscal year 1995, the Company operated two formats for its Concept stores, the "Dockers(R) Shop" and "The Original Levi's(R) Store". The Company's two "Dockers(R) Shop" stores, which</w:t>
      </w:r>
    </w:p>
    <w:p>
      <w:pPr>
        <w:spacing w:after="0" w:line="6"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were located in malls in Minneapolis, Minnesota and Cambridge, Massachusetts, featured men's and women's Dockers(R) brand apparel and accessories in a classic, relaxed setting with traditional decor. On January 28, 1995 the Company sold these two Dockers(R) Shops and an Original Levi's(R) Store located in Minneapolis, Minnesota to LOS.</w:t>
      </w:r>
    </w:p>
    <w:p>
      <w:pPr>
        <w:spacing w:after="0" w:line="185"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"The Original Levi's(R) Store" format is designed to appeal to young men and women with an exciting, upscale setting that features</w:t>
      </w:r>
    </w:p>
    <w:p>
      <w:pPr>
        <w:sectPr>
          <w:pgSz w:w="11900" w:h="16838" w:orient="portrait"/>
          <w:cols w:equalWidth="0" w:num="1">
            <w:col w:w="10219"/>
          </w:cols>
          <w:pgMar w:left="240" w:top="514" w:right="1440" w:bottom="0" w:gutter="0" w:footer="0" w:header="0"/>
        </w:sectPr>
      </w:pPr>
    </w:p>
    <w:bookmarkStart w:id="4" w:name="page5"/>
    <w:bookmarkEnd w:id="4"/>
    <w:p>
      <w:pPr>
        <w:ind w:right="2419"/>
        <w:spacing w:after="0" w:line="237" w:lineRule="auto"/>
        <w:rPr>
          <w:sz w:val="20"/>
          <w:szCs w:val="20"/>
          <w:color w:val="auto"/>
        </w:rPr>
      </w:pPr>
      <w:r>
        <w:rPr>
          <w:rFonts w:ascii="Courier New" w:cs="Courier New" w:eastAsia="Courier New" w:hAnsi="Courier New"/>
          <w:sz w:val="18"/>
          <w:szCs w:val="18"/>
          <w:color w:val="auto"/>
        </w:rPr>
        <w:t>hardwood floors, custom wood fixtures and a multi-screen "video wall" displaying Levi Strauss &amp; Co. advertisements and popular music videos. This format focuses on men's and women's Levi's(R) brand products consisting of core traditional styles such as five pocket and 501TM jeans, denim jackets, contemporary silverTabTM, Levi's(R) Europe and the new 560TM Loose fitting jeans, and shirts and sweats that complement the extensive bottoms line for which Levi Strauss &amp; Co. is known. During fiscal 1995, the Company also introduced Levi's(R) Personal PairTM individually fitted jeans for women in two of "The Original Levi's(R) Stores." "The Original Levi's(R) Stores" are located in enclosed regional shopping malls and in urban locations.</w:t>
      </w:r>
    </w:p>
    <w:p>
      <w:pPr>
        <w:spacing w:after="0" w:line="216"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Management believes that the Company competes effectively with other apparel retailers by offering superior selection, quality merchandise, knowledgeable in-store service and competitive price points. The Company stresses product training with its sales staff and, with the assistance of Levi Strauss &amp; Co. and The Timberland Company personnel and materials, provides its sales personnel with substantial product knowledge training across the Levi's(R), Dockers(R) and Timberland(R) product lines.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and Development</w:t>
      </w:r>
    </w:p>
    <w:p>
      <w:pPr>
        <w:spacing w:after="0" w:line="207"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Since its inception in 1976, the Company has grown through the addition of new stores and the modification of its retail formats.</w:t>
      </w:r>
    </w:p>
    <w:p>
      <w:pPr>
        <w:spacing w:after="0" w:line="170"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Since June 1987, the Company has increased the number of Designs stores in operation from 28 to 51. In addition, as the Levi Strauss &amp; Co. product lines have diversified, the merchandise mix and visual merchandising appeal of Designs stores have evolved. For example, the Company has increased the volume of Dockers(R) products in its merchandise mix as the Dockers(R) line of apparel has increased in popularity. Similarly, in 1991 Levi Strauss &amp; Co. began to expand its tops line, making it easier for the Company to sell top and bottom coordinating outfits. Sales of coordinates have increased the Company's unit sales and, in turn, its profitability, as tops are traditionally sold at higher gross margins than bottoms. Furthermore, in fiscal 1995, the Company introduced in certain of its Designs stores Timberland(R) brand apparel, outerwear and footwear as well as private-label apparel to complement the continued growth of the Levi's(R) and Dockers(R) brand product lines. The Company expects the new multi-brand format to provide a broader, enhanced merchandise selection to its customers.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opened its first "Original Levi's(R) Store" on</w:t>
      </w:r>
    </w:p>
    <w:p>
      <w:pPr>
        <w:spacing w:after="0" w:line="238" w:lineRule="auto"/>
        <w:rPr>
          <w:sz w:val="20"/>
          <w:szCs w:val="20"/>
          <w:color w:val="auto"/>
        </w:rPr>
      </w:pPr>
      <w:r>
        <w:rPr>
          <w:rFonts w:ascii="Courier New" w:cs="Courier New" w:eastAsia="Courier New" w:hAnsi="Courier New"/>
          <w:sz w:val="18"/>
          <w:szCs w:val="18"/>
          <w:color w:val="auto"/>
        </w:rPr>
        <w:t>August 2, 1992 as a conversion of an existing Designs store in Orlando,</w:t>
      </w:r>
    </w:p>
    <w:p>
      <w:pPr>
        <w:spacing w:after="0"/>
        <w:rPr>
          <w:sz w:val="20"/>
          <w:szCs w:val="20"/>
          <w:color w:val="auto"/>
        </w:rPr>
      </w:pPr>
      <w:r>
        <w:rPr>
          <w:rFonts w:ascii="Courier New" w:cs="Courier New" w:eastAsia="Courier New" w:hAnsi="Courier New"/>
          <w:sz w:val="18"/>
          <w:szCs w:val="18"/>
          <w:color w:val="auto"/>
        </w:rPr>
        <w:t>Florida. Since that time, through the end of fiscal year 1995, the Company</w:t>
      </w:r>
    </w:p>
    <w:p>
      <w:pPr>
        <w:spacing w:after="0" w:line="237" w:lineRule="auto"/>
        <w:rPr>
          <w:sz w:val="20"/>
          <w:szCs w:val="20"/>
          <w:color w:val="auto"/>
        </w:rPr>
      </w:pPr>
      <w:r>
        <w:rPr>
          <w:rFonts w:ascii="Courier New" w:cs="Courier New" w:eastAsia="Courier New" w:hAnsi="Courier New"/>
          <w:sz w:val="18"/>
          <w:szCs w:val="18"/>
          <w:color w:val="auto"/>
        </w:rPr>
        <w:t>had opened eight "Original Levi's(R) Stores" which were contributed to a</w:t>
      </w:r>
    </w:p>
    <w:p>
      <w:pPr>
        <w:spacing w:after="0" w:line="238" w:lineRule="auto"/>
        <w:rPr>
          <w:sz w:val="20"/>
          <w:szCs w:val="20"/>
          <w:color w:val="auto"/>
        </w:rPr>
      </w:pPr>
      <w:r>
        <w:rPr>
          <w:rFonts w:ascii="Courier New" w:cs="Courier New" w:eastAsia="Courier New" w:hAnsi="Courier New"/>
          <w:sz w:val="18"/>
          <w:szCs w:val="18"/>
          <w:color w:val="auto"/>
        </w:rPr>
        <w:t>joint venture between subsidiaries of the Company and Levi's Only Stores,</w:t>
      </w:r>
    </w:p>
    <w:p>
      <w:pPr>
        <w:spacing w:after="0"/>
        <w:tabs>
          <w:tab w:leader="none" w:pos="620" w:val="left"/>
        </w:tabs>
        <w:rPr>
          <w:sz w:val="20"/>
          <w:szCs w:val="20"/>
          <w:color w:val="auto"/>
        </w:rPr>
      </w:pPr>
      <w:r>
        <w:rPr>
          <w:rFonts w:ascii="Courier New" w:cs="Courier New" w:eastAsia="Courier New" w:hAnsi="Courier New"/>
          <w:sz w:val="18"/>
          <w:szCs w:val="18"/>
          <w:color w:val="auto"/>
        </w:rPr>
        <w:t>Inc.</w:t>
      </w:r>
      <w:r>
        <w:rPr>
          <w:sz w:val="20"/>
          <w:szCs w:val="20"/>
          <w:color w:val="auto"/>
        </w:rPr>
        <w:tab/>
      </w:r>
      <w:r>
        <w:rPr>
          <w:rFonts w:ascii="Courier New" w:cs="Courier New" w:eastAsia="Courier New" w:hAnsi="Courier New"/>
          <w:sz w:val="16"/>
          <w:szCs w:val="16"/>
          <w:color w:val="auto"/>
        </w:rPr>
        <w:t>Since year end the joint venture has opened two additional "Original</w:t>
      </w:r>
    </w:p>
    <w:p>
      <w:pPr>
        <w:spacing w:after="0" w:line="237" w:lineRule="auto"/>
        <w:rPr>
          <w:sz w:val="20"/>
          <w:szCs w:val="20"/>
          <w:color w:val="auto"/>
        </w:rPr>
      </w:pPr>
      <w:r>
        <w:rPr>
          <w:rFonts w:ascii="Courier New" w:cs="Courier New" w:eastAsia="Courier New" w:hAnsi="Courier New"/>
          <w:sz w:val="18"/>
          <w:szCs w:val="18"/>
          <w:color w:val="auto"/>
        </w:rPr>
        <w:t>Levi's(R) Stores" and intends to further expand the number of stores as</w:t>
      </w:r>
    </w:p>
    <w:p>
      <w:pPr>
        <w:spacing w:after="0"/>
        <w:rPr>
          <w:sz w:val="20"/>
          <w:szCs w:val="20"/>
          <w:color w:val="auto"/>
        </w:rPr>
      </w:pPr>
      <w:r>
        <w:rPr>
          <w:rFonts w:ascii="Courier New" w:cs="Courier New" w:eastAsia="Courier New" w:hAnsi="Courier New"/>
          <w:sz w:val="18"/>
          <w:szCs w:val="18"/>
          <w:color w:val="auto"/>
        </w:rPr>
        <w:t>discussed below. See "Expansion Strategy."</w:t>
      </w:r>
    </w:p>
    <w:p>
      <w:pPr>
        <w:spacing w:after="0" w:line="206"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In 1986, the Company opened its first Levi's(R) Outlet store in the Potomac Mills Outlet Center near Washington, D.C. Based on the success of this store, the Company decided to expand the outlet format and currently operates 61 Levi's(R) Outlet stores. The expansion of the Levi's(R) Outlet store format has increased the volume of merchandise purchased by the Company from Levi Strauss &amp; Co., expanded the Company's geographic base beyond areas served by regional malls, and broadened the demographic profile of the Company's customers to include "value" shoppers and foreign and domestic tourists. The Levi's(R) Outlet store format also has given the Company the ability to transfer merchandise at the end of every season from Designs and Concept stores to Outlet stores. Levi Strauss &amp; Co. has informed the Company that LOS plans to open Levi's(R) Outlets and Dockers(R) Outlets in the upcoming year. These stores are not expected to be in outlet centers serviced by the Company although there can no assurances with respect to this.</w:t>
      </w:r>
    </w:p>
    <w:p>
      <w:pPr>
        <w:spacing w:after="0" w:line="20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Over the past few years, management has instituted an operating plan designed to enhance the performance of the Company by focusing on individual store profitability. For example, under this operating plan the Company has analyzed its unit inventory by using improved inventory controls, which has allowed regional and store-by store, style-by-style merchandise planning thereby improving customer service and visual merchandising in its stores. In addition, the Company monitors sales trends of each of the Levi Strauss &amp; Co. products it sells, allowing management to better assess promotional and end-of-season merchandise buying opportunities and determine target quantities and prices for promotional purchases.</w:t>
      </w:r>
    </w:p>
    <w:p>
      <w:pPr>
        <w:spacing w:after="0" w:line="216"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In addition to enhancing controls over inventories, in fiscal 1994, the Company developed a new look for its Designs stores featuring updated</w:t>
      </w:r>
    </w:p>
    <w:p>
      <w:pPr>
        <w:sectPr>
          <w:pgSz w:w="11900" w:h="16838" w:orient="portrait"/>
          <w:cols w:equalWidth="0" w:num="1">
            <w:col w:w="10219"/>
          </w:cols>
          <w:pgMar w:left="240" w:top="142" w:right="1440" w:bottom="0" w:gutter="0" w:footer="0" w:header="0"/>
        </w:sectPr>
      </w:pPr>
    </w:p>
    <w:bookmarkStart w:id="5" w:name="page6"/>
    <w:bookmarkEnd w:id="5"/>
    <w:p>
      <w:pPr>
        <w:ind w:right="2319"/>
        <w:spacing w:after="0" w:line="237" w:lineRule="auto"/>
        <w:rPr>
          <w:sz w:val="20"/>
          <w:szCs w:val="20"/>
          <w:color w:val="auto"/>
        </w:rPr>
      </w:pPr>
      <w:r>
        <w:rPr>
          <w:rFonts w:ascii="Courier New" w:cs="Courier New" w:eastAsia="Courier New" w:hAnsi="Courier New"/>
          <w:sz w:val="18"/>
          <w:szCs w:val="18"/>
          <w:color w:val="auto"/>
        </w:rPr>
        <w:t>fixtures and merchandise presentation. The Company remodeled three Designs stores in fiscal 1994, three additional stores in fiscal 1995 and intends to remodel at least 10 more Designs stores in fiscal 1996. The Company also plans, barring unforeseen circumstances, to open up to five urban-based multi-brand Designs stores in fiscal 1996. Until now, Designs stores have been mall-based. By opening Designs stores in urban locations, the Company expects to soften the impact of price competition that is prevalent in the mall-based stores.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Expansion Strategy</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following table provides a summary of the number of stores in operation at year end for the past three fiscal years. Levi Strauss &amp; Co. must approve all new store locations.</w:t>
      </w:r>
    </w:p>
    <w:p>
      <w:pPr>
        <w:spacing w:after="0" w:line="203" w:lineRule="exact"/>
        <w:rPr>
          <w:sz w:val="20"/>
          <w:szCs w:val="20"/>
          <w:color w:val="auto"/>
        </w:rPr>
      </w:pPr>
    </w:p>
    <w:p>
      <w:pPr>
        <w:ind w:left="2960"/>
        <w:spacing w:after="0"/>
        <w:tabs>
          <w:tab w:leader="none" w:pos="4420" w:val="left"/>
        </w:tabs>
        <w:rPr>
          <w:sz w:val="20"/>
          <w:szCs w:val="20"/>
          <w:color w:val="auto"/>
        </w:rPr>
      </w:pPr>
      <w:r>
        <w:rPr>
          <w:rFonts w:ascii="Courier New" w:cs="Courier New" w:eastAsia="Courier New" w:hAnsi="Courier New"/>
          <w:sz w:val="18"/>
          <w:szCs w:val="18"/>
          <w:color w:val="auto"/>
        </w:rPr>
        <w:t>January 28,</w:t>
      </w:r>
      <w:r>
        <w:rPr>
          <w:sz w:val="20"/>
          <w:szCs w:val="20"/>
          <w:color w:val="auto"/>
        </w:rPr>
        <w:tab/>
      </w:r>
      <w:r>
        <w:rPr>
          <w:rFonts w:ascii="Courier New" w:cs="Courier New" w:eastAsia="Courier New" w:hAnsi="Courier New"/>
          <w:sz w:val="16"/>
          <w:szCs w:val="16"/>
          <w:color w:val="auto"/>
        </w:rPr>
        <w:t>January 29, January 30,</w:t>
      </w: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1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160" w:type="dxa"/>
            <w:vAlign w:val="bottom"/>
          </w:tcPr>
          <w:p>
            <w:pPr>
              <w:spacing w:after="0"/>
              <w:rPr>
                <w:sz w:val="20"/>
                <w:szCs w:val="20"/>
                <w:color w:val="auto"/>
              </w:rPr>
            </w:pPr>
            <w:r>
              <w:rPr>
                <w:rFonts w:ascii="Courier New" w:cs="Courier New" w:eastAsia="Courier New" w:hAnsi="Courier New"/>
                <w:sz w:val="18"/>
                <w:szCs w:val="18"/>
                <w:color w:val="auto"/>
              </w:rPr>
              <w:t>Designs</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51(1)</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64</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Levi's(R) Outlet by Designs</w:t>
            </w: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61</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Original Levi's(R) Stores</w:t>
            </w: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Dockers(R) Shops</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1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120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120</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w:t>
            </w:r>
          </w:p>
        </w:tc>
      </w:tr>
      <w:tr>
        <w:trPr>
          <w:trHeight w:val="203"/>
        </w:trPr>
        <w:tc>
          <w:tcPr>
            <w:tcW w:w="31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420" w:right="251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fiscal year 1995, the Company closed fifteen Designs stores as part of the restructuring program.</w:t>
      </w:r>
    </w:p>
    <w:p>
      <w:pPr>
        <w:spacing w:after="0" w:line="208" w:lineRule="exact"/>
        <w:rPr>
          <w:rFonts w:ascii="Courier New" w:cs="Courier New" w:eastAsia="Courier New" w:hAnsi="Courier New"/>
          <w:sz w:val="18"/>
          <w:szCs w:val="18"/>
          <w:color w:val="auto"/>
        </w:rPr>
      </w:pPr>
    </w:p>
    <w:p>
      <w:pPr>
        <w:jc w:val="both"/>
        <w:ind w:left="420" w:right="1999" w:hanging="412"/>
        <w:spacing w:after="0" w:line="290"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sold and an "Original Levi's(R) Store" located in Minneapolis, Minnesota and the two "Dockers(R) Shop" stores to LOS on January 28, 1995.</w:t>
      </w:r>
    </w:p>
    <w:p>
      <w:pPr>
        <w:spacing w:after="0" w:line="170"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Management currently plans to continue its focus on individual store operations and profitability. In August 1991, Levi Strauss &amp; Co. opened a pilot Dockers(R) store under the name "Dockers(R) Shop" and a pilot Jeanswear store under the name "The Original Levi's(R) Store" in Columbus, Ohio. In March 1992, the Company assigned the lease for its Cincinnati, Ohio Designs store to Levi Strauss &amp; Co. for a three-year period as part of the testing of the Concept store format by Levi Strauss &amp; Co.</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January 28, 1995, Designs JV Corp., a wholly-owned subsidiary of</w:t>
      </w:r>
    </w:p>
    <w:p>
      <w:pPr>
        <w:spacing w:after="0" w:line="238" w:lineRule="auto"/>
        <w:rPr>
          <w:sz w:val="20"/>
          <w:szCs w:val="20"/>
          <w:color w:val="auto"/>
        </w:rPr>
      </w:pPr>
      <w:r>
        <w:rPr>
          <w:rFonts w:ascii="Courier New" w:cs="Courier New" w:eastAsia="Courier New" w:hAnsi="Courier New"/>
          <w:sz w:val="18"/>
          <w:szCs w:val="18"/>
          <w:color w:val="auto"/>
        </w:rPr>
        <w:t>the Company, and a subsidiary of LOS, entered into a joint venture agreement</w:t>
      </w:r>
    </w:p>
    <w:p>
      <w:pPr>
        <w:spacing w:after="0"/>
        <w:rPr>
          <w:sz w:val="20"/>
          <w:szCs w:val="20"/>
          <w:color w:val="auto"/>
        </w:rPr>
      </w:pPr>
      <w:r>
        <w:rPr>
          <w:rFonts w:ascii="Courier New" w:cs="Courier New" w:eastAsia="Courier New" w:hAnsi="Courier New"/>
          <w:sz w:val="18"/>
          <w:szCs w:val="18"/>
          <w:color w:val="auto"/>
        </w:rPr>
        <w:t>to sell Levi's(R) brand products and jeans-related products. The joint</w:t>
      </w:r>
    </w:p>
    <w:p>
      <w:pPr>
        <w:spacing w:after="0" w:line="237" w:lineRule="auto"/>
        <w:rPr>
          <w:sz w:val="20"/>
          <w:szCs w:val="20"/>
          <w:color w:val="auto"/>
        </w:rPr>
      </w:pPr>
      <w:r>
        <w:rPr>
          <w:rFonts w:ascii="Courier New" w:cs="Courier New" w:eastAsia="Courier New" w:hAnsi="Courier New"/>
          <w:sz w:val="18"/>
          <w:szCs w:val="18"/>
          <w:color w:val="auto"/>
        </w:rPr>
        <w:t>venture plans to open and operate up to 35 to 50 Original Levi's(R) Stores</w:t>
      </w:r>
    </w:p>
    <w:p>
      <w:pPr>
        <w:spacing w:after="0" w:line="238" w:lineRule="auto"/>
        <w:rPr>
          <w:sz w:val="20"/>
          <w:szCs w:val="20"/>
          <w:color w:val="auto"/>
        </w:rPr>
      </w:pPr>
      <w:r>
        <w:rPr>
          <w:rFonts w:ascii="Courier New" w:cs="Courier New" w:eastAsia="Courier New" w:hAnsi="Courier New"/>
          <w:sz w:val="18"/>
          <w:szCs w:val="18"/>
          <w:color w:val="auto"/>
        </w:rPr>
        <w:t>and Levi's(R) Outlets throughout 11 Northeast states and the District of</w:t>
      </w:r>
    </w:p>
    <w:p>
      <w:pPr>
        <w:spacing w:after="0"/>
        <w:rPr>
          <w:sz w:val="20"/>
          <w:szCs w:val="20"/>
          <w:color w:val="auto"/>
        </w:rPr>
      </w:pPr>
      <w:r>
        <w:rPr>
          <w:rFonts w:ascii="Courier New" w:cs="Courier New" w:eastAsia="Courier New" w:hAnsi="Courier New"/>
          <w:sz w:val="18"/>
          <w:szCs w:val="18"/>
          <w:color w:val="auto"/>
        </w:rPr>
        <w:t>Columbia over the next three to five years. Levi's(R) Outlet stores opened</w:t>
      </w:r>
    </w:p>
    <w:p>
      <w:pPr>
        <w:spacing w:after="0" w:line="237" w:lineRule="auto"/>
        <w:rPr>
          <w:sz w:val="20"/>
          <w:szCs w:val="20"/>
          <w:color w:val="auto"/>
        </w:rPr>
      </w:pPr>
      <w:r>
        <w:rPr>
          <w:rFonts w:ascii="Courier New" w:cs="Courier New" w:eastAsia="Courier New" w:hAnsi="Courier New"/>
          <w:sz w:val="18"/>
          <w:szCs w:val="18"/>
          <w:color w:val="auto"/>
        </w:rPr>
        <w:t>under the joint venture will sell only Levi's(R) brand products and service</w:t>
      </w:r>
    </w:p>
    <w:p>
      <w:pPr>
        <w:spacing w:after="0"/>
        <w:rPr>
          <w:sz w:val="20"/>
          <w:szCs w:val="20"/>
          <w:color w:val="auto"/>
        </w:rPr>
      </w:pPr>
      <w:r>
        <w:rPr>
          <w:rFonts w:ascii="Courier New" w:cs="Courier New" w:eastAsia="Courier New" w:hAnsi="Courier New"/>
          <w:sz w:val="18"/>
          <w:szCs w:val="18"/>
          <w:color w:val="auto"/>
        </w:rPr>
        <w:t>the close-out products of the Original Levi's(R) Stores.</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the joint venture, Designs JV Corp. contributed,</w:t>
      </w:r>
    </w:p>
    <w:p>
      <w:pPr>
        <w:spacing w:after="0" w:line="238" w:lineRule="auto"/>
        <w:rPr>
          <w:sz w:val="20"/>
          <w:szCs w:val="20"/>
          <w:color w:val="auto"/>
        </w:rPr>
      </w:pPr>
      <w:r>
        <w:rPr>
          <w:rFonts w:ascii="Courier New" w:cs="Courier New" w:eastAsia="Courier New" w:hAnsi="Courier New"/>
          <w:sz w:val="18"/>
          <w:szCs w:val="18"/>
          <w:color w:val="auto"/>
        </w:rPr>
        <w:t>for a 70% interest in the joint venture, eight of the Company's existing</w:t>
      </w:r>
    </w:p>
    <w:p>
      <w:pPr>
        <w:spacing w:after="0"/>
        <w:rPr>
          <w:sz w:val="20"/>
          <w:szCs w:val="20"/>
          <w:color w:val="auto"/>
        </w:rPr>
      </w:pPr>
      <w:r>
        <w:rPr>
          <w:rFonts w:ascii="Courier New" w:cs="Courier New" w:eastAsia="Courier New" w:hAnsi="Courier New"/>
          <w:sz w:val="18"/>
          <w:szCs w:val="18"/>
          <w:color w:val="auto"/>
        </w:rPr>
        <w:t>Original Levi's(R) Stores valued at $11.1 million and three leases for</w:t>
      </w:r>
    </w:p>
    <w:p>
      <w:pPr>
        <w:spacing w:after="0" w:line="237" w:lineRule="auto"/>
        <w:rPr>
          <w:sz w:val="20"/>
          <w:szCs w:val="20"/>
          <w:color w:val="auto"/>
        </w:rPr>
      </w:pPr>
      <w:r>
        <w:rPr>
          <w:rFonts w:ascii="Courier New" w:cs="Courier New" w:eastAsia="Courier New" w:hAnsi="Courier New"/>
          <w:sz w:val="18"/>
          <w:szCs w:val="18"/>
          <w:color w:val="auto"/>
        </w:rPr>
        <w:t>unopened stores in New York City, Nanuet, New York and White Plains, New</w:t>
      </w:r>
    </w:p>
    <w:p>
      <w:pPr>
        <w:spacing w:after="0" w:line="238" w:lineRule="auto"/>
        <w:rPr>
          <w:sz w:val="20"/>
          <w:szCs w:val="20"/>
          <w:color w:val="auto"/>
        </w:rPr>
      </w:pPr>
      <w:r>
        <w:rPr>
          <w:rFonts w:ascii="Courier New" w:cs="Courier New" w:eastAsia="Courier New" w:hAnsi="Courier New"/>
          <w:sz w:val="18"/>
          <w:szCs w:val="18"/>
          <w:color w:val="auto"/>
        </w:rPr>
        <w:t>York. These stores are included in the planned 35 to 50 described above.</w:t>
      </w:r>
    </w:p>
    <w:p>
      <w:pPr>
        <w:spacing w:after="0"/>
        <w:rPr>
          <w:sz w:val="20"/>
          <w:szCs w:val="20"/>
          <w:color w:val="auto"/>
        </w:rPr>
      </w:pPr>
      <w:r>
        <w:rPr>
          <w:rFonts w:ascii="Courier New" w:cs="Courier New" w:eastAsia="Courier New" w:hAnsi="Courier New"/>
          <w:sz w:val="18"/>
          <w:szCs w:val="18"/>
          <w:color w:val="auto"/>
        </w:rPr>
        <w:t>At the same time, the joint venture subsidiary of LOS contributed</w:t>
      </w:r>
    </w:p>
    <w:p>
      <w:pPr>
        <w:spacing w:after="0" w:line="237" w:lineRule="auto"/>
        <w:rPr>
          <w:sz w:val="20"/>
          <w:szCs w:val="20"/>
          <w:color w:val="auto"/>
        </w:rPr>
      </w:pPr>
      <w:r>
        <w:rPr>
          <w:rFonts w:ascii="Courier New" w:cs="Courier New" w:eastAsia="Courier New" w:hAnsi="Courier New"/>
          <w:sz w:val="18"/>
          <w:szCs w:val="18"/>
          <w:color w:val="auto"/>
        </w:rPr>
        <w:t>approximately $4.7 million in cash to the joint venture in exchange for a</w:t>
      </w:r>
    </w:p>
    <w:p>
      <w:pPr>
        <w:spacing w:after="0"/>
        <w:rPr>
          <w:sz w:val="20"/>
          <w:szCs w:val="20"/>
          <w:color w:val="auto"/>
        </w:rPr>
      </w:pPr>
      <w:r>
        <w:rPr>
          <w:rFonts w:ascii="Courier New" w:cs="Courier New" w:eastAsia="Courier New" w:hAnsi="Courier New"/>
          <w:sz w:val="18"/>
          <w:szCs w:val="18"/>
          <w:color w:val="auto"/>
        </w:rPr>
        <w:t>30% interest. LOS also paid the Company $875,000 for services, contributions</w:t>
      </w:r>
    </w:p>
    <w:p>
      <w:pPr>
        <w:spacing w:after="0" w:line="237" w:lineRule="auto"/>
        <w:rPr>
          <w:sz w:val="20"/>
          <w:szCs w:val="20"/>
          <w:color w:val="auto"/>
        </w:rPr>
      </w:pPr>
      <w:r>
        <w:rPr>
          <w:rFonts w:ascii="Courier New" w:cs="Courier New" w:eastAsia="Courier New" w:hAnsi="Courier New"/>
          <w:sz w:val="18"/>
          <w:szCs w:val="18"/>
          <w:color w:val="auto"/>
        </w:rPr>
        <w:t>and risks taken by the Company in establishing the transferred Original</w:t>
      </w:r>
    </w:p>
    <w:p>
      <w:pPr>
        <w:spacing w:after="0"/>
        <w:rPr>
          <w:sz w:val="20"/>
          <w:szCs w:val="20"/>
          <w:color w:val="auto"/>
        </w:rPr>
      </w:pPr>
      <w:r>
        <w:rPr>
          <w:rFonts w:ascii="Courier New" w:cs="Courier New" w:eastAsia="Courier New" w:hAnsi="Courier New"/>
          <w:sz w:val="18"/>
          <w:szCs w:val="18"/>
          <w:color w:val="auto"/>
        </w:rPr>
        <w:t>Levi's(R) Stores and in the development of the Original Levi's(R) Store</w:t>
      </w:r>
    </w:p>
    <w:p>
      <w:pPr>
        <w:spacing w:after="0" w:line="237" w:lineRule="auto"/>
        <w:rPr>
          <w:sz w:val="20"/>
          <w:szCs w:val="20"/>
          <w:color w:val="auto"/>
        </w:rPr>
      </w:pPr>
      <w:r>
        <w:rPr>
          <w:rFonts w:ascii="Courier New" w:cs="Courier New" w:eastAsia="Courier New" w:hAnsi="Courier New"/>
          <w:sz w:val="18"/>
          <w:szCs w:val="18"/>
          <w:color w:val="auto"/>
        </w:rPr>
        <w:t>concept in the United States. A substantial portion of this amount offset</w:t>
      </w:r>
    </w:p>
    <w:p>
      <w:pPr>
        <w:spacing w:after="0" w:line="238" w:lineRule="auto"/>
        <w:rPr>
          <w:sz w:val="20"/>
          <w:szCs w:val="20"/>
          <w:color w:val="auto"/>
        </w:rPr>
      </w:pPr>
      <w:r>
        <w:rPr>
          <w:rFonts w:ascii="Courier New" w:cs="Courier New" w:eastAsia="Courier New" w:hAnsi="Courier New"/>
          <w:sz w:val="18"/>
          <w:szCs w:val="18"/>
          <w:color w:val="auto"/>
        </w:rPr>
        <w:t>previously recognized costs which were incurred by the Company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1995. The Company's Original Levi's(R) Store in Orlando, Florida,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is not part of the joint venture, is being converted to the multi-brand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store format.</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term of the joint venture is 10 years. However, the partnership agreement contains certain exit rights that enable either partner to buy or sell their interest in the joint venture or particular stores in the joint venture after five years.</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In June 1994, Levi Strauss &amp; Co. advised the Company that it did not see any additional growth in the Levi's(R) Outlet by Designs format, other than additional Outlet stores that might be part of the Original Levi's(R) Stores joint venture, as discussed above. The Company stocks its existing Levi's(R) Outlet stores exclusively with manufacturing overruns, discontinued lines and irregulars purchased by the Company directly from Levi Strauss &amp; Co. and end-of-season merchandise transferred from Designs and Concept stores. By its</w:t>
      </w:r>
    </w:p>
    <w:p>
      <w:pPr>
        <w:sectPr>
          <w:pgSz w:w="11900" w:h="16838" w:orient="portrait"/>
          <w:cols w:equalWidth="0" w:num="1">
            <w:col w:w="10219"/>
          </w:cols>
          <w:pgMar w:left="240" w:top="142" w:right="1440" w:bottom="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nature, this merchandise is subject to limited availability. Levi Strauss &amp; Co. has informed the Company of their intention to open Levi's(R) Outlets and Dockers(R) Outlets through their LOS subsidiary in the upcoming year. LOS has informed the Company that it does not presently intend to open these outlets in centers serviced by one of the Company's existing Levi's(R) Outlet stores. Wholly-owned Levi's(R) Outlets and joint venture Levi's(R) Outlet locations, are expected to be the only authorized retail outlet locations in their respective outlet centers to sell Levi's(R) brand products.</w:t>
      </w:r>
    </w:p>
    <w:p>
      <w:pPr>
        <w:spacing w:after="0" w:line="212"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In addition, the Company is actively seeking to expand and diversify through the introduction of a private-label program. During fiscal year 1995, the Company introduced Timberland(R) brand apparel and a line of private-label merchandise under the name "EFD-Exclusively for Designs". On April 25, 1995, the Company announced the signing of a purchase and sale agreement to acquire, subject to the satisfaction of certain conditions and barring unforeseen circumstances, certain assets of Boston Trading Ltd., Inc. The assets to be acquired include the Boston Traders(R) brands and all inventory, fixed assets and leasehold improvements associated with 33 existing Boston Traders(R) outlet stores. Boston Trading Ltd., Inc. has established a strong quality image, primarily through the wholesale and retail sales of sweaters and tops for both men and women. The strengths of the Boston Traders(R) brand product line provides the Company with access to a broad assortment of tops that integrate the Boston Traders(R) brand into all Designs stores. This addition is expected to impact sales and margins positively in the Designs stores. There can be no assurances that the Company will be able to complete the transaction nor, if the transaction is completed, that the introduction and integration of the stores, brand and inventory will be successful.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During the fourth quarter of fiscal 1994, the Company recorded a non-recurring pre-tax charge of $15 million to cover the expected costs to close up to 10 of the Company's poorest performing Designs stores. As a result of this, the Company established a $15 million restructuring reserve to cover the cash costs of lease obligations, professional and consulting services and employee relocations and termination costs and noncash costs related to fixed asset disposals and inventory markdowns. The Company completed the closing of the ten Designs stores in the third quarter and in connection with the Company's ongoing review of Designs store performance, in November 1994, the Company decided to close up to five more of the poorest performing Designs stores during the remainder of fiscal 1995.</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total cost to close these 15 stores was $11.8 million which was less than the originally estimated $15 million due to favorable landlord negotiations. The Company recorded the $3.2 million change in estimate as income in the fourth quarter of fiscal 1995. In the first quarter of fiscal 1996, The Company recognized $2.2 million in income related to the results of subsequent negotiations in connection with termination of certain leases.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Base</w:t>
      </w:r>
    </w:p>
    <w:p>
      <w:pPr>
        <w:spacing w:after="0" w:line="207" w:lineRule="exact"/>
        <w:rPr>
          <w:sz w:val="20"/>
          <w:szCs w:val="20"/>
          <w:color w:val="auto"/>
        </w:rPr>
      </w:pPr>
    </w:p>
    <w:p>
      <w:pPr>
        <w:ind w:right="2519" w:firstLine="527"/>
        <w:spacing w:after="0" w:line="271" w:lineRule="auto"/>
        <w:rPr>
          <w:sz w:val="20"/>
          <w:szCs w:val="20"/>
          <w:color w:val="auto"/>
        </w:rPr>
      </w:pPr>
      <w:r>
        <w:rPr>
          <w:rFonts w:ascii="Courier New" w:cs="Courier New" w:eastAsia="Courier New" w:hAnsi="Courier New"/>
          <w:sz w:val="16"/>
          <w:szCs w:val="16"/>
          <w:color w:val="auto"/>
        </w:rPr>
        <w:t>During fiscal 1995, the Company commissioned market research surveys to further explore and define a demographic profile of its customer base. The results confirm that the strong association with the Levi's(R) brand image has positively impacted customer satisfaction. Customer service was consistently marked equal, or superior to comparable retailers. Strong demand was evidenced across a broad spectrum of age groups with average income above that of the trade areas.</w:t>
      </w:r>
    </w:p>
    <w:p>
      <w:pPr>
        <w:spacing w:after="0" w:line="188"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The introduction of the Timberland(R) and private-label product lines and the growth of traditional Levi Strauss &amp; Co. product lines, have made the Company's Designs stores places to shop for the entire family. In addition, the purchase of certain assets of Boston Trading Ltd., Inc.,</w:t>
      </w:r>
    </w:p>
    <w:p>
      <w:pPr>
        <w:spacing w:after="0" w:line="1"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completed, is expected to provide our Designs stores with a complementary and broader selection of branded men's and women's apparel.</w:t>
      </w:r>
    </w:p>
    <w:p>
      <w:pPr>
        <w:spacing w:after="0" w:line="170"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A growing segment of the Company's customer base consists of foreign travelers shopping for Levi Strauss &amp; Co. products. The Original Levi's(R) Stores feature men's and women's jeans, shirts, jackets and accessories with the Levi's(R) brand name, in a entertaining, upscale setting which includes hardwood floors and fixtures and a video screen wall displaying Levi Strauss &amp; Co. advertising and popular music videos. The Company's product selection in these stores is designed to appeal to the casual apparel needs of customers in all age groups and income brackets.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Merchandising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vast majority of the assortment focus is on a core selection of</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traditional Levi's(R) and Dockers(R) brand products. The Designs stores</w:t>
      </w:r>
    </w:p>
    <w:p>
      <w:pPr>
        <w:spacing w:after="0" w:line="238" w:lineRule="auto"/>
        <w:rPr>
          <w:sz w:val="20"/>
          <w:szCs w:val="20"/>
          <w:color w:val="auto"/>
        </w:rPr>
      </w:pPr>
      <w:r>
        <w:rPr>
          <w:rFonts w:ascii="Courier New" w:cs="Courier New" w:eastAsia="Courier New" w:hAnsi="Courier New"/>
          <w:sz w:val="18"/>
          <w:szCs w:val="18"/>
          <w:color w:val="auto"/>
        </w:rPr>
        <w:t>also feature a wide range of Levi's(R) and Dockers(R) accessories from</w:t>
      </w:r>
    </w:p>
    <w:p>
      <w:pPr>
        <w:spacing w:after="0"/>
        <w:rPr>
          <w:sz w:val="20"/>
          <w:szCs w:val="20"/>
          <w:color w:val="auto"/>
        </w:rPr>
      </w:pPr>
      <w:r>
        <w:rPr>
          <w:rFonts w:ascii="Courier New" w:cs="Courier New" w:eastAsia="Courier New" w:hAnsi="Courier New"/>
          <w:sz w:val="18"/>
          <w:szCs w:val="18"/>
          <w:color w:val="auto"/>
        </w:rPr>
        <w:t>authorized licensees. During the fourth quarter of fiscal 1995,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began test market of complementary Timberland(R) brand products and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private-label product line. Expectations are that the addition of non-Levi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Strauss &amp; Co. brands will enable the Designs stores to capitalize on product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categories not offered by Levi Strauss &amp; Co. or in which Levi Strauss</w:t>
      </w:r>
    </w:p>
    <w:p>
      <w:pPr>
        <w:spacing w:after="0" w:line="4" w:lineRule="exact"/>
        <w:rPr>
          <w:sz w:val="20"/>
          <w:szCs w:val="20"/>
          <w:color w:val="auto"/>
        </w:rPr>
      </w:pPr>
    </w:p>
    <w:p>
      <w:pPr>
        <w:ind w:right="2199" w:firstLine="8"/>
        <w:spacing w:after="0" w:line="273"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sells limited styles. These include classifications such as footwear, outerwear and sweaters. The Company expects that 30% or more of the product assortment in Designs stores will come from non-Levi Strauss &amp; Co. brands by the end of fiscal year 1996. These changes will further enhance the Designs store image as a destination for quality casual apparel.</w:t>
      </w:r>
    </w:p>
    <w:p>
      <w:pPr>
        <w:spacing w:after="0" w:line="18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 its Levi's Outlet stores, the Company offers an ever-changing selection of Levi Strauss &amp; Co. merchandise including manufacturing overruns, discontinued lines and irregulars purchased by the Company directly from Levi Strauss &amp; Co. and end-of-season merchandise transferred from the Designs and Concept stores. The Levi's(R) Outlets opened under the joint venture will sell only Levi's(R) brand products and service the close-out products of the Original Levi's(R) Stores.</w:t>
      </w:r>
    </w:p>
    <w:p>
      <w:pPr>
        <w:spacing w:after="0" w:line="211"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Merchandising in "The Original Levi's(R) Store" focuses on mens and womens tops and bottoms under the Levi's(R) brand name, including traditional 501(R), 505(R) and 550TM five pocket jeans; contemporary silverTabTM jeans; the new 560TM Loose fitting jeans and Personal PairTM individually fitted jeans for women; jeans jackets; a full line of women's jeans; T-shirts; denim shirts; Levi Strauss &amp; Co. brands of shorts and sweats; and coordinating accessories. Many styles are unique to the Original Levi's(R) Store, and are not available at any other retail store in the United States. These products are presented in a stylized format that features hardwood floors, custom wood fixtures and a multi-screen "video wall" displaying Levi Strauss &amp; Co. advertisements and popular music performers.</w:t>
      </w:r>
    </w:p>
    <w:p>
      <w:pPr>
        <w:spacing w:after="0" w:line="207"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All merchandising decisions, including pricing, markdowns, advertising and promotional campaigns, inventory purchases and merchandise allocations, are made centrally at the Company's headquarters with input from store, district, and regional managers. Central to the Company's merchandising strategy is the ability to tailor a particular store's merchandise mix to the composition of the local consumer base.</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utilizes point-of-sale registers to capture daily sales information and, at the end of the day, the Company's cash registers are electronically polled to generate reports at the Company's headquarters listing all merchandise sold by store, style, size and color. Based on this information, merchandise assortments are varied by store to meet the individual geographic, seasonal and demographic patterns and sales trends. The Company's information systems are central to its ability to stock the wide selection of Levi Strauss &amp; Co. brand products available at each of its stores in a timely manner. See "Information Systems."</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Through the end of fiscal year 1995, the Company did not maintain any warehouse facilities. Historically, each store has been stocked by "direct to store" vendor shipments. As was previously discussed, barring unforeseen circumstances, the Company plans to purchase certain assets of Boston Trading Ltd.,Inc. including leases for 33 Outlet stores. This acquisition, which utilizes off-shore sourcing of merchandise, will require the Company to expand its current operations to include storage and distribution facilities in order to assure the timely delivery and replenishment of Boston Traders(R) merchandise.</w:t>
      </w:r>
    </w:p>
    <w:p>
      <w:pPr>
        <w:spacing w:after="0" w:line="214"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During the fiscal year ended January 28, 1995, sales by format, by product category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Category</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Designs</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Outlets</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Concepts</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Total Company</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700" w:type="dxa"/>
            <w:vAlign w:val="bottom"/>
          </w:tcPr>
          <w:p>
            <w:pPr>
              <w:spacing w:after="0"/>
              <w:rPr>
                <w:sz w:val="20"/>
                <w:szCs w:val="20"/>
                <w:color w:val="auto"/>
              </w:rPr>
            </w:pPr>
            <w:r>
              <w:rPr>
                <w:rFonts w:ascii="Courier New" w:cs="Courier New" w:eastAsia="Courier New" w:hAnsi="Courier New"/>
                <w:sz w:val="18"/>
                <w:szCs w:val="18"/>
                <w:color w:val="auto"/>
              </w:rPr>
              <w:t>Men's</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54%</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52%</w:t>
            </w: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50%</w:t>
            </w:r>
          </w:p>
        </w:tc>
        <w:tc>
          <w:tcPr>
            <w:tcW w:w="1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52%</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Women's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Shirts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Youth</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Accessories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00" w:lineRule="exact"/>
        <w:rPr>
          <w:sz w:val="20"/>
          <w:szCs w:val="20"/>
          <w:color w:val="auto"/>
        </w:rPr>
      </w:pP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Concepts category includes sales in the Company's Original Levi's(R) Stores as well as for the Company's two Dockers(R) Shops and The Original Levi's(R) Store in Minneapolis, Minnesota which were sold on January 28, 1995.</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"501(R)," "505(R)," "Dockers(R)" and "Levi's(R)" are registered</w:t>
      </w:r>
    </w:p>
    <w:p>
      <w:pPr>
        <w:sectPr>
          <w:pgSz w:w="11900" w:h="16838" w:orient="portrait"/>
          <w:cols w:equalWidth="0" w:num="1">
            <w:col w:w="10219"/>
          </w:cols>
          <w:pgMar w:left="240" w:top="136" w:right="1440" w:bottom="0" w:gutter="0" w:footer="0" w:header="0"/>
          <w:type w:val="continuous"/>
        </w:sectPr>
      </w:pPr>
    </w:p>
    <w:bookmarkStart w:id="8" w:name="page9"/>
    <w:bookmarkEnd w:id="8"/>
    <w:p>
      <w:pPr>
        <w:ind w:right="3359"/>
        <w:spacing w:after="0" w:line="235" w:lineRule="auto"/>
        <w:rPr>
          <w:sz w:val="20"/>
          <w:szCs w:val="20"/>
          <w:color w:val="auto"/>
        </w:rPr>
      </w:pPr>
      <w:r>
        <w:rPr>
          <w:rFonts w:ascii="Courier New" w:cs="Courier New" w:eastAsia="Courier New" w:hAnsi="Courier New"/>
          <w:sz w:val="18"/>
          <w:szCs w:val="18"/>
          <w:color w:val="auto"/>
        </w:rPr>
        <w:t>trademarks, and "550TM," "560TM," "LeviLinkTM," "silverTabTM" and "Personal PairTM" are trademarks of Levi Strauss &amp; 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Operations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Designs stores average approximately 6,000 square feet in size and are located in enclosed regional shopping malls usually anchored by department stores. Levi's(R) Outlet stores are located in destination shopping centers and manufacturers outlet parks. Levi's(R) Outlet stores range in size from approximately 8,000 to 17,000 square feet and offer the consumer large quantities of irregulars and end-of-season Levi Strauss &amp; Co. brand merchandise in a "no frills" outlet format. To date, each Outlet store is the only outlet in its shopping area selling exclusively Levi Strauss &amp; Co. brand products. Mall-based Concept stores range in size from 3,500 to 5,000 square feet and urban Concept stores range from 5,000 to 9,000 square feet.</w:t>
      </w:r>
    </w:p>
    <w:p>
      <w:pPr>
        <w:spacing w:after="0" w:line="216"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Each of the Company's stores utilize centrally developed interior design and merchandise layout plans specifically designed to promote customer identification of the store as a specialty store selling Levi Strauss &amp; Co. brand products. The merchandise layout is further adapted by store management and the Company's visual merchandising department. Each Designs store prominently displays Levi's(R), Dockers(R) and Timberland(R) brand logos and distinctive branded promotional displays. The Levi's(R) Outlet stores prominently display Levi Strauss &amp; Co. brand logos and distinctive promotional displays. "The Original Levi's(R) Stores" also feature a multi-screen "video wall" presentation developed to promote an upscale image of the men's and women's Levi's(R) brand products sold in those stores. The Company uses various Levi Strauss &amp; Co. logos and trademarks on store signs with the permission of Levi Strauss &amp; Co.</w:t>
      </w:r>
    </w:p>
    <w:p>
      <w:pPr>
        <w:spacing w:after="0" w:line="38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Mall store hours are generally determined by the management of the shopping mall in which the store is located and downtown stores generally remain open during regular downtown business hours. Most stores are open seven days and six nights each week, with extended operating hours during the "Holiday" selling season.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Service</w:t>
      </w:r>
    </w:p>
    <w:p>
      <w:pPr>
        <w:spacing w:after="0" w:line="207"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The Company stresses product training with its sales staff and, with the assistance of Levi Strauss &amp; Co. and The Timberland Company, provides them with substantial product knowledge training across the Levi Strauss &amp; Co. and Timberland(R) product lines. This training includes promoting sales of coordinating apparel and accessories. Management believes that the Company's sales staff serves to reinforce the consumer's perception of the Company's stores as branded specialty stores and to differentiate the Company's stores from those of its competitors.</w:t>
      </w:r>
    </w:p>
    <w:p>
      <w:pPr>
        <w:spacing w:after="0" w:line="186"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Each Designs store employs approximately 10 to 15 employees, and each Levi's(R) Outlet and Concept store employs approximately 20 to 45 employees. The personnel required to operate each store includes a store manager, assistant managers and a group of full-time and part-time sales associates. The store manager is responsible for all operational matters for that store, including hiring and training employees. All of the store managers participate in a training program at one of the Company's training stores. Most store managers also have prior experience with the Company as a management trainee and have been employed by the Company for at least one year before being appointed as a store manager. The development of management and sales associate training programs is performed internally by the Company's Store Training Department.</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 currently employs 16 district managers, who have an average length of service with the Company of approximately nine years, one regional manager and three regional vice presidents, all of whom have been with the Company for more than fifteen years, to provide management guidance to the individual store managers. Each district manager is responsible for hiring store managers at the stores assigned to that manager's territory and for the overall profitability of those stores. District managers report directly to the regional vice presidents/manager, who report directly to the Company's President and Chief Executive Officer.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Systems</w:t>
      </w:r>
    </w:p>
    <w:p>
      <w:pPr>
        <w:spacing w:after="0" w:line="207"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The Company continues to devote significant resources to the development of information systems which enable it to maintain rigorous inventory, pricing and other financial controls. The Company's Information Systems Department has developed and enhanced customized applications software which permits the Company's business to be managed more efficiently. The Company uses point-of-sale data terminals with bar-code reading laser wands in all of its stores. This store-based equipment is</w:t>
      </w:r>
    </w:p>
    <w:p>
      <w:pPr>
        <w:sectPr>
          <w:pgSz w:w="11900" w:h="16838" w:orient="portrait"/>
          <w:cols w:equalWidth="0" w:num="1">
            <w:col w:w="10219"/>
          </w:cols>
          <w:pgMar w:left="240" w:top="142" w:right="1440" w:bottom="0" w:gutter="0" w:footer="0" w:header="0"/>
        </w:sectPr>
      </w:pPr>
    </w:p>
    <w:bookmarkStart w:id="9" w:name="page10"/>
    <w:bookmarkEnd w:id="9"/>
    <w:p>
      <w:pPr>
        <w:ind w:right="2939"/>
        <w:spacing w:after="0" w:line="235" w:lineRule="auto"/>
        <w:rPr>
          <w:sz w:val="20"/>
          <w:szCs w:val="20"/>
          <w:color w:val="auto"/>
        </w:rPr>
      </w:pPr>
      <w:r>
        <w:rPr>
          <w:rFonts w:ascii="Courier New" w:cs="Courier New" w:eastAsia="Courier New" w:hAnsi="Courier New"/>
          <w:sz w:val="18"/>
          <w:szCs w:val="18"/>
          <w:color w:val="auto"/>
        </w:rPr>
        <w:t>linked to the Company's central processing system, which includes two linked IBM AS/400 computers.</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makes use of software systems for enhanced merchandise replenishment. The merchandise replenishment system is an automated allocation and planning tool designed to operate in the fashion apparel area. This system is used to allocate merchandise in an environment of ever-changing styles. The system also allows the Company's allocation staff to efficiently utilize available sales and inventory data to react to the individual needs of each store on a timely basis. The merchandising replenishment system is used for all non-basic products.</w:t>
      </w:r>
    </w:p>
    <w:p>
      <w:pPr>
        <w:spacing w:after="0" w:line="212"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Levi Strauss &amp; Co. was one of the first manufacturers in the apparel industry to bar code its merchandise and to develop automatic reordering systems to enhance customer service. In 1986, the Company was chosen to be one of the first participants in the LeviLinkTM Model Stock Management system, a direct computer-to-computer link of retailer to manufacturer that allows automatic replenishment of basic apparel items sold by the Company. The Company's sales and receiving information by style, size and color is forwarded to Levi Strauss &amp; Co. on a weekly basis, where it is matched against a model stock inventory level prepared by the Company and adjusted based on current sales information for each style and store. The system then automatically generates a shipping order that is used to supply merchandise to each store, thereby maintaining inventory at model stock levels.</w:t>
      </w:r>
    </w:p>
    <w:p>
      <w:pPr>
        <w:spacing w:after="0" w:line="207"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Management estimates that the LeviLinkTM system has reduced the average turnaround time for an order of basic apparel from as much as four weeks to as short as a week. In addition, management believes that because of LeviLinkTM, the year round in-stock position of color and size of core items is enhanced. Finally, LeviLinkTM has enabled the Company to match more closely each store's inventory supply with current demand and local demographic factors, consistent with the Company's merchandising strategy. The LeviLinkTM system automates the inventory cycle for basic goods from the receipt of goods, through the sale, reorder and inventory replenishment. LeviLinkTM encompasses approximately 40% of the inventory items in the Company's Designs and Concept stores.</w:t>
      </w:r>
    </w:p>
    <w:p>
      <w:pPr>
        <w:spacing w:after="0" w:line="392"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Improvements to the Company's information systems completed over the past five years have also facilitated the following internal management controls:</w:t>
      </w:r>
    </w:p>
    <w:p>
      <w:pPr>
        <w:spacing w:after="0" w:line="209" w:lineRule="exact"/>
        <w:rPr>
          <w:sz w:val="20"/>
          <w:szCs w:val="20"/>
          <w:color w:val="auto"/>
        </w:rPr>
      </w:pPr>
    </w:p>
    <w:p>
      <w:pPr>
        <w:ind w:left="220" w:right="2519" w:hanging="212"/>
        <w:spacing w:after="0" w:line="237"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is able to monitor the performance of each of its stores on a daily, weekly and monthly basis, which facilitates the preparation of sales, inventory and other reports used by the Company's management. These include daily sales reports by store, item, style, size, color and price, enabling merchandising decisions to be made accurately and on a timely basis.</w:t>
      </w:r>
    </w:p>
    <w:p>
      <w:pPr>
        <w:spacing w:after="0" w:line="210" w:lineRule="exact"/>
        <w:rPr>
          <w:sz w:val="20"/>
          <w:szCs w:val="20"/>
          <w:color w:val="auto"/>
        </w:rPr>
      </w:pPr>
    </w:p>
    <w:p>
      <w:pPr>
        <w:ind w:left="220" w:right="2619" w:hanging="212"/>
        <w:spacing w:after="0" w:line="273" w:lineRule="auto"/>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headquarters are provided with a next-day computer generated comparison of each store's register transactions and the reported amount of cash and charge deposits made, allowing the Company to detect and resolve possible errors and improprieties. The Company previously required up to ten days to perform this function manually.</w:t>
      </w:r>
    </w:p>
    <w:p>
      <w:pPr>
        <w:spacing w:after="0" w:line="185" w:lineRule="exact"/>
        <w:rPr>
          <w:sz w:val="20"/>
          <w:szCs w:val="20"/>
          <w:color w:val="auto"/>
        </w:rPr>
      </w:pPr>
    </w:p>
    <w:p>
      <w:pPr>
        <w:ind w:left="220" w:right="2519" w:hanging="212"/>
        <w:spacing w:after="0" w:line="275" w:lineRule="auto"/>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its daily sales information, the Company forecasts its daily and short-term (six months) cash needs. Using this forecast, the Company is better able to invest excess cash or reduce borrowings on the revolving line of credit, thereby reducing its net interest costs and bank fees.</w:t>
      </w:r>
    </w:p>
    <w:p>
      <w:pPr>
        <w:spacing w:after="0" w:line="182" w:lineRule="exact"/>
        <w:rPr>
          <w:sz w:val="20"/>
          <w:szCs w:val="20"/>
          <w:color w:val="auto"/>
        </w:rPr>
      </w:pPr>
    </w:p>
    <w:p>
      <w:pPr>
        <w:ind w:left="220" w:right="2739" w:hanging="212"/>
        <w:spacing w:after="0" w:line="271" w:lineRule="auto"/>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price look-up ("PLU") system allows management to control merchandise pricing centrally via its network. The PLU system permits faster and more accurate processing of retail sales and the monitoring of specific inventory items to confirm that centralized pricing decisions are carried out in each of the stores. Management believes that the PLU system has produced savings from a reduction in underrings, prevented potential losses in consumer goodwill from overrings and reduced customer check-out time.</w:t>
      </w:r>
    </w:p>
    <w:p>
      <w:pPr>
        <w:spacing w:after="0" w:line="186" w:lineRule="exact"/>
        <w:rPr>
          <w:sz w:val="20"/>
          <w:szCs w:val="20"/>
          <w:color w:val="auto"/>
        </w:rPr>
      </w:pPr>
    </w:p>
    <w:p>
      <w:pPr>
        <w:ind w:left="220" w:right="2519" w:hanging="212"/>
        <w:spacing w:after="0" w:line="237"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is able to direct all price changes, including promotional, clearance and transfer markdowns on a central basis, estimate the financial impact of such changes and verify that such changes have been made on a timely basis.</w:t>
      </w:r>
    </w:p>
    <w:p>
      <w:pPr>
        <w:spacing w:after="0" w:line="207" w:lineRule="exact"/>
        <w:rPr>
          <w:sz w:val="20"/>
          <w:szCs w:val="20"/>
          <w:color w:val="auto"/>
        </w:rPr>
      </w:pPr>
    </w:p>
    <w:p>
      <w:pPr>
        <w:ind w:left="220" w:right="2519" w:hanging="212"/>
        <w:spacing w:after="0" w:line="236"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utilizes a third party credit network that permits it to collect on its credit card sales (45% of total sales in fiscal 1995) in less than 72 hours at favorable rates.</w:t>
      </w:r>
    </w:p>
    <w:p>
      <w:pPr>
        <w:spacing w:after="0" w:line="209"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In addition, in an effort to tailor the Company's technology towards future growth, the Company has recently acquired a new software package designed to enhance the analytical capabilities of the Company's merchandise</w:t>
      </w:r>
    </w:p>
    <w:p>
      <w:pPr>
        <w:sectPr>
          <w:pgSz w:w="11900" w:h="16838" w:orient="portrait"/>
          <w:cols w:equalWidth="0" w:num="1">
            <w:col w:w="10219"/>
          </w:cols>
          <w:pgMar w:left="240" w:top="142" w:right="1440" w:bottom="0" w:gutter="0" w:footer="0" w:header="0"/>
        </w:sectPr>
      </w:pPr>
    </w:p>
    <w:bookmarkStart w:id="10" w:name="page11"/>
    <w:bookmarkEnd w:id="10"/>
    <w:p>
      <w:pPr>
        <w:ind w:right="2739"/>
        <w:spacing w:after="0" w:line="235" w:lineRule="auto"/>
        <w:rPr>
          <w:sz w:val="20"/>
          <w:szCs w:val="20"/>
          <w:color w:val="auto"/>
        </w:rPr>
      </w:pPr>
      <w:r>
        <w:rPr>
          <w:rFonts w:ascii="Courier New" w:cs="Courier New" w:eastAsia="Courier New" w:hAnsi="Courier New"/>
          <w:sz w:val="18"/>
          <w:szCs w:val="18"/>
          <w:color w:val="auto"/>
        </w:rPr>
        <w:t>and financial functions. The installation of the new software should be complete by the fourth quarter of fiscal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Advertising</w:t>
      </w:r>
    </w:p>
    <w:p>
      <w:pPr>
        <w:spacing w:after="0" w:line="207" w:lineRule="exact"/>
        <w:rPr>
          <w:sz w:val="20"/>
          <w:szCs w:val="20"/>
          <w:color w:val="auto"/>
        </w:rPr>
      </w:pPr>
    </w:p>
    <w:p>
      <w:pPr>
        <w:ind w:right="2419" w:firstLine="527"/>
        <w:spacing w:after="0" w:line="271" w:lineRule="auto"/>
        <w:rPr>
          <w:sz w:val="20"/>
          <w:szCs w:val="20"/>
          <w:color w:val="auto"/>
        </w:rPr>
      </w:pPr>
      <w:r>
        <w:rPr>
          <w:rFonts w:ascii="Courier New" w:cs="Courier New" w:eastAsia="Courier New" w:hAnsi="Courier New"/>
          <w:sz w:val="16"/>
          <w:szCs w:val="16"/>
          <w:color w:val="auto"/>
        </w:rPr>
        <w:t>The Company benefits from the high visibility and recognition of the Levi's(R) and Dockers(R) brand names, as well as the natural flow of traffic that results from locating stores in areas of high retail activity including large regional malls, destination outlet centers and prime inner city shopping districts. Historically, the Company has received co-operative advertising allowances from Levi Strauss &amp; Co. that typically fund approximately one third of all advertising expenditures. Marketing approaches are tailored to the needs of each segment:</w:t>
      </w:r>
    </w:p>
    <w:p>
      <w:pPr>
        <w:spacing w:after="0" w:line="186"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Designs Stores: In addition to shared efforts with landlords to generate increased overall mall traffic through lease related advertising and media funds, the Company uses a variety of media, including both institutional and product/price formats, to promote its products to individual target customers. Major efforts include newspaper inserts, magazines and billboards as well as customer mailing lists. The Company works with Levi Strauss &amp; Co. to leverage its promotional campaigns to take advantage of the heavily funded national advertising schedules for Levi's(R) and Dockers(R) brand products.</w:t>
      </w:r>
    </w:p>
    <w:p>
      <w:pPr>
        <w:spacing w:after="0" w:line="214"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Levi's(R) Outlet Stores: Tourists, foreign travelers and vacationers comprise large segments of the outlet customer base. Outlet marketing is focused on methods to inform customers who are unfamiliar with the area of the store's location. Primary programs include billboards, shopping guides and bus tours.</w:t>
      </w:r>
    </w:p>
    <w:p>
      <w:pPr>
        <w:spacing w:after="0" w:line="209" w:lineRule="exact"/>
        <w:rPr>
          <w:sz w:val="20"/>
          <w:szCs w:val="20"/>
          <w:color w:val="auto"/>
        </w:rPr>
      </w:pPr>
    </w:p>
    <w:p>
      <w:pPr>
        <w:ind w:right="2519" w:firstLine="527"/>
        <w:spacing w:after="0" w:line="272" w:lineRule="auto"/>
        <w:rPr>
          <w:sz w:val="20"/>
          <w:szCs w:val="20"/>
          <w:color w:val="auto"/>
        </w:rPr>
      </w:pPr>
      <w:r>
        <w:rPr>
          <w:rFonts w:ascii="Courier New" w:cs="Courier New" w:eastAsia="Courier New" w:hAnsi="Courier New"/>
          <w:sz w:val="16"/>
          <w:szCs w:val="16"/>
          <w:color w:val="auto"/>
        </w:rPr>
        <w:t>Original Levi's(R) Store: The marketing effort is both institutional and product/image driven. LOS provides a staff marketing professional to create and coordinate major Original Levi's(R) Store campaigns. On a location-by-location basis, efforts are driven by the nature of each store's customer base; such as a bi-lingual hotel guide in New York City and international airport dioramas in Boston, Massachusetts.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The United States casual apparel market is highly competitive with many national and regional department stores, specialty apparel retailers and discount stores offering a broad range of apparel products similar to those sold by the Company. The Company's competitors in the casual apparel market consist of national and regional department stores in the Company's market areas, such as J.C.Penney Company, Sears, Roebuck &amp; Company, Dillard Department Stores Inc., May Company, Kohls and Filene's. In addition, the Company competes with several specialty apparel retailers, including The Gap Stores, Inc., The Limited, Inc. and County Seat Stores, Inc. Management believes, however, that these specialty apparel retailers appeal to narrower demographic spectra than does the Company.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As of January 28, 1995, the Company employed approximately 2,500 persons, of whom 2,360 were full and part-time sales personnel and 140 were employed at the Company's headquarters. The Company employs approximately 600 additional part-time personnel during the "Back to School" and "Holiday" selling seasons to service the increased customer traffic.</w:t>
      </w:r>
    </w:p>
    <w:p>
      <w:pPr>
        <w:spacing w:after="0" w:line="210"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All qualified full-time employees are entitled to life, medical, disability and dental insurance and can participate in the Company's 401(k) savings plan. Store, district and regional managers are eligible to receive incentive compensation subject to the achievement of specific performance objectives, including store profitability. They are also entitled to use an automobile provided by the Company or to receive an automobile allowance. Sales personnel are compensated on an hourly basis and receive no commissions, but are eligible to earn incentive prizes as part of individual store sales contests. Certain store, district and regional managers, as well as certain other employees, have been granted stock options. Management believes that the Company's policy of promoting from within has led to a lower than average rate of employee turnover. None of the employees are represented by a union.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2519" w:firstLine="632"/>
        <w:spacing w:after="0" w:line="275" w:lineRule="auto"/>
        <w:rPr>
          <w:sz w:val="20"/>
          <w:szCs w:val="20"/>
          <w:color w:val="auto"/>
        </w:rPr>
      </w:pPr>
      <w:r>
        <w:rPr>
          <w:rFonts w:ascii="Courier New" w:cs="Courier New" w:eastAsia="Courier New" w:hAnsi="Courier New"/>
          <w:sz w:val="16"/>
          <w:szCs w:val="16"/>
          <w:color w:val="auto"/>
        </w:rPr>
        <w:t>As of January 28, 1995, the Company operated 51 Designs stores, 61 Outlet stores and eight "Original Levi's(R) Stores." All stores are leased by the Company directly from shopping mall, outlet park and downtown property owners. Designs store leases are generally ten years in</w:t>
      </w:r>
    </w:p>
    <w:p>
      <w:pPr>
        <w:sectPr>
          <w:pgSz w:w="11900" w:h="16838" w:orient="portrait"/>
          <w:cols w:equalWidth="0" w:num="1">
            <w:col w:w="10219"/>
          </w:cols>
          <w:pgMar w:left="240" w:top="142" w:right="1440" w:bottom="0" w:gutter="0" w:footer="0" w:header="0"/>
        </w:sectPr>
      </w:pPr>
    </w:p>
    <w:bookmarkStart w:id="11" w:name="page12"/>
    <w:bookmarkEnd w:id="11"/>
    <w:p>
      <w:pPr>
        <w:ind w:right="2619"/>
        <w:spacing w:after="0" w:line="237" w:lineRule="auto"/>
        <w:rPr>
          <w:sz w:val="20"/>
          <w:szCs w:val="20"/>
          <w:color w:val="auto"/>
        </w:rPr>
      </w:pPr>
      <w:r>
        <w:rPr>
          <w:rFonts w:ascii="Courier New" w:cs="Courier New" w:eastAsia="Courier New" w:hAnsi="Courier New"/>
          <w:sz w:val="18"/>
          <w:szCs w:val="18"/>
          <w:color w:val="auto"/>
        </w:rPr>
        <w:t>length with no renewal option. Levi's(R) Outlet store leases are usually for a series of shorter periods and sometimes contain certain renewal options extending their terms to between 10 and 15 years. Most of the leases provide for annual rent based on a percentage of store sales, subject to guaranteed minimum amounts.</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Company's headquarters in Chestnut Hill, Massachusetts, is leased under an agreement with an affiliate of Stanley Berger, the Chairman of the Board and the estate of Calvin Margolis, a former director of the Company. The lease expires in April 1996. See Notes F and H of Notes to Consolidated Financial Statements.</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Sites for store expansion are selected on the basis of several factors intended to maximize the exposure of each store to those persons the Company believes are likely to be Levi Strauss &amp; Co. customers. These factors include the demographics profile of the area in which the site is located, the types of stores and other retailers in the area, the location of the store within the mall and the attractiveness of the store layout. The Company believes that its selection of locations enables the Company's mall, downtown and outlet stores to attract customers from the general shopping traffic and to generate its own customers from the surrounding areas.</w:t>
      </w:r>
    </w:p>
    <w:p>
      <w:pPr>
        <w:spacing w:after="0" w:line="215" w:lineRule="exact"/>
        <w:rPr>
          <w:sz w:val="20"/>
          <w:szCs w:val="20"/>
          <w:color w:val="auto"/>
        </w:rPr>
      </w:pPr>
    </w:p>
    <w:p>
      <w:pPr>
        <w:ind w:right="2419" w:firstLine="632"/>
        <w:spacing w:after="0" w:line="271" w:lineRule="auto"/>
        <w:rPr>
          <w:sz w:val="20"/>
          <w:szCs w:val="20"/>
          <w:color w:val="auto"/>
        </w:rPr>
      </w:pPr>
      <w:r>
        <w:rPr>
          <w:rFonts w:ascii="Courier New" w:cs="Courier New" w:eastAsia="Courier New" w:hAnsi="Courier New"/>
          <w:sz w:val="16"/>
          <w:szCs w:val="16"/>
          <w:color w:val="auto"/>
        </w:rPr>
        <w:t>The Company considers site selection an important factor in its expansion plans for its stores. In locating and assessing potential sites, the Company often relies upon relationships it maintains with major shopping mall developers such as The Edward J. DeBartolo Company, New England Development, S.R. Weiner Associates and Melvin Simon Associates and with outlet park developers such as The Horizon Group, Western Development, Belz Enterprises and The Stanley Tanger Company. These developers provide the Company with detailed demographic and geographic information regarding many new mall and outlet park developments.</w:t>
      </w:r>
    </w:p>
    <w:p>
      <w:pPr>
        <w:spacing w:after="0" w:line="388" w:lineRule="exact"/>
        <w:rPr>
          <w:sz w:val="20"/>
          <w:szCs w:val="20"/>
          <w:color w:val="auto"/>
        </w:rPr>
      </w:pPr>
    </w:p>
    <w:p>
      <w:pPr>
        <w:jc w:val="both"/>
        <w:ind w:right="2839" w:firstLine="632"/>
        <w:spacing w:after="0" w:line="236" w:lineRule="auto"/>
        <w:rPr>
          <w:sz w:val="20"/>
          <w:szCs w:val="20"/>
          <w:color w:val="auto"/>
        </w:rPr>
      </w:pPr>
      <w:r>
        <w:rPr>
          <w:rFonts w:ascii="Courier New" w:cs="Courier New" w:eastAsia="Courier New" w:hAnsi="Courier New"/>
          <w:sz w:val="18"/>
          <w:szCs w:val="18"/>
          <w:color w:val="auto"/>
        </w:rPr>
        <w:t>See "Management's Discussion and Analysis of Financial Condition and Results of Operations - Liquidity and Capital Resources - Capital Expenditures."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The Company is a party to litigation and claims arising in the course of its business.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No matter was submitted during the fourth quarter of fiscal 1995 to a vote of security holders, through the solicitation of proxies or otherwise.</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1060" w:right="3779" w:hanging="1052"/>
        <w:spacing w:after="0" w:line="235" w:lineRule="auto"/>
        <w:rPr>
          <w:sz w:val="20"/>
          <w:szCs w:val="20"/>
          <w:color w:val="auto"/>
        </w:rPr>
      </w:pPr>
      <w:r>
        <w:rPr>
          <w:rFonts w:ascii="Courier New" w:cs="Courier New" w:eastAsia="Courier New" w:hAnsi="Courier New"/>
          <w:sz w:val="18"/>
          <w:szCs w:val="18"/>
          <w:color w:val="auto"/>
        </w:rPr>
        <w:t>ITEM 5. Market for the Registrant's Common Equity and Related Shareholder Matters</w:t>
      </w:r>
    </w:p>
    <w:p>
      <w:pPr>
        <w:spacing w:after="0" w:line="208" w:lineRule="exact"/>
        <w:rPr>
          <w:sz w:val="20"/>
          <w:szCs w:val="20"/>
          <w:color w:val="auto"/>
        </w:rPr>
      </w:pPr>
    </w:p>
    <w:p>
      <w:pPr>
        <w:jc w:val="both"/>
        <w:ind w:right="2519" w:firstLine="632"/>
        <w:spacing w:after="0" w:line="236" w:lineRule="auto"/>
        <w:rPr>
          <w:sz w:val="20"/>
          <w:szCs w:val="20"/>
          <w:color w:val="auto"/>
        </w:rPr>
      </w:pPr>
      <w:r>
        <w:rPr>
          <w:rFonts w:ascii="Courier New" w:cs="Courier New" w:eastAsia="Courier New" w:hAnsi="Courier New"/>
          <w:sz w:val="18"/>
          <w:szCs w:val="18"/>
          <w:color w:val="auto"/>
        </w:rPr>
        <w:t>The information required by this item is furnished by incorporation by reference to Page 38 of the Annual Report to Shareholders for the year ended January 28,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07" w:lineRule="exact"/>
        <w:rPr>
          <w:sz w:val="20"/>
          <w:szCs w:val="20"/>
          <w:color w:val="auto"/>
        </w:rPr>
      </w:pPr>
    </w:p>
    <w:p>
      <w:pPr>
        <w:jc w:val="both"/>
        <w:ind w:right="2519" w:firstLine="632"/>
        <w:spacing w:after="0" w:line="236" w:lineRule="auto"/>
        <w:rPr>
          <w:sz w:val="20"/>
          <w:szCs w:val="20"/>
          <w:color w:val="auto"/>
        </w:rPr>
      </w:pPr>
      <w:r>
        <w:rPr>
          <w:rFonts w:ascii="Courier New" w:cs="Courier New" w:eastAsia="Courier New" w:hAnsi="Courier New"/>
          <w:sz w:val="18"/>
          <w:szCs w:val="18"/>
          <w:color w:val="auto"/>
        </w:rPr>
        <w:t>The information required by this item is furnished by incorporation by reference to Page 16 of the Annual Report to Shareholders for the year ended January 28, 1995.</w:t>
      </w:r>
    </w:p>
    <w:p>
      <w:pPr>
        <w:spacing w:after="0" w:line="209" w:lineRule="exact"/>
        <w:rPr>
          <w:sz w:val="20"/>
          <w:szCs w:val="20"/>
          <w:color w:val="auto"/>
        </w:rPr>
      </w:pPr>
    </w:p>
    <w:p>
      <w:pPr>
        <w:ind w:left="1160" w:right="3159" w:hanging="1158"/>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The information required by this item is furnished by incorporation by reference to Pages 17 through 23 of the Annual Report to Shareholders for the year ended January 28,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7"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The information required by this item is furnished by incorporation by reference to Pages 24 through 34 of the Annual Report to Shareholders for the year ended January 28, 1995.</w:t>
      </w:r>
    </w:p>
    <w:p>
      <w:pPr>
        <w:spacing w:after="0" w:line="209" w:lineRule="exact"/>
        <w:rPr>
          <w:sz w:val="20"/>
          <w:szCs w:val="20"/>
          <w:color w:val="auto"/>
        </w:rPr>
      </w:pPr>
    </w:p>
    <w:p>
      <w:pPr>
        <w:ind w:left="1280" w:right="3159" w:hanging="1263"/>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ectPr>
          <w:pgSz w:w="11900" w:h="16838" w:orient="portrait"/>
          <w:cols w:equalWidth="0" w:num="1">
            <w:col w:w="10219"/>
          </w:cols>
          <w:pgMar w:left="240" w:top="142" w:right="1440" w:bottom="0" w:gutter="0" w:footer="0" w:header="0"/>
        </w:sectPr>
      </w:pPr>
    </w:p>
    <w:bookmarkStart w:id="12" w:name="page13"/>
    <w:bookmarkEnd w:id="12"/>
    <w:p>
      <w:pPr>
        <w:ind w:left="6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Information with respect to directors and executive officers of the Company is incorporated herein by reference to the Company's definitive proxy statement expected to be filed within 120 days of the end of the fiscal year ended January 28, 1995.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the Company's officers and directors, and persons who own more than 10% of a registered class of the Company's equity securities, to file reports of ownership and changes in ownership with the Securities and Exchange Commission (the "Commission"). Officers, directors and greater-than-10% shareholders are required by Commission regulations to furnish the Company with copies of all Section 16(a) forms they file.</w:t>
      </w:r>
    </w:p>
    <w:p>
      <w:pPr>
        <w:spacing w:after="0" w:line="21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Based solely upon a review of Forms 3 and 4 and amendments thereto furnished to the Company during fiscal 1995 and Forms 5 and amendments thereto furnished to the Company with respect to fiscal 1995, the Company believes that all Section 16(a) filing requirements applicable to its officers, directors and greater-than-10% shareholders were fulfilled in a timely manner, except that, due to an oversight, Mr. Thigpen did not timely report on Form 3 the amount of his initial beneficial ownership of the Company's Common Stock within 10 days of the date of his election to the Company's Board of Directors. After reviewing this matter, the Company has concluded that the omission was inadvertent, and that the transactions did not give rise to liability under Section 16(b) of the Exchange Act for recapture of short-swing profits.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Information with respect to executive compensation is incorporated herein by reference to the Company's definitive proxy statement expected to be filed within 120 days of the end of the fiscal year ended January 28,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Security Ownership of Certain Beneficial Owners and</w:t>
      </w:r>
    </w:p>
    <w:p>
      <w:pPr>
        <w:ind w:left="1060"/>
        <w:spacing w:after="0" w:line="238" w:lineRule="auto"/>
        <w:rPr>
          <w:sz w:val="20"/>
          <w:szCs w:val="20"/>
          <w:color w:val="auto"/>
        </w:rPr>
      </w:pPr>
      <w:r>
        <w:rPr>
          <w:rFonts w:ascii="Courier New" w:cs="Courier New" w:eastAsia="Courier New" w:hAnsi="Courier New"/>
          <w:sz w:val="18"/>
          <w:szCs w:val="18"/>
          <w:color w:val="auto"/>
        </w:rPr>
        <w:t>Management</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Information with respect to security ownership of certain beneficial owners and management is incorporated herein by reference to the Company's definitive proxy statement expected to be filed within 120 days of the end of the fiscal year ended January 28,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Certain Relationships and Related Transactions</w:t>
      </w:r>
    </w:p>
    <w:p>
      <w:pPr>
        <w:spacing w:after="0" w:line="207"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Information with respect to certain relationships and related transactions is incorporated by reference to the Company's definitive proxy statement to be filed within 120 days of the fiscal year ended January 28, 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Exhibits, Financial Statement Schedules, and</w:t>
      </w:r>
    </w:p>
    <w:p>
      <w:pPr>
        <w:ind w:left="1060"/>
        <w:spacing w:after="0" w:line="238" w:lineRule="auto"/>
        <w:rPr>
          <w:sz w:val="20"/>
          <w:szCs w:val="20"/>
          <w:color w:val="auto"/>
        </w:rPr>
      </w:pPr>
      <w:r>
        <w:rPr>
          <w:rFonts w:ascii="Courier New" w:cs="Courier New" w:eastAsia="Courier New" w:hAnsi="Courier New"/>
          <w:sz w:val="18"/>
          <w:szCs w:val="18"/>
          <w:color w:val="auto"/>
        </w:rPr>
        <w:t>Reports on Form 8-K</w:t>
      </w:r>
    </w:p>
    <w:p>
      <w:pPr>
        <w:spacing w:after="0" w:line="202"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&amp; 2. CONSOLIDATED FINANCIAL STATEMENTS AND SCHEDULES</w:t>
      </w:r>
    </w:p>
    <w:p>
      <w:pPr>
        <w:spacing w:after="0" w:line="206" w:lineRule="exact"/>
        <w:rPr>
          <w:rFonts w:ascii="Courier New" w:cs="Courier New" w:eastAsia="Courier New" w:hAnsi="Courier New"/>
          <w:sz w:val="18"/>
          <w:szCs w:val="18"/>
          <w:color w:val="auto"/>
        </w:rPr>
      </w:pPr>
    </w:p>
    <w:p>
      <w:pPr>
        <w:ind w:left="64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and schedules listed in the index below are filed as part of this annual report.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Reference (Page)</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Annual Report</w:t>
      </w:r>
    </w:p>
    <w:p>
      <w:pPr>
        <w:ind w:left="4540"/>
        <w:spacing w:after="0"/>
        <w:tabs>
          <w:tab w:leader="none" w:pos="6000" w:val="left"/>
        </w:tabs>
        <w:rPr>
          <w:sz w:val="20"/>
          <w:szCs w:val="20"/>
          <w:color w:val="auto"/>
        </w:rPr>
      </w:pPr>
      <w:r>
        <w:rPr>
          <w:rFonts w:ascii="Courier New" w:cs="Courier New" w:eastAsia="Courier New" w:hAnsi="Courier New"/>
          <w:sz w:val="18"/>
          <w:szCs w:val="18"/>
          <w:color w:val="auto"/>
        </w:rPr>
        <w:t>Form 10-K</w:t>
      </w:r>
      <w:r>
        <w:rPr>
          <w:sz w:val="20"/>
          <w:szCs w:val="20"/>
          <w:color w:val="auto"/>
        </w:rPr>
        <w:tab/>
      </w:r>
      <w:r>
        <w:rPr>
          <w:rFonts w:ascii="Courier New" w:cs="Courier New" w:eastAsia="Courier New" w:hAnsi="Courier New"/>
          <w:sz w:val="16"/>
          <w:szCs w:val="16"/>
          <w:color w:val="auto"/>
        </w:rPr>
        <w:t>to Shareholders</w:t>
      </w:r>
    </w:p>
    <w:p>
      <w:pPr>
        <w:ind w:left="4540"/>
        <w:spacing w:after="0" w:line="238" w:lineRule="auto"/>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FINANCIAL STATEMENTS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Covered by Report of Independent Accountants:</w:t>
      </w:r>
    </w:p>
    <w:p>
      <w:pPr>
        <w:sectPr>
          <w:pgSz w:w="11900" w:h="16838" w:orient="portrait"/>
          <w:cols w:equalWidth="0" w:num="1">
            <w:col w:w="10219"/>
          </w:cols>
          <w:pgMar w:left="240" w:top="339"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20"/>
                <w:szCs w:val="20"/>
                <w:color w:val="auto"/>
              </w:rPr>
            </w:pPr>
            <w:r>
              <w:rPr>
                <w:rFonts w:ascii="Courier New" w:cs="Courier New" w:eastAsia="Courier New" w:hAnsi="Courier New"/>
                <w:sz w:val="18"/>
                <w:szCs w:val="18"/>
                <w:color w:val="auto"/>
              </w:rPr>
              <w:t>Consolidated Balance Sheets at January 28, 1995</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January 29, 1994</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Consolidated Statements of Income for the</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 ended January 28, 1995, January 29, 1994</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January 30, 1993</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Statement of Chanages in Stockholders' Equity</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26</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Statements of Cash Flows</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27</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 Notes L and M</w:t>
            </w:r>
          </w:p>
        </w:tc>
        <w:tc>
          <w:tcPr>
            <w:tcW w:w="1000" w:type="dxa"/>
            <w:vAlign w:val="bottom"/>
          </w:tcPr>
          <w:p>
            <w:pPr>
              <w:spacing w:after="0"/>
              <w:rPr>
                <w:sz w:val="17"/>
                <w:szCs w:val="17"/>
                <w:color w:val="auto"/>
              </w:rPr>
            </w:pP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28-34</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Report of Independent Accountants</w:t>
            </w:r>
          </w:p>
        </w:tc>
        <w:tc>
          <w:tcPr>
            <w:tcW w:w="100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36</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Not Covered by Report of Independent Accountants:</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Note L - Subsequent Event</w:t>
            </w:r>
          </w:p>
        </w:tc>
        <w:tc>
          <w:tcPr>
            <w:tcW w:w="100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34</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Note M - Selected Quarterly Data</w:t>
            </w:r>
          </w:p>
        </w:tc>
        <w:tc>
          <w:tcPr>
            <w:tcW w:w="100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34</w:t>
            </w:r>
          </w:p>
        </w:tc>
      </w:tr>
    </w:tbl>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FINANCIAL STATEMENT SCHEDULES:</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ectPr>
          <w:pgSz w:w="11900" w:h="16838" w:orient="portrait"/>
          <w:cols w:equalWidth="0" w:num="1">
            <w:col w:w="10219"/>
          </w:cols>
          <w:pgMar w:left="240" w:top="136" w:right="1440" w:bottom="1440" w:gutter="0" w:footer="0" w:header="0"/>
        </w:sectPr>
      </w:pPr>
    </w:p>
    <w:bookmarkStart w:id="14" w:name="page15"/>
    <w:bookmarkEnd w:id="14"/>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40" w:type="dxa"/>
            <w:vAlign w:val="bottom"/>
            <w:gridSpan w:val="2"/>
          </w:tcPr>
          <w:p>
            <w:pPr>
              <w:spacing w:after="0"/>
              <w:rPr>
                <w:sz w:val="20"/>
                <w:szCs w:val="20"/>
                <w:color w:val="auto"/>
              </w:rPr>
            </w:pPr>
            <w:r>
              <w:rPr>
                <w:rFonts w:ascii="Courier New" w:cs="Courier New" w:eastAsia="Courier New" w:hAnsi="Courier New"/>
                <w:sz w:val="18"/>
                <w:szCs w:val="18"/>
                <w:color w:val="auto"/>
                <w:w w:val="99"/>
              </w:rPr>
              <w:t>3.1   Restated Certificate of Incorporation of the Company, as amended.</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the Company's Registration</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 on Form S-1, (No. 33-13402).</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w w:val="97"/>
              </w:rPr>
              <w:t>By-Laws of the Company, as amended (included as Exhibit 3.2 to the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Annual Report on From 10-K dated April 29, 1993, and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w w:val="99"/>
              </w:rPr>
              <w:t>1987 Incentive Stock Option Plan, as amended (included as Exhibit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10.1 to the Company's Annual Report on From 10-K dated April 29,</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1993, and incorporated 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1987 Non-Qualified Stock Option Plan, as amended included as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10.2 to the Company's Annual Report on Form 10-K dated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29, 1993, and incorporated by 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1992 Stock Incentive Plan, as amended (included as Exhibit A to</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definitive proxy statement dated May 10, 1994, and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License Agreement between the Company and Levi Strauss &amp; Co.</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as of April 14, 1992 (included as Exhibit 10.8 to the</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Annual Report on Form 10-K for the year ended January</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 1993, and incorporated 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Executive Incentive Plan effective through the fiscal year ended</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28, 1995 (included as Exhibit 10.8 to the Company's</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Annual Report on Form 10-K for the year ended January 29, 1994,</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w w:val="97"/>
              </w:rPr>
              <w:t>Credit Agreement among the Company, BayBank Boston, N.A. and State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Bank and Trust Company dated as of November 17, 1994</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(included as Exhibit 1 to the Company's Current Report on Form 8-K</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November 22, 1994, and incorporated 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between the Company and Stanley I. Berger</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21, 1994.</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Employee Separation Agreement between the Company and Geoffrey</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 Holczer dated December 27, 1994.</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Partner"), the Company, LDJV Inc. (the "LOS Partner"), Levi's Only</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Stores, Inc. ("LOS"), Levi Strauss &amp; Co.("LS&amp;CO") and Levi</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Strauss Associates Inc. ("LSAI") dated January 28, 1995 (included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Exhibit 10.1 to the Company's Current Report on Form 8-K dated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24, 1995, and incorporated 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Partnership Agreement of The Designs/OLS Partnership (the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between the LOS Partner and the Designs Partner</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dated January 28, 1995 (included as Exhibit 10.2 to the Company's</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Current Report on Form 8-K dated April 24, 1995, and incorporated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Glossary executed by the Designs Partner, the Company, the LOS</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 LOS, LS&amp;CO, LSAI and the Partnership dated January 28,</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1995 (included as Exhibit 10.3 to the Company's Current Report on</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 by</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Sublicense Agreement between LOS and the LOS Partner (included</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10.4 to the Company's Current Report on Form 8-K</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April 24, 1995, and incorporated herein by 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Sublicense Agreement between the LOS Partner and the Partnership</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10.5 to the Company's Current Report on</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 by</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License Agreement between the Company and the Partnership</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10.6 to the Company's Current Report on</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 by</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060" w:type="dxa"/>
            <w:vAlign w:val="bottom"/>
          </w:tcPr>
          <w:p>
            <w:pPr>
              <w:ind w:left="60"/>
              <w:spacing w:after="0"/>
              <w:rPr>
                <w:sz w:val="20"/>
                <w:szCs w:val="20"/>
                <w:color w:val="auto"/>
              </w:rPr>
            </w:pPr>
            <w:r>
              <w:rPr>
                <w:rFonts w:ascii="Courier New" w:cs="Courier New" w:eastAsia="Courier New" w:hAnsi="Courier New"/>
                <w:sz w:val="18"/>
                <w:szCs w:val="18"/>
                <w:color w:val="auto"/>
              </w:rPr>
              <w:t>Administrative Services Agreement between the Company and the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10.7 to</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Current Report on Form 8-K dated April 24, 1995,</w:t>
            </w:r>
          </w:p>
        </w:tc>
        <w:tc>
          <w:tcPr>
            <w:tcW w:w="260" w:type="dxa"/>
            <w:vAlign w:val="bottom"/>
          </w:tcPr>
          <w:p>
            <w:pPr>
              <w:spacing w:after="0"/>
              <w:rPr>
                <w:sz w:val="17"/>
                <w:szCs w:val="17"/>
                <w:color w:val="auto"/>
              </w:rPr>
            </w:pPr>
          </w:p>
        </w:tc>
      </w:tr>
    </w:tbl>
    <w:p>
      <w:pPr>
        <w:sectPr>
          <w:pgSz w:w="11900" w:h="16838" w:orient="portrait"/>
          <w:cols w:equalWidth="0" w:num="1">
            <w:col w:w="10219"/>
          </w:cols>
          <w:pgMar w:left="240" w:top="514" w:right="1440" w:bottom="0" w:gutter="0" w:footer="0" w:header="0"/>
        </w:sectPr>
      </w:pPr>
    </w:p>
    <w:bookmarkStart w:id="15" w:name="page16"/>
    <w:bookmarkEnd w:id="15"/>
    <w:p>
      <w:pPr>
        <w:ind w:left="640"/>
        <w:spacing w:after="0"/>
        <w:rPr>
          <w:sz w:val="20"/>
          <w:szCs w:val="20"/>
          <w:color w:val="auto"/>
        </w:rPr>
      </w:pPr>
      <w:r>
        <w:rPr>
          <w:rFonts w:ascii="Courier New" w:cs="Courier New" w:eastAsia="Courier New" w:hAnsi="Courier New"/>
          <w:sz w:val="18"/>
          <w:szCs w:val="18"/>
          <w:color w:val="auto"/>
        </w:rPr>
        <w:t>and incorporated herein by reference).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10.16</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Agreement between</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the Company and LOS covering the payment to</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Company of</w:t>
            </w:r>
          </w:p>
        </w:tc>
        <w:tc>
          <w:tcPr>
            <w:tcW w:w="5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$875,000 fee from LOS (included as Exhibit 10.8</w:t>
            </w:r>
          </w:p>
        </w:tc>
        <w:tc>
          <w:tcPr>
            <w:tcW w:w="2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to the Company's Current Report on Form 8-K dated April 24, 1995,</w:t>
            </w:r>
          </w:p>
        </w:tc>
        <w:tc>
          <w:tcPr>
            <w:tcW w:w="2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00" w:type="dxa"/>
            <w:vAlign w:val="bottom"/>
          </w:tcPr>
          <w:p>
            <w:pPr>
              <w:spacing w:after="0"/>
              <w:rPr>
                <w:sz w:val="17"/>
                <w:szCs w:val="17"/>
                <w:color w:val="auto"/>
              </w:rPr>
            </w:pP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10.17</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Asset Purchase</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Agreement between LOS and the Company relating to</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stores located in Minneapolis, Minnesota dated January 28,</w:t>
            </w:r>
          </w:p>
        </w:tc>
        <w:tc>
          <w:tcPr>
            <w:tcW w:w="2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1995 (included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10.9 to the Company's Current Report</w:t>
            </w:r>
          </w:p>
        </w:tc>
        <w:tc>
          <w:tcPr>
            <w:tcW w:w="2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on Form 8-K dated</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24, 1995, and incorporated herein by</w:t>
            </w:r>
          </w:p>
        </w:tc>
        <w:tc>
          <w:tcPr>
            <w:tcW w:w="2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10.18</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Asset Purchase</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Agreement between LOS and the Company relating to</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store located</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Cambridge, Massachusetts dated January 28,</w:t>
            </w:r>
          </w:p>
        </w:tc>
        <w:tc>
          <w:tcPr>
            <w:tcW w:w="2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1995 (included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10.10 to the Company's Current Report</w:t>
            </w:r>
          </w:p>
        </w:tc>
        <w:tc>
          <w:tcPr>
            <w:tcW w:w="2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on Form 8-K dated</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24, 1995, and incorporated herein by</w:t>
            </w:r>
          </w:p>
        </w:tc>
        <w:tc>
          <w:tcPr>
            <w:tcW w:w="2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Statement re: computation of per share earnings</w:t>
      </w:r>
    </w:p>
    <w:p>
      <w:pPr>
        <w:spacing w:after="0" w:line="207" w:lineRule="exact"/>
        <w:rPr>
          <w:sz w:val="20"/>
          <w:szCs w:val="20"/>
          <w:color w:val="auto"/>
        </w:rPr>
      </w:pPr>
    </w:p>
    <w:p>
      <w:pPr>
        <w:ind w:left="640" w:right="2739" w:hanging="632"/>
        <w:spacing w:after="0" w:line="275"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to Shareholders for the year ended January 28, 1995.(With the exception of the information incorporated by reference included in Items 5, 6, 7 and 8, the 1995 Annual Report to Shareholders is not deemed filed as part of this report).</w:t>
      </w:r>
    </w:p>
    <w:p>
      <w:pPr>
        <w:spacing w:after="0" w:line="17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Subsidiaries of the Registrant.</w:t>
      </w:r>
    </w:p>
    <w:p>
      <w:pPr>
        <w:spacing w:after="0" w:line="201"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Coopers &amp; Lybrand, L.L.P. dated April 28, 1995.</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Previously filed with the Commission.</w:t>
      </w:r>
    </w:p>
    <w:p>
      <w:pPr>
        <w:spacing w:after="0" w:line="201"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left="640" w:right="2199" w:hanging="632"/>
        <w:spacing w:after="0" w:line="275" w:lineRule="auto"/>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under Item 5 on Form 8-K dated November 22, 1994, its decision to close up to five additional "Designs" stores during the fiscal year ended January 28, 1995, in connection with the Company's ongoing review of the performance of its "Designs" stores.</w:t>
      </w:r>
    </w:p>
    <w:p>
      <w:pPr>
        <w:spacing w:after="0" w:line="182" w:lineRule="exact"/>
        <w:rPr>
          <w:rFonts w:ascii="Courier New" w:cs="Courier New" w:eastAsia="Courier New" w:hAnsi="Courier New"/>
          <w:sz w:val="16"/>
          <w:szCs w:val="16"/>
          <w:color w:val="auto"/>
        </w:rPr>
      </w:pPr>
    </w:p>
    <w:p>
      <w:pPr>
        <w:ind w:left="640" w:right="2319" w:hanging="632"/>
        <w:spacing w:after="0" w:line="236"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reported under Item 5 on Form 8-K dated December 7, 1994, the resignation of Geoffrey M. Holczer, Senior Vice President, Treasurer and Chief Financial Officer of the Company.</w:t>
      </w:r>
    </w:p>
    <w:p>
      <w:pPr>
        <w:spacing w:after="0" w:line="208" w:lineRule="exact"/>
        <w:rPr>
          <w:rFonts w:ascii="Courier New" w:cs="Courier New" w:eastAsia="Courier New" w:hAnsi="Courier New"/>
          <w:sz w:val="18"/>
          <w:szCs w:val="18"/>
          <w:color w:val="auto"/>
        </w:rPr>
      </w:pPr>
    </w:p>
    <w:p>
      <w:pPr>
        <w:ind w:left="640" w:right="2199" w:hanging="632"/>
        <w:spacing w:after="0" w:line="237"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reported under Item 5 on Form 8-K dated January 27, 1995, that subsidiaries of the Company and Levi Strauss &amp; Co. had entered into a joint venture agreement to operate 35 to 50 "Original Levi's(R) Stores" and "Levi's(R) Outlets" stores selling Levi's(R) brand jeans and jeans-related products. Following the formation of the joint venture the Company's "Original Levi's(R) Store''located in Minneapolis, MN and its "Dockers(R) Shop" located in Minneapolis, MN and Cambridge, MA were sold to Levi's(R) Only Stores, Inc., a subsidiary of Levi Strauss &amp; Co.</w:t>
      </w:r>
    </w:p>
    <w:p>
      <w:pPr>
        <w:spacing w:after="0" w:line="213" w:lineRule="exact"/>
        <w:rPr>
          <w:rFonts w:ascii="Courier New" w:cs="Courier New" w:eastAsia="Courier New" w:hAnsi="Courier New"/>
          <w:sz w:val="18"/>
          <w:szCs w:val="18"/>
          <w:color w:val="auto"/>
        </w:rPr>
      </w:pPr>
    </w:p>
    <w:p>
      <w:pPr>
        <w:ind w:left="640" w:right="2199" w:hanging="632"/>
        <w:spacing w:after="0" w:line="237"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reported under Item 5 on From 8-K dated April 24, 1995, that, as previously announced, that subsidiaries of Levi Strauss &amp; Co. and the Company entered into agreements, dated January 28, 1995 establishing a joint venture to operate up to 35 to 50 "Original Levi's(R) Stores" and "Levi's(R) Outlets." Accompanying this report as exhibits 10.1 through 10.8 are certain agreements related to the formation of the joint venture.</w:t>
      </w:r>
    </w:p>
    <w:p>
      <w:pPr>
        <w:sectPr>
          <w:pgSz w:w="11900" w:h="16838" w:orient="portrait"/>
          <w:cols w:equalWidth="0" w:num="1">
            <w:col w:w="10219"/>
          </w:cols>
          <w:pgMar w:left="240" w:top="136" w:right="1440" w:bottom="1440" w:gutter="0" w:footer="0" w:header="0"/>
        </w:sectPr>
      </w:pPr>
    </w:p>
    <w:bookmarkStart w:id="16" w:name="page17"/>
    <w:bookmarkEnd w:id="16"/>
    <w:p>
      <w:pPr>
        <w:jc w:val="center"/>
        <w:ind w:right="15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April 26, 1995</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Joel H. Reichman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Joel H. Reichman</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26" w:lineRule="exact"/>
        <w:rPr>
          <w:sz w:val="20"/>
          <w:szCs w:val="20"/>
          <w:color w:val="auto"/>
        </w:rPr>
      </w:pPr>
    </w:p>
    <w:p>
      <w:pPr>
        <w:jc w:val="both"/>
        <w:ind w:right="24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this report has been signed below by the following persons on behalf of the Company in the capacities indicated, on April 26, 1995.</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Joel H. Reichman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Joel H. Reichman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Director (Principal Executive Officer)</w:t>
      </w:r>
    </w:p>
    <w:p>
      <w:pPr>
        <w:spacing w:after="0" w:line="419"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Carolyn R. Faulkner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Carolyn R. Faulkner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Controller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 Financial and Accounting</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Stanley I.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Stanley I. Berger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Director</w:t>
      </w:r>
    </w:p>
    <w:p>
      <w:pPr>
        <w:spacing w:after="0" w:line="622"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/s/ James G. Groninger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G. Groninger</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/s/ Melvin Shapiro</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Melvin Shapiro</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Bernard M. Manuel</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/s/ Peter L. Thigpen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L. Thigpen</w:t>
      </w:r>
    </w:p>
    <w:p>
      <w:pPr>
        <w:sectPr>
          <w:pgSz w:w="11900" w:h="16838" w:orient="portrait"/>
          <w:cols w:equalWidth="0" w:num="1">
            <w:col w:w="10219"/>
          </w:cols>
          <w:pgMar w:left="240" w:top="717" w:right="1440" w:bottom="1440" w:gutter="0" w:footer="0" w:header="0"/>
          <w:type w:val="continuous"/>
        </w:sectPr>
      </w:pPr>
    </w:p>
    <w:bookmarkStart w:id="17" w:name="page18"/>
    <w:bookmarkEnd w:id="17"/>
    <w:p>
      <w:pPr>
        <w:spacing w:after="0"/>
        <w:tabs>
          <w:tab w:leader="none" w:pos="1560" w:val="left"/>
        </w:tabs>
        <w:rPr>
          <w:sz w:val="20"/>
          <w:szCs w:val="20"/>
          <w:color w:val="auto"/>
        </w:rPr>
      </w:pPr>
      <w:r>
        <w:rPr>
          <w:rFonts w:ascii="Courier New" w:cs="Courier New" w:eastAsia="Courier New" w:hAnsi="Courier New"/>
          <w:sz w:val="18"/>
          <w:szCs w:val="18"/>
          <w:color w:val="auto"/>
        </w:rPr>
        <w:t>Exhibit 11.</w:t>
      </w:r>
      <w:r>
        <w:rPr>
          <w:sz w:val="20"/>
          <w:szCs w:val="20"/>
          <w:color w:val="auto"/>
        </w:rPr>
        <w:tab/>
      </w:r>
      <w:r>
        <w:rPr>
          <w:rFonts w:ascii="Courier New" w:cs="Courier New" w:eastAsia="Courier New" w:hAnsi="Courier New"/>
          <w:sz w:val="16"/>
          <w:szCs w:val="16"/>
          <w:color w:val="auto"/>
        </w:rPr>
        <w:t>Statement Re: Computation of Per Share Earnings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Fiscal Year Ended</w:t>
      </w:r>
    </w:p>
    <w:p>
      <w:pPr>
        <w:ind w:left="3060"/>
        <w:spacing w:after="0"/>
        <w:tabs>
          <w:tab w:leader="none" w:pos="4420" w:val="left"/>
        </w:tabs>
        <w:rPr>
          <w:sz w:val="20"/>
          <w:szCs w:val="20"/>
          <w:color w:val="auto"/>
        </w:rPr>
      </w:pPr>
      <w:r>
        <w:rPr>
          <w:rFonts w:ascii="Courier New" w:cs="Courier New" w:eastAsia="Courier New" w:hAnsi="Courier New"/>
          <w:sz w:val="18"/>
          <w:szCs w:val="18"/>
          <w:color w:val="auto"/>
        </w:rPr>
        <w:t>January 28,</w:t>
      </w:r>
      <w:r>
        <w:rPr>
          <w:sz w:val="20"/>
          <w:szCs w:val="20"/>
          <w:color w:val="auto"/>
        </w:rPr>
        <w:tab/>
      </w:r>
      <w:r>
        <w:rPr>
          <w:rFonts w:ascii="Courier New" w:cs="Courier New" w:eastAsia="Courier New" w:hAnsi="Courier New"/>
          <w:sz w:val="16"/>
          <w:szCs w:val="16"/>
          <w:color w:val="auto"/>
        </w:rPr>
        <w:t>January 29,</w:t>
      </w:r>
    </w:p>
    <w:p>
      <w:pPr>
        <w:ind w:left="3060"/>
        <w:spacing w:after="0"/>
        <w:tabs>
          <w:tab w:leader="none" w:pos="462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ind w:left="3060"/>
        <w:spacing w:after="0" w:line="237" w:lineRule="auto"/>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1993</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5600" w:space="200"/>
            <w:col w:w="4419"/>
          </w:cols>
          <w:pgMar w:left="240" w:top="717" w:right="1440"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3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(In thousands, except per share data)</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Income before</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change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$16,903</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$5,669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$12,320</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Cumulative effect on prior</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years of change in accounting</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income taxes</w:t>
            </w:r>
          </w:p>
        </w:tc>
        <w:tc>
          <w:tcPr>
            <w:tcW w:w="14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w:t>
            </w:r>
          </w:p>
        </w:tc>
        <w:tc>
          <w:tcPr>
            <w:tcW w:w="122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$16,903</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$5,748</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$12,320</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Weighted average</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 period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15,914</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15,916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14,354</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Common equivalent</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for</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purposes of calculating</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common equivalent</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15,914</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15,916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14,666</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Incremental shares to</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reflect full dilution</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shares for purposes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fully diluted</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14,841</w:t>
            </w:r>
          </w:p>
        </w:tc>
      </w:tr>
      <w:tr>
        <w:trPr>
          <w:trHeight w:val="203"/>
        </w:trPr>
        <w:tc>
          <w:tcPr>
            <w:tcW w:w="3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before accounting change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$0.36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$0.84</w:t>
            </w: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Cumulative effect on prior years</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of change in accounting for</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per common and</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 (1)</w:t>
            </w:r>
          </w:p>
        </w:tc>
        <w:tc>
          <w:tcPr>
            <w:tcW w:w="14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N/M</w:t>
            </w:r>
          </w:p>
        </w:tc>
        <w:tc>
          <w:tcPr>
            <w:tcW w:w="122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 per common and</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$0.36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$0.84</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net income</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$0.83</w:t>
            </w:r>
          </w:p>
        </w:tc>
      </w:tr>
      <w:tr>
        <w:trPr>
          <w:trHeight w:val="203"/>
        </w:trPr>
        <w:tc>
          <w:tcPr>
            <w:tcW w:w="3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Less than 3% dilutive</w:t>
      </w:r>
    </w:p>
    <w:p>
      <w:pPr>
        <w:spacing w:after="0" w:line="207" w:lineRule="exact"/>
        <w:rPr>
          <w:sz w:val="20"/>
          <w:szCs w:val="20"/>
          <w:color w:val="auto"/>
        </w:rPr>
      </w:pPr>
    </w:p>
    <w:p>
      <w:pPr>
        <w:ind w:left="640" w:right="2199" w:hanging="632"/>
        <w:spacing w:after="0" w:line="290" w:lineRule="auto"/>
        <w:tabs>
          <w:tab w:leader="none" w:pos="42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adopted Statement of Financial Accounting Standards No. 109 "Accounting for Income Taxes" during the first quarter of fiscal 1994.</w:t>
      </w:r>
    </w:p>
    <w:p>
      <w:pPr>
        <w:sectPr>
          <w:pgSz w:w="11900" w:h="16838" w:orient="portrait"/>
          <w:cols w:equalWidth="0" w:num="1">
            <w:col w:w="10219"/>
          </w:cols>
          <w:pgMar w:left="240" w:top="717" w:right="1440" w:bottom="1440" w:gutter="0" w:footer="0" w:header="0"/>
          <w:type w:val="continuous"/>
        </w:sectPr>
      </w:pPr>
    </w:p>
    <w:bookmarkStart w:id="18" w:name="page19"/>
    <w:bookmarkEnd w:id="18"/>
    <w:p>
      <w:pPr>
        <w:spacing w:after="0"/>
        <w:tabs>
          <w:tab w:leader="none" w:pos="1360" w:val="left"/>
        </w:tabs>
        <w:rPr>
          <w:sz w:val="20"/>
          <w:szCs w:val="20"/>
          <w:color w:val="auto"/>
        </w:rPr>
      </w:pPr>
      <w:r>
        <w:rPr>
          <w:rFonts w:ascii="Courier New" w:cs="Courier New" w:eastAsia="Courier New" w:hAnsi="Courier New"/>
          <w:sz w:val="18"/>
          <w:szCs w:val="18"/>
          <w:color w:val="auto"/>
        </w:rPr>
        <w:t>Exhibit 21.</w:t>
      </w:r>
      <w:r>
        <w:rPr>
          <w:sz w:val="20"/>
          <w:szCs w:val="20"/>
          <w:color w:val="auto"/>
        </w:rPr>
        <w:tab/>
      </w:r>
      <w:r>
        <w:rPr>
          <w:rFonts w:ascii="Courier New" w:cs="Courier New" w:eastAsia="Courier New" w:hAnsi="Courier New"/>
          <w:sz w:val="16"/>
          <w:szCs w:val="16"/>
          <w:color w:val="auto"/>
        </w:rPr>
        <w:t>Subsidiaries of the 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Securities Corporation</w:t>
      </w:r>
    </w:p>
    <w:p>
      <w:pPr>
        <w:spacing w:after="0" w:line="238" w:lineRule="auto"/>
        <w:rPr>
          <w:sz w:val="20"/>
          <w:szCs w:val="20"/>
          <w:color w:val="auto"/>
        </w:rPr>
      </w:pPr>
      <w:r>
        <w:rPr>
          <w:rFonts w:ascii="Courier New" w:cs="Courier New" w:eastAsia="Courier New" w:hAnsi="Courier New"/>
          <w:sz w:val="18"/>
          <w:szCs w:val="18"/>
          <w:color w:val="auto"/>
        </w:rPr>
        <w:t>(a Massachusetts securities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JV Corp.</w:t>
      </w:r>
    </w:p>
    <w:p>
      <w:pPr>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Acquisition Corp.</w:t>
      </w:r>
    </w:p>
    <w:p>
      <w:pPr>
        <w:spacing w:after="0" w:line="238" w:lineRule="auto"/>
        <w:rPr>
          <w:sz w:val="20"/>
          <w:szCs w:val="20"/>
          <w:color w:val="auto"/>
        </w:rPr>
      </w:pPr>
      <w:r>
        <w:rPr>
          <w:rFonts w:ascii="Courier New" w:cs="Courier New" w:eastAsia="Courier New" w:hAnsi="Courier New"/>
          <w:sz w:val="18"/>
          <w:szCs w:val="18"/>
          <w:color w:val="auto"/>
        </w:rPr>
        <w:t>(a Delaware corporation)</w:t>
      </w:r>
    </w:p>
    <w:p>
      <w:pPr>
        <w:sectPr>
          <w:pgSz w:w="11900" w:h="16838" w:orient="portrait"/>
          <w:cols w:equalWidth="0" w:num="1">
            <w:col w:w="10219"/>
          </w:cols>
          <w:pgMar w:left="240" w:top="7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left="640" w:right="2839" w:firstLine="527"/>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of Designs, Inc. on Forms S-8 (Reg. Nos. 33-22957, 33-32690, 33-32687 and 33-52892) of our report dated February 24, 1995, on our audits of the consolidated financial statements of Designs, Inc. as of January 28, 1995 and January 29, 1994 and for the three years in the period ended January 28, 1995, which report is incorporated by reference in this Annual Report on Form 10-K.</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860"/>
        <w:spacing w:after="0" w:line="290" w:lineRule="auto"/>
        <w:rPr>
          <w:sz w:val="20"/>
          <w:szCs w:val="20"/>
          <w:color w:val="auto"/>
        </w:rPr>
      </w:pPr>
      <w:r>
        <w:rPr>
          <w:rFonts w:ascii="Courier New" w:cs="Courier New" w:eastAsia="Courier New" w:hAnsi="Courier New"/>
          <w:sz w:val="16"/>
          <w:szCs w:val="16"/>
          <w:color w:val="auto"/>
        </w:rPr>
        <w:t>Boston, Massachusetts April 28,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 L.L.P.</w:t>
      </w:r>
    </w:p>
    <w:p>
      <w:pPr>
        <w:sectPr>
          <w:pgSz w:w="11900" w:h="16838" w:orient="portrait"/>
          <w:cols w:equalWidth="0" w:num="2">
            <w:col w:w="3720" w:space="720"/>
            <w:col w:w="5779"/>
          </w:cols>
          <w:pgMar w:left="240" w:top="717" w:right="1440" w:bottom="1440" w:gutter="0" w:footer="0" w:header="0"/>
          <w:type w:val="continuous"/>
        </w:sectPr>
      </w:pPr>
    </w:p>
    <w:bookmarkStart w:id="20" w:name="page21"/>
    <w:bookmarkEnd w:id="20"/>
    <w:p>
      <w:pPr>
        <w:ind w:left="6120"/>
        <w:spacing w:after="0"/>
        <w:rPr>
          <w:sz w:val="20"/>
          <w:szCs w:val="20"/>
          <w:color w:val="auto"/>
        </w:rPr>
      </w:pPr>
      <w:r>
        <w:rPr>
          <w:rFonts w:ascii="Courier New" w:cs="Courier New" w:eastAsia="Courier New" w:hAnsi="Courier New"/>
          <w:sz w:val="18"/>
          <w:szCs w:val="18"/>
          <w:color w:val="auto"/>
        </w:rPr>
        <w:t>9/19/94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CONSULTING AGREEMENT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Stanley I. 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21, 1994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CONSULTING AGREEMENT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THIS CONSULTING AGREEMENT made as of this 21st day of December, 1994 by and between Designs, Inc., a Delaware corporation (the "Company"), and Stanley I. Berger of Chestnut Hill, Massachusetts (the "Consultant").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WHEREAS, the Consultant has heretofore been employed as a senior executive officer of the Company for more than seventeen years;</w:t>
      </w:r>
    </w:p>
    <w:p>
      <w:pPr>
        <w:spacing w:after="0" w:line="6"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WHEREAS, the Company wishes to retain the Consultant to perform consulting services with respect to the Company's merchandising and merchandising policies for its business; and</w:t>
      </w:r>
    </w:p>
    <w:p>
      <w:pPr>
        <w:spacing w:after="0" w:line="6"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WHEREAS, the Consultant is willing to perform such services for the consideration and on the terms set forth in this Agreement.</w:t>
      </w:r>
    </w:p>
    <w:p>
      <w:pPr>
        <w:spacing w:after="0" w:line="6"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NOW, THEREFORE, in consideration of the premises and the mutual promises hereinafter set forth, the Company and the Consultant hereby agree as follows:</w:t>
      </w:r>
    </w:p>
    <w:p>
      <w:pPr>
        <w:ind w:right="1999" w:firstLine="535"/>
        <w:spacing w:after="0" w:line="268" w:lineRule="auto"/>
        <w:tabs>
          <w:tab w:leader="none" w:pos="1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Scope of Services. The Consultant shall provide consulting services to the Company with respect to its business (the "Work"). In performing the Work, the Consultant shall report to, and act under the direction of, the President of the Company or such other person(s) as the Company may designate.</w:t>
      </w:r>
    </w:p>
    <w:p>
      <w:pPr>
        <w:ind w:right="1779" w:firstLine="535"/>
        <w:spacing w:after="0" w:line="236"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Services. During the term of this Agreement, the Consultant shall devote an average of at least 4 days per week to the Work. The Consultant shall use his best efforts in performing the Work.</w:t>
      </w:r>
    </w:p>
    <w:p>
      <w:pPr>
        <w:spacing w:after="0" w:line="6" w:lineRule="exact"/>
        <w:rPr>
          <w:rFonts w:ascii="Courier New" w:cs="Courier New" w:eastAsia="Courier New" w:hAnsi="Courier New"/>
          <w:sz w:val="18"/>
          <w:szCs w:val="18"/>
          <w:color w:val="auto"/>
        </w:rPr>
      </w:pPr>
    </w:p>
    <w:p>
      <w:pPr>
        <w:ind w:right="1999" w:firstLine="535"/>
        <w:spacing w:after="0" w:line="236"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The term of this Agreement shall commence on the date hereof and shall expire at the close of business on December 20, 1997, unless earlier terminated as hereinafter set forth.</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4"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 consideration for the Consultant's Work hereunder, the Company shall pay him at the rate of $250,000 per annum, payable monthly on the first day of each calendar month in arrears. If this Agreement shall terminate because of the death or disability of the Consultant, the Company shall continue to make such payments to the Consultant, or if he should die, to his wife, Mrs. Sandra Berger (or if she should predecease him, to his estate), for the remainder of the term of this Agreement.</w:t>
      </w:r>
    </w:p>
    <w:p>
      <w:pPr>
        <w:spacing w:after="0" w:line="8" w:lineRule="exact"/>
        <w:rPr>
          <w:rFonts w:ascii="Courier New" w:cs="Courier New" w:eastAsia="Courier New" w:hAnsi="Courier New"/>
          <w:sz w:val="18"/>
          <w:szCs w:val="18"/>
          <w:color w:val="auto"/>
        </w:rPr>
      </w:pPr>
    </w:p>
    <w:p>
      <w:pPr>
        <w:ind w:right="1779" w:firstLine="1061"/>
        <w:spacing w:after="0" w:line="270" w:lineRule="auto"/>
        <w:tabs>
          <w:tab w:leader="none" w:pos="15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and thereafter, the Consultant and his wife, Mrs. Sandra Berger, shall be entitled to participate in the health plan maintained by the Company for its employees, as it may from time to time be in effect, or a comparable plan or arrangement provided by the Company to the extent health coverage for the Consultant and Mrs. Sandra Berger is not provided by Medicare or another government program. Any premiums for such plan or arrangement shall be paid by the Company. During the term of this Agreement, the Consultant shall be entitled to other benefits only to the extent the Company's Board of Directors or the Compensation Committee of such Board of Directors shall separately authorize such benefits (except that the Consultant shall still be entitled to any compensation or benefits due to an outside director of the Company for so long as he shall serve in such capacity).</w:t>
      </w:r>
    </w:p>
    <w:p>
      <w:pPr>
        <w:spacing w:after="0" w:line="187" w:lineRule="exact"/>
        <w:rPr>
          <w:rFonts w:ascii="Courier New" w:cs="Courier New" w:eastAsia="Courier New" w:hAnsi="Courier New"/>
          <w:sz w:val="16"/>
          <w:szCs w:val="16"/>
          <w:color w:val="auto"/>
        </w:rPr>
      </w:pPr>
    </w:p>
    <w:p>
      <w:pPr>
        <w:ind w:right="2319" w:firstLine="1061"/>
        <w:spacing w:after="0" w:line="290" w:lineRule="auto"/>
        <w:tabs>
          <w:tab w:leader="none" w:pos="15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reimburse the Consultant for all expenses reasonably incurred by him in the course of his consulting hereunder and in</w:t>
      </w:r>
    </w:p>
    <w:p>
      <w:pPr>
        <w:sectPr>
          <w:pgSz w:w="11900" w:h="16838" w:orient="portrait"/>
          <w:cols w:equalWidth="0" w:num="1">
            <w:col w:w="10219"/>
          </w:cols>
          <w:pgMar w:left="240" w:top="744"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accordance with the policies of the Company from time to time in effect.</w:t>
      </w:r>
    </w:p>
    <w:p>
      <w:pPr>
        <w:spacing w:after="0" w:line="4" w:lineRule="exact"/>
        <w:rPr>
          <w:sz w:val="20"/>
          <w:szCs w:val="20"/>
          <w:color w:val="auto"/>
        </w:rPr>
      </w:pPr>
    </w:p>
    <w:p>
      <w:pPr>
        <w:ind w:right="1999" w:firstLine="1061"/>
        <w:spacing w:after="0" w:line="237" w:lineRule="auto"/>
        <w:tabs>
          <w:tab w:leader="none" w:pos="158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Company shall make available to the Consultant for use in connection with his work hereunder one late model automobile comparable to the last automobile provided to him by the Company while he was an officer of the Company and shall reimburse the Consultant for reasonable gasoline, repair and other expenses of operation of such automobile. Promptly after December 20, 1997, the Company shall transfer title to such automobile to the Consultant.</w:t>
      </w:r>
    </w:p>
    <w:p>
      <w:pPr>
        <w:spacing w:after="0" w:line="8" w:lineRule="exact"/>
        <w:rPr>
          <w:rFonts w:ascii="Courier New" w:cs="Courier New" w:eastAsia="Courier New" w:hAnsi="Courier New"/>
          <w:sz w:val="18"/>
          <w:szCs w:val="18"/>
          <w:color w:val="auto"/>
        </w:rPr>
      </w:pPr>
    </w:p>
    <w:p>
      <w:pPr>
        <w:ind w:right="2199" w:firstLine="535"/>
        <w:spacing w:after="0" w:line="268" w:lineRule="auto"/>
        <w:tabs>
          <w:tab w:leader="none" w:pos="105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Non-Competition and Protection of Proprietary Information. In recognition of the fact that as a senior consultant of the Company, the Consultant will possess confidential information concerning the Company, its subsidiaries and joint ventures and the Company's suppliers and will possess trade secrets and other proprietary information which are vital to the competitive position and success of the Company, the Consultant agrees that:</w:t>
      </w:r>
    </w:p>
    <w:p>
      <w:pPr>
        <w:spacing w:after="0" w:line="1" w:lineRule="exact"/>
        <w:rPr>
          <w:rFonts w:ascii="Courier New" w:cs="Courier New" w:eastAsia="Courier New" w:hAnsi="Courier New"/>
          <w:sz w:val="16"/>
          <w:szCs w:val="16"/>
          <w:color w:val="auto"/>
        </w:rPr>
      </w:pPr>
    </w:p>
    <w:p>
      <w:pPr>
        <w:ind w:right="1779" w:firstLine="1061"/>
        <w:spacing w:after="0" w:line="269" w:lineRule="auto"/>
        <w:tabs>
          <w:tab w:leader="none" w:pos="158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the Consultant's consulting hereunder and for a period of two (2) years thereafter, the Consultant shall not, directly or indirectly, participate as stockholder, partner, principal, owner, manager, consultant, director, officer, agent, representative or employee in any business, firm, corporation or other entity which directly or indirectly competes in the retail apparel business with the Company or any subsidiary or joint venture of the Company in the eastern United States. In the event that this provision is determined by a court of competent jurisdiction to be unenforceable by reason of its extending for too great a period of time or over too large a geographic area or over too broad a range of activities, it shall be interpreted to extend only over the maximum period of time, geographic area and range of activities as to which it may be enforceable. Notwithstanding the foregoing, the Consultant may own an equity interest in any corporation so long as such corporation's securities are traded on a registered securities exchange or in the "over-the-counter" market and such equity interest therein does not exceed 5% of the total equity of such corporation.</w:t>
      </w:r>
    </w:p>
    <w:p>
      <w:pPr>
        <w:spacing w:after="0" w:line="193" w:lineRule="exact"/>
        <w:rPr>
          <w:rFonts w:ascii="Courier New" w:cs="Courier New" w:eastAsia="Courier New" w:hAnsi="Courier New"/>
          <w:sz w:val="16"/>
          <w:szCs w:val="16"/>
          <w:color w:val="auto"/>
        </w:rPr>
      </w:pPr>
    </w:p>
    <w:p>
      <w:pPr>
        <w:ind w:right="1779" w:firstLine="1061"/>
        <w:spacing w:after="0" w:line="238" w:lineRule="auto"/>
        <w:tabs>
          <w:tab w:leader="none" w:pos="158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shall hold confidential all of the trade secrets and other proprietary information of the Company, or any of its subsidiaries or joint ventures or the Company's suppliers, and shall not, during or after the termination of his employment hereunder, use any of such trade secrets and other proprietary information or any part thereof, for any purpose other than those of the Company, its subsidiaries or joint ventures or disclose any such trade secret or proprietary information to any person, firm, corporation or other entity, whether or not in competition with the Company or any subsidiary or joint venture of the Company, for any reason or purpose whatsoever. The foregoing restrictions shall not apply to any information which the Consultant is required to disclose by law or by order of court or which the Consultant can demonstrate (a) is or becomes generally available to or otherwise enters the public domain other than by breach by the Consultant of his agreements herein or by action of a member of his family or (b) is received by the Consultant from any person or entity other than a member of his family, which person or entity has no obligation to maintain such information in confidence.</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4" w:lineRule="exact"/>
        <w:rPr>
          <w:rFonts w:ascii="Courier New" w:cs="Courier New" w:eastAsia="Courier New" w:hAnsi="Courier New"/>
          <w:sz w:val="18"/>
          <w:szCs w:val="18"/>
          <w:color w:val="auto"/>
        </w:rPr>
      </w:pPr>
    </w:p>
    <w:p>
      <w:pPr>
        <w:jc w:val="both"/>
        <w:ind w:right="1999" w:firstLine="1061"/>
        <w:spacing w:after="0" w:line="268" w:lineRule="auto"/>
        <w:tabs>
          <w:tab w:leader="none" w:pos="158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automatically at any time during its term upon the death of the Consultant. In addition, this Agreement may be terminated by the Company upon written notice to the Consultant on account of disability of the Consultant, or for cause, each as defined below.</w:t>
      </w:r>
    </w:p>
    <w:p>
      <w:pPr>
        <w:ind w:left="540" w:right="1999" w:firstLine="1048"/>
        <w:spacing w:after="0" w:line="237" w:lineRule="auto"/>
        <w:tabs>
          <w:tab w:leader="none" w:pos="2120"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6(a), "disability" shall mean the inability of the Consultant to perform his duties hereunder for a period of six (6) consecutive months due to the incapacity, by reason of health or otherwise, of the Consultant.</w:t>
      </w:r>
    </w:p>
    <w:p>
      <w:pPr>
        <w:spacing w:after="0" w:line="4" w:lineRule="exact"/>
        <w:rPr>
          <w:rFonts w:ascii="Courier New" w:cs="Courier New" w:eastAsia="Courier New" w:hAnsi="Courier New"/>
          <w:sz w:val="18"/>
          <w:szCs w:val="18"/>
          <w:color w:val="auto"/>
        </w:rPr>
      </w:pPr>
    </w:p>
    <w:p>
      <w:pPr>
        <w:ind w:left="540" w:right="1779" w:firstLine="1048"/>
        <w:spacing w:after="0" w:line="237" w:lineRule="auto"/>
        <w:tabs>
          <w:tab w:leader="none" w:pos="2225"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6(a), "cause" shall mean any conduct by the Consultant which involves (A) any dishonesty, moral turpitude, embezzlement, fraud or criminal misconduct, it being expressly agreed and understood that no conviction of the Consultant for such conduct shall be required for such conduct to constitute "cause" hereunder; (B) any material violation of the written policies of the Company; (C) any material non-performance of duties; (D) any breach of any term or condition of this Agreement; or (E) any action which is purposely disloyal and detrimental to the Company.</w:t>
      </w:r>
    </w:p>
    <w:p>
      <w:pPr>
        <w:spacing w:after="0" w:line="10"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terminated by the Consultant upon fourteen</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written notice to the Company if the Company shall fail without appropriate justification hereunder to make two consecutive payments required under Section 4 hereof or commits any other material breach of this Agreement unless the Company cures such nonpayment or breach within ten (10) days of receipt of written notice thereof from the Consultant. Upon any such termination for nonpayment or breach by the Company, as the Consultant's sole remedy, all remaining amounts otherwise payable under Section 4(a) hereof (whether or not otherwise due and payable at the time of such termination) shall immediately be due and payable, and the Consultant shall be entitled to interest thereon at the rate of eight (8%) per annum until such amount shall be paid to him.</w:t>
      </w:r>
    </w:p>
    <w:p>
      <w:pPr>
        <w:spacing w:after="0" w:line="9"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terminated by the Consultant upon sixty</w:t>
      </w:r>
    </w:p>
    <w:p>
      <w:pPr>
        <w:spacing w:after="0" w:line="4" w:lineRule="exact"/>
        <w:rPr>
          <w:rFonts w:ascii="Courier New" w:cs="Courier New" w:eastAsia="Courier New" w:hAnsi="Courier New"/>
          <w:sz w:val="18"/>
          <w:szCs w:val="18"/>
          <w:color w:val="auto"/>
        </w:rPr>
      </w:pPr>
    </w:p>
    <w:p>
      <w:pPr>
        <w:ind w:right="2099" w:firstLine="8"/>
        <w:spacing w:after="0" w:line="275" w:lineRule="auto"/>
        <w:tabs>
          <w:tab w:leader="none" w:pos="52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written notice to the Company if the Consultant determines that, due to personal circumstances, he is unwilling or unable to continue to perform his obligations hereunder. In such event, Sections 1, 2 and 4 hereof shall cease to be of any force or effect, but the remainder of this Agreement</w:t>
      </w:r>
    </w:p>
    <w:p>
      <w:pPr>
        <w:sectPr>
          <w:pgSz w:w="11900" w:h="16838" w:orient="portrait"/>
          <w:cols w:equalWidth="0" w:num="1">
            <w:col w:w="10219"/>
          </w:cols>
          <w:pgMar w:left="240" w:top="136"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shall survive such termination.</w:t>
      </w:r>
    </w:p>
    <w:p>
      <w:pPr>
        <w:spacing w:after="0" w:line="4" w:lineRule="exact"/>
        <w:rPr>
          <w:sz w:val="20"/>
          <w:szCs w:val="20"/>
          <w:color w:val="auto"/>
        </w:rPr>
      </w:pPr>
    </w:p>
    <w:p>
      <w:pPr>
        <w:ind w:right="1779" w:firstLine="1061"/>
        <w:spacing w:after="0" w:line="236" w:lineRule="auto"/>
        <w:tabs>
          <w:tab w:leader="none" w:pos="1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breach of this Agreement, the non-breaching party shall be paid by the breaching party its or his reasonable attorneys' fees incurred in enforcement of the Agreement.</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Provisions.</w:t>
      </w:r>
    </w:p>
    <w:p>
      <w:pPr>
        <w:spacing w:after="0" w:line="4"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Agreement shall require the Company to remain in the apparel retail business for any period of time, or, except as specifically provided in this Agreement, restrict the Company in any way in the management of its business or any part thereof.</w:t>
      </w:r>
    </w:p>
    <w:p>
      <w:pPr>
        <w:spacing w:after="0" w:line="4"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Consultant acknowledges that money damages alone will not adequately compensate the Company for breach of any of his obligations under Section 5 hereof and, therefore, agrees that in the event of the breach or a threatened breach of any such obligation, in addition to all other remedies available to the Company, at law, in equity or otherwise, the Company shall be entitled to injunctive relief compelling specific performance of, or other compliance with, the terms of such Section.</w:t>
      </w:r>
    </w:p>
    <w:p>
      <w:pPr>
        <w:spacing w:after="0" w:line="8" w:lineRule="exact"/>
        <w:rPr>
          <w:rFonts w:ascii="Courier New" w:cs="Courier New" w:eastAsia="Courier New" w:hAnsi="Courier New"/>
          <w:sz w:val="18"/>
          <w:szCs w:val="18"/>
          <w:color w:val="auto"/>
        </w:rPr>
      </w:pPr>
    </w:p>
    <w:p>
      <w:pPr>
        <w:ind w:right="2099" w:firstLine="1061"/>
        <w:spacing w:after="0" w:line="268" w:lineRule="auto"/>
        <w:tabs>
          <w:tab w:leader="none" w:pos="15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covenants and agreements of the Consultant in Section 5 hereof shall survive the expiration or earlier termination of this Agreement.</w:t>
      </w:r>
    </w:p>
    <w:p>
      <w:pPr>
        <w:ind w:right="1779" w:firstLine="1061"/>
        <w:spacing w:after="0" w:line="238"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furnishing services pursuant to this Agreement, the Consultant shall at all times act as an independent contractor. This Agreement shall not constitute the Consultant an agent or legal representative of the Company for any purpose whatsoever and creates no relationship of employment, principal and agent, partnership or joint venturers. The Consultant shall have no authority to bind the Company or to create any express or implied obligation for the Company, and shall not hold himself out as having such authority. The Consultant shall have full responsibility for payment of, and shall pay, all compensation, social security, unemployment, withholding and other taxes and charges for himself as and when the same become due and payable, and the Company shall have no obligation to pay or make available any employee benefit to the Consultant other than the health benefits described in Section 4(b) of this Agreement and the provision of an automobile described in Section 4(d) of this Agreement and other than any compensation or benefits that may be due to him as an outside director.</w:t>
      </w:r>
    </w:p>
    <w:p>
      <w:pPr>
        <w:spacing w:after="0" w:line="5" w:lineRule="exact"/>
        <w:rPr>
          <w:rFonts w:ascii="Courier New" w:cs="Courier New" w:eastAsia="Courier New" w:hAnsi="Courier New"/>
          <w:sz w:val="18"/>
          <w:szCs w:val="18"/>
          <w:color w:val="auto"/>
        </w:rPr>
      </w:pPr>
    </w:p>
    <w:p>
      <w:pPr>
        <w:ind w:right="1999" w:firstLine="1061"/>
        <w:spacing w:after="0" w:line="268" w:lineRule="auto"/>
        <w:tabs>
          <w:tab w:leader="none" w:pos="15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rights and obligations of the Consultant hereunder are personal and shall not be assigned by him without the prior written consent of the Company, which consent may be withheld for any reason.</w:t>
      </w:r>
    </w:p>
    <w:p>
      <w:pPr>
        <w:ind w:right="1779" w:firstLine="1061"/>
        <w:spacing w:after="0" w:line="235"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amended, modified or supplemented only by a written instrument executed by the parties hereto.</w:t>
      </w:r>
    </w:p>
    <w:p>
      <w:pPr>
        <w:spacing w:after="0" w:line="5"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of any provision of this Agreement or consent to any departure from the terms hereof shall be effective unless the same shall be in writing and signed by the party waiving or consenting thereto. No failure on the part of any party to exercise, or delay in exercising, any right or remedy hereunder shall operate as a waiver thereof, nor shall any single or partial exercise of any such right or remedy by such party preclude any other or further exercise thereof or the exercise of any other right or remedy. The waiver by any party hereto of a breach of any provision of this Agreement shall not operate as a waiver of any subsequent breach. All rights and remedies hereunder are cumulative and are in addition to and not exclusive of any other rights and remedies provided by law.</w:t>
      </w:r>
    </w:p>
    <w:p>
      <w:pPr>
        <w:spacing w:after="0" w:line="13" w:lineRule="exact"/>
        <w:rPr>
          <w:rFonts w:ascii="Courier New" w:cs="Courier New" w:eastAsia="Courier New" w:hAnsi="Courier New"/>
          <w:sz w:val="18"/>
          <w:szCs w:val="18"/>
          <w:color w:val="auto"/>
        </w:rPr>
      </w:pPr>
    </w:p>
    <w:p>
      <w:pPr>
        <w:ind w:right="1779" w:firstLine="1061"/>
        <w:spacing w:after="0" w:line="268" w:lineRule="auto"/>
        <w:tabs>
          <w:tab w:leader="none" w:pos="15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requests, demands and other communications which are required or may be given under this Agreement shall be in writing and shall be</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deemed to have been duly given when delivered personally or sent by registered</w:t>
      </w:r>
    </w:p>
    <w:p>
      <w:pPr>
        <w:spacing w:after="0" w:line="203" w:lineRule="exact"/>
        <w:rPr>
          <w:sz w:val="20"/>
          <w:szCs w:val="20"/>
          <w:color w:val="auto"/>
        </w:rPr>
      </w:pPr>
    </w:p>
    <w:p>
      <w:pPr>
        <w:ind w:left="540" w:right="1999" w:hanging="526"/>
        <w:spacing w:after="0"/>
        <w:rPr>
          <w:sz w:val="20"/>
          <w:szCs w:val="20"/>
          <w:color w:val="auto"/>
        </w:rPr>
      </w:pPr>
      <w:r>
        <w:rPr>
          <w:rFonts w:ascii="Courier New" w:cs="Courier New" w:eastAsia="Courier New" w:hAnsi="Courier New"/>
          <w:sz w:val="18"/>
          <w:szCs w:val="18"/>
          <w:color w:val="auto"/>
        </w:rPr>
        <w:t>or certified mail, return receipt requested, postage prepaid</w:t>
      </w:r>
      <w:r>
        <w:rPr>
          <w:sz w:val="20"/>
          <w:szCs w:val="20"/>
          <w:color w:val="auto"/>
        </w:rPr>
        <w:t xml:space="preserve"> </w:t>
      </w:r>
      <w:r>
        <w:rPr>
          <w:rFonts w:ascii="Courier New" w:cs="Courier New" w:eastAsia="Courier New" w:hAnsi="Courier New"/>
          <w:sz w:val="18"/>
          <w:szCs w:val="18"/>
          <w:color w:val="auto"/>
        </w:rPr>
        <w:t>(i) if to the Consultant, to</w:t>
      </w:r>
    </w:p>
    <w:p>
      <w:pPr>
        <w:spacing w:after="0" w:line="39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Stanley I. Berger</w:t>
      </w:r>
    </w:p>
    <w:p>
      <w:pPr>
        <w:ind w:left="2120"/>
        <w:spacing w:after="0" w:line="238" w:lineRule="auto"/>
        <w:rPr>
          <w:sz w:val="20"/>
          <w:szCs w:val="20"/>
          <w:color w:val="auto"/>
        </w:rPr>
      </w:pPr>
      <w:r>
        <w:rPr>
          <w:rFonts w:ascii="Courier New" w:cs="Courier New" w:eastAsia="Courier New" w:hAnsi="Courier New"/>
          <w:sz w:val="18"/>
          <w:szCs w:val="18"/>
          <w:color w:val="auto"/>
        </w:rPr>
        <w:t>100 Essex Road</w:t>
      </w:r>
    </w:p>
    <w:p>
      <w:pPr>
        <w:ind w:left="2120"/>
        <w:spacing w:after="0"/>
        <w:rPr>
          <w:sz w:val="20"/>
          <w:szCs w:val="20"/>
          <w:color w:val="auto"/>
        </w:rPr>
      </w:pPr>
      <w:r>
        <w:rPr>
          <w:rFonts w:ascii="Courier New" w:cs="Courier New" w:eastAsia="Courier New" w:hAnsi="Courier New"/>
          <w:sz w:val="18"/>
          <w:szCs w:val="18"/>
          <w:color w:val="auto"/>
        </w:rPr>
        <w:t>Chestnut Hill, Massachusetts 02167</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(ii) if to the Company, to</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Designs, Inc.</w:t>
      </w:r>
    </w:p>
    <w:p>
      <w:pPr>
        <w:ind w:left="2120"/>
        <w:spacing w:after="0" w:line="238" w:lineRule="auto"/>
        <w:rPr>
          <w:sz w:val="20"/>
          <w:szCs w:val="20"/>
          <w:color w:val="auto"/>
        </w:rPr>
      </w:pPr>
      <w:r>
        <w:rPr>
          <w:rFonts w:ascii="Courier New" w:cs="Courier New" w:eastAsia="Courier New" w:hAnsi="Courier New"/>
          <w:sz w:val="18"/>
          <w:szCs w:val="18"/>
          <w:color w:val="auto"/>
        </w:rPr>
        <w:t>1244 Boylston Street</w:t>
      </w:r>
    </w:p>
    <w:p>
      <w:pPr>
        <w:ind w:left="2120"/>
        <w:spacing w:after="0"/>
        <w:rPr>
          <w:sz w:val="20"/>
          <w:szCs w:val="20"/>
          <w:color w:val="auto"/>
        </w:rPr>
      </w:pPr>
      <w:r>
        <w:rPr>
          <w:rFonts w:ascii="Courier New" w:cs="Courier New" w:eastAsia="Courier New" w:hAnsi="Courier New"/>
          <w:sz w:val="18"/>
          <w:szCs w:val="18"/>
          <w:color w:val="auto"/>
        </w:rPr>
        <w:t>Chestnut Hill, Massachusetts 02167</w:t>
      </w:r>
    </w:p>
    <w:p>
      <w:pPr>
        <w:ind w:left="2120"/>
        <w:spacing w:after="0" w:line="237" w:lineRule="auto"/>
        <w:tabs>
          <w:tab w:leader="none" w:pos="3360" w:val="left"/>
        </w:tabs>
        <w:rPr>
          <w:sz w:val="20"/>
          <w:szCs w:val="20"/>
          <w:color w:val="auto"/>
        </w:rPr>
      </w:pPr>
      <w:r>
        <w:rPr>
          <w:rFonts w:ascii="Courier New" w:cs="Courier New" w:eastAsia="Courier New" w:hAnsi="Courier New"/>
          <w:sz w:val="18"/>
          <w:szCs w:val="18"/>
          <w:color w:val="auto"/>
        </w:rPr>
        <w:t>Attention:</w:t>
        <w:tab/>
        <w:t>Chief Executive Officer</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or to such other address as the Consultant or the Company shall have specified by such notice in writing to the other.</w:t>
      </w:r>
    </w:p>
    <w:p>
      <w:pPr>
        <w:spacing w:after="0" w:line="6" w:lineRule="exact"/>
        <w:rPr>
          <w:sz w:val="20"/>
          <w:szCs w:val="20"/>
          <w:color w:val="auto"/>
        </w:rPr>
      </w:pPr>
    </w:p>
    <w:p>
      <w:pPr>
        <w:ind w:right="2319" w:firstLine="1061"/>
        <w:spacing w:after="0" w:line="237"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the entire agreement between the parties hereto with respect to the subject matter hereof and supersedes all prior agreements and understandings, whether written or oral, between the parties concerning such subject matter.</w:t>
      </w:r>
    </w:p>
    <w:p>
      <w:pPr>
        <w:spacing w:after="0" w:line="4"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inure to the benefit of, and be binding upon, the Consultant and his heirs, legal representatives, successors and permitted assigns and the Company and its successors and permitted assigns, including, without limitation, any corporation with which the Company may merge or consolidate pursuant to a transaction in which the Company is not the surviving corporation.</w:t>
      </w:r>
    </w:p>
    <w:p>
      <w:pPr>
        <w:spacing w:after="0" w:line="7" w:lineRule="exact"/>
        <w:rPr>
          <w:rFonts w:ascii="Courier New" w:cs="Courier New" w:eastAsia="Courier New" w:hAnsi="Courier New"/>
          <w:sz w:val="18"/>
          <w:szCs w:val="18"/>
          <w:color w:val="auto"/>
        </w:rPr>
      </w:pPr>
    </w:p>
    <w:p>
      <w:pPr>
        <w:jc w:val="both"/>
        <w:ind w:right="1999" w:firstLine="1061"/>
        <w:spacing w:after="0" w:line="236"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ectPr>
          <w:pgSz w:w="11900" w:h="16838" w:orient="portrait"/>
          <w:cols w:equalWidth="0" w:num="1">
            <w:col w:w="10219"/>
          </w:cols>
          <w:pgMar w:left="240" w:top="136" w:right="1440" w:bottom="0" w:gutter="0" w:footer="0" w:header="0"/>
        </w:sectPr>
      </w:pPr>
    </w:p>
    <w:bookmarkStart w:id="23" w:name="page24"/>
    <w:bookmarkEnd w:id="23"/>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the Company and the Consultant have executed this Consulting Agreement as of the date first above written.</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2980" w:space="720"/>
            <w:col w:w="651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Scott N. Semel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Joel H. Reichman</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WITNESS:</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Scott N. Semel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Stanley I. Berger</w:t>
      </w:r>
    </w:p>
    <w:p>
      <w:pPr>
        <w:sectPr>
          <w:pgSz w:w="11900" w:h="16838" w:orient="portrait"/>
          <w:cols w:equalWidth="0" w:num="2">
            <w:col w:w="2980" w:space="720"/>
            <w:col w:w="6519"/>
          </w:cols>
          <w:pgMar w:left="240" w:top="142" w:right="1440" w:bottom="1440" w:gutter="0" w:footer="0" w:header="0"/>
          <w:type w:val="continuous"/>
        </w:sectPr>
      </w:pPr>
    </w:p>
    <w:bookmarkStart w:id="24" w:name="page25"/>
    <w:bookmarkEnd w:id="24"/>
    <w:p>
      <w:pPr>
        <w:ind w:left="2440"/>
        <w:spacing w:after="0"/>
        <w:rPr>
          <w:sz w:val="20"/>
          <w:szCs w:val="20"/>
          <w:color w:val="auto"/>
        </w:rPr>
      </w:pPr>
      <w:r>
        <w:rPr>
          <w:rFonts w:ascii="Courier New" w:cs="Courier New" w:eastAsia="Courier New" w:hAnsi="Courier New"/>
          <w:sz w:val="18"/>
          <w:szCs w:val="18"/>
          <w:color w:val="auto"/>
        </w:rPr>
        <w:t>EMPLOYEE SEPARATION AGREEMENT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made as of this 27th day of December, 1994 by and between Designs, Inc., a Delaware corporation having a usual place of business in Chestnut Hill, Massachusetts ("Designs"), and Geoffrey M. Holczer ("Holczer") of Newton, Massachusetts.</w:t>
      </w:r>
    </w:p>
    <w:p>
      <w:pPr>
        <w:spacing w:after="0" w:line="202" w:lineRule="exact"/>
        <w:rPr>
          <w:sz w:val="20"/>
          <w:szCs w:val="20"/>
          <w:color w:val="auto"/>
        </w:rPr>
      </w:pPr>
    </w:p>
    <w:p>
      <w:pPr>
        <w:ind w:left="2320"/>
        <w:spacing w:after="0"/>
        <w:tabs>
          <w:tab w:leader="none" w:pos="4620" w:val="left"/>
        </w:tabs>
        <w:rPr>
          <w:sz w:val="20"/>
          <w:szCs w:val="20"/>
          <w:color w:val="auto"/>
        </w:rPr>
      </w:pPr>
      <w:r>
        <w:rPr>
          <w:rFonts w:ascii="Courier New" w:cs="Courier New" w:eastAsia="Courier New" w:hAnsi="Courier New"/>
          <w:sz w:val="18"/>
          <w:szCs w:val="18"/>
          <w:color w:val="auto"/>
        </w:rPr>
        <w:t>W I T N E S S E T H</w:t>
      </w:r>
      <w:r>
        <w:rPr>
          <w:sz w:val="20"/>
          <w:szCs w:val="20"/>
          <w:color w:val="auto"/>
        </w:rPr>
        <w:tab/>
      </w:r>
      <w:r>
        <w:rPr>
          <w:rFonts w:ascii="Courier New" w:cs="Courier New" w:eastAsia="Courier New" w:hAnsi="Courier New"/>
          <w:sz w:val="16"/>
          <w:szCs w:val="16"/>
          <w:color w:val="auto"/>
        </w:rPr>
        <w:t>T H A T:</w:t>
      </w:r>
    </w:p>
    <w:p>
      <w:pPr>
        <w:ind w:left="2320"/>
        <w:spacing w:after="0"/>
        <w:tabs>
          <w:tab w:leader="none" w:pos="4620" w:val="left"/>
        </w:tabs>
        <w:rPr>
          <w:sz w:val="20"/>
          <w:szCs w:val="20"/>
          <w:color w:val="auto"/>
        </w:rPr>
      </w:pPr>
      <w:r>
        <w:rPr>
          <w:rFonts w:ascii="Courier New" w:cs="Courier New" w:eastAsia="Courier New" w:hAnsi="Courier New"/>
          <w:sz w:val="18"/>
          <w:szCs w:val="18"/>
          <w:color w:val="auto"/>
        </w:rPr>
        <w:t>- - - - - - - - - -</w:t>
      </w:r>
      <w:r>
        <w:rPr>
          <w:sz w:val="20"/>
          <w:szCs w:val="20"/>
          <w:color w:val="auto"/>
        </w:rPr>
        <w:tab/>
      </w:r>
      <w:r>
        <w:rPr>
          <w:rFonts w:ascii="Courier New" w:cs="Courier New" w:eastAsia="Courier New" w:hAnsi="Courier New"/>
          <w:sz w:val="16"/>
          <w:szCs w:val="16"/>
          <w:color w:val="auto"/>
        </w:rPr>
        <w:t>- - -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WHEREAS,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Designs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w w:val="99"/>
              </w:rPr>
              <w:t>employed Holczer most</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w w:val="96"/>
              </w:rPr>
              <w:t>recently as Senior Vice</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President Finance and</w:t>
            </w:r>
          </w:p>
        </w:tc>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Treasurer; and</w:t>
            </w:r>
          </w:p>
        </w:tc>
        <w:tc>
          <w:tcPr>
            <w:tcW w:w="2460" w:type="dxa"/>
            <w:vAlign w:val="bottom"/>
          </w:tcPr>
          <w:p>
            <w:pPr>
              <w:spacing w:after="0"/>
              <w:rPr>
                <w:sz w:val="17"/>
                <w:szCs w:val="17"/>
                <w:color w:val="auto"/>
              </w:rPr>
            </w:pP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WHEREAS,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Designs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Holczer desire to set</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forth the terms of the</w:t>
            </w:r>
          </w:p>
        </w:tc>
      </w:tr>
    </w:tbl>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termination of Holczer's employment at Designs and his employee separation package;</w:t>
      </w:r>
    </w:p>
    <w:p>
      <w:pPr>
        <w:spacing w:after="0" w:line="6"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NOW, THEREFORE, in consideration of the premises and the covenants and agreements set forth herein, Designs and Holczer hereby agree as follows:</w:t>
      </w:r>
    </w:p>
    <w:p>
      <w:pPr>
        <w:ind w:right="1779" w:firstLine="535"/>
        <w:spacing w:after="0" w:line="237"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hereby resigns as Senior Vice President-Finance, Treasurer and an employee of Designs, effective December 6, 1994. At the request of Designs, Holczer will execute and deliver to Designs a separate instrument embodying such resignation. Holczer shall not hereafter be considered an employee of Designs, and, except as specifically set forth herein, he shall not be required to perform any services for Designs. As used in this Agreement, the term "termination date" means December 6, 1994, the date on which Holczer's employment by Designs terminated.</w:t>
      </w:r>
    </w:p>
    <w:p>
      <w:pPr>
        <w:spacing w:after="0" w:line="9"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Provided Holczer has executed and delivered this Agreement and has not revoked it in accordance with Section 26 hereof, commencing on the date seven days after the end of the revocation period (as hereinafter defined) and continuing for a period (hereinafter referred to as the "salary continuation period") of six months, Holczer shall be paid his full base salary less applicable deductions for taxes and any continued benefit plans. Except as expressly set forth in this Agreement, he shall not be entitled to continue to participate in any welfare or benefit plan maintained by Designs. All payments during the salary continuation period shall be made at or about the time of Designs' bi-monthly pay cycle.</w:t>
      </w:r>
    </w:p>
    <w:p>
      <w:pPr>
        <w:spacing w:after="0" w:line="12"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agrees that he will promptly notify Designs when he anticipates commencing full-time employment and shall provide Designs with the date on which such employment will commence and the name of his employer and description of his duties with the detail described above. Holczer shall also promptly notify Designs when he anticipates commencing any employment which he believes does not constitute full-time employment.</w:t>
      </w:r>
    </w:p>
    <w:p>
      <w:pPr>
        <w:spacing w:after="0" w:line="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"full-time employment" means employment (as that term is defined by common law and the regulations of the Internal Revenue Service) for a wage or salary on a substantially full-time basis. Without limiting the generality of the foregoing, full-time employment shall specifically include any self-employment, whether as a consultant or otherwise, or any employment in which Holczer will accrue any retirement benefits (whether or not vested), medical coverage or other health or welfare benefits.</w:t>
      </w:r>
    </w:p>
    <w:p>
      <w:pPr>
        <w:spacing w:after="0" w:line="8" w:lineRule="exact"/>
        <w:rPr>
          <w:rFonts w:ascii="Courier New" w:cs="Courier New" w:eastAsia="Courier New" w:hAnsi="Courier New"/>
          <w:sz w:val="18"/>
          <w:szCs w:val="18"/>
          <w:color w:val="auto"/>
        </w:rPr>
      </w:pPr>
    </w:p>
    <w:p>
      <w:pPr>
        <w:ind w:right="1999" w:firstLine="535"/>
        <w:spacing w:after="0" w:line="268" w:lineRule="auto"/>
        <w:tabs>
          <w:tab w:leader="none" w:pos="115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Holczer has executed and delivered this Agreement and has not revoked it in accordance with Section 26 hereof, Holczer shall be paid a bonus for fiscal year 1995 in an amount calculated in accordance with Designs' Executive Incentive Plan in three equal monthly installments commencing one month after the end of the salary continuation period (the "bonus period").</w:t>
      </w:r>
    </w:p>
    <w:p>
      <w:pPr>
        <w:jc w:val="both"/>
        <w:ind w:right="1999" w:firstLine="535"/>
        <w:spacing w:after="0" w:line="237"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fourteenth (14th) day following the execution and delivery of this Agreement, provided Holczer has not theretofore revoked this Agreement in accordance with Section 26 hereof, Designs shall transfer title to Holczer of the Cadillac automobile owned by Designs which he now drives.</w:t>
      </w:r>
    </w:p>
    <w:p>
      <w:pPr>
        <w:spacing w:after="0" w:line="4"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Holczer shall be paid in full for his sick time and vacation time accrued through the termination date. He will not accrue further sick time or vacation time after his termination date. Consequently, he will not accrue sick time or vacation time during the salary continuation period.</w:t>
      </w:r>
    </w:p>
    <w:p>
      <w:pPr>
        <w:spacing w:after="0" w:line="4" w:lineRule="exact"/>
        <w:rPr>
          <w:rFonts w:ascii="Courier New" w:cs="Courier New" w:eastAsia="Courier New" w:hAnsi="Courier New"/>
          <w:sz w:val="18"/>
          <w:szCs w:val="18"/>
          <w:color w:val="auto"/>
        </w:rPr>
      </w:pPr>
    </w:p>
    <w:p>
      <w:pPr>
        <w:ind w:right="1879" w:firstLine="1061"/>
        <w:spacing w:after="0" w:line="268" w:lineRule="auto"/>
        <w:tabs>
          <w:tab w:leader="none" w:pos="158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Holczer has executed and delivered this Agreement and has not revoked it in accordance with Section 26 hereof, Designs shall continue Holczer's health insurance coverage under Designs' standard group plans for the duration of the salary continuation period plus the three month bonus period.</w:t>
      </w:r>
    </w:p>
    <w:p>
      <w:pPr>
        <w:ind w:right="2099" w:firstLine="1061"/>
        <w:spacing w:after="0" w:line="268" w:lineRule="auto"/>
        <w:tabs>
          <w:tab w:leader="none" w:pos="158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Holczer acknowledges that his rights under the Consolidated Omnibus Budget Reconciliation Act ("COBRA") become effective as of the end of his salary continuation plus bonus period and entitle him to participate in Designs' group health insurance plan (at his own expense) under the terms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COBRA.</w:t>
      </w:r>
    </w:p>
    <w:p>
      <w:pPr>
        <w:ind w:left="1480" w:hanging="524"/>
        <w:spacing w:after="0" w:line="238" w:lineRule="auto"/>
        <w:tabs>
          <w:tab w:leader="none" w:pos="14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which have heretofore been granted to Holczer</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under Designs' 1987 Incentive Stock Option Plan, 1987 Non-Qualified Stock Option Plan, and 1992 Stock Incentive Plan shall be exercisable in accordance with their terms for thirty (30) days after the termination date.</w:t>
      </w:r>
    </w:p>
    <w:p>
      <w:pPr>
        <w:spacing w:after="0" w:line="6" w:lineRule="exact"/>
        <w:rPr>
          <w:sz w:val="20"/>
          <w:szCs w:val="20"/>
          <w:color w:val="auto"/>
        </w:rPr>
      </w:pPr>
    </w:p>
    <w:p>
      <w:pPr>
        <w:ind w:right="1779" w:firstLine="535"/>
        <w:spacing w:after="0" w:line="275" w:lineRule="auto"/>
        <w:tabs>
          <w:tab w:leader="none" w:pos="105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assist Holczer in finding employment, for a period of six months following the end of the revocation period, provided Holczer has executed and delivered this Agreement and has not revoked it in accordance with Section 26 hereof, Designs shall provide to Holczer, and pay the reasonable cost of, (1)</w:t>
      </w:r>
    </w:p>
    <w:p>
      <w:pPr>
        <w:sectPr>
          <w:pgSz w:w="11900" w:h="16838" w:orient="portrait"/>
          <w:cols w:equalWidth="0" w:num="1">
            <w:col w:w="10219"/>
          </w:cols>
          <w:pgMar w:left="240" w:top="541" w:right="1440" w:bottom="0" w:gutter="0" w:footer="0" w:header="0"/>
        </w:sectPr>
      </w:pPr>
    </w:p>
    <w:bookmarkStart w:id="25" w:name="page26"/>
    <w:bookmarkEnd w:id="25"/>
    <w:p>
      <w:pPr>
        <w:ind w:right="1879"/>
        <w:spacing w:after="0" w:line="268" w:lineRule="auto"/>
        <w:rPr>
          <w:sz w:val="20"/>
          <w:szCs w:val="20"/>
          <w:color w:val="auto"/>
        </w:rPr>
      </w:pPr>
      <w:r>
        <w:rPr>
          <w:rFonts w:ascii="Courier New" w:cs="Courier New" w:eastAsia="Courier New" w:hAnsi="Courier New"/>
          <w:sz w:val="16"/>
          <w:szCs w:val="16"/>
          <w:color w:val="auto"/>
        </w:rPr>
        <w:t>the service of an outplacement organization of Holczer's choice but reasonably satisfactory to Designs, and of (2) reasonable and documented transition expenses in finding employment, such outplacement and transition costs together not to exceed $7500 in total. Designs shall furnish to any potential employer only confirmation of dates of employment and position in accordance with its normal policy. Holczer and Designs agree that unless otherwise required by law or an order of a court or governmental agency, public statements concerning the reasons for Holczer's termination of employment at Designs will be limited to the language agreed on or otherwise set by management on the termination date.</w:t>
      </w:r>
    </w:p>
    <w:p>
      <w:pPr>
        <w:spacing w:after="0" w:line="2" w:lineRule="exact"/>
        <w:rPr>
          <w:sz w:val="20"/>
          <w:szCs w:val="20"/>
          <w:color w:val="auto"/>
        </w:rPr>
      </w:pPr>
    </w:p>
    <w:p>
      <w:pPr>
        <w:ind w:right="1879" w:firstLine="535"/>
        <w:spacing w:after="0" w:line="237" w:lineRule="auto"/>
        <w:tabs>
          <w:tab w:leader="none" w:pos="105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further agrees to pay the reasonable cost of psychological or workplace behavior counseling by a professional counselor of Holczer's choice for a period of six months following the end of the revocation period, provided Holczer has executed and delivered this Agreement and has not revoked it in accordance with Section 26 hereof.</w:t>
      </w:r>
    </w:p>
    <w:p>
      <w:pPr>
        <w:spacing w:after="0" w:line="6" w:lineRule="exact"/>
        <w:rPr>
          <w:rFonts w:ascii="Courier New" w:cs="Courier New" w:eastAsia="Courier New" w:hAnsi="Courier New"/>
          <w:sz w:val="18"/>
          <w:szCs w:val="18"/>
          <w:color w:val="auto"/>
        </w:rPr>
      </w:pPr>
    </w:p>
    <w:p>
      <w:pPr>
        <w:ind w:right="1779" w:firstLine="535"/>
        <w:spacing w:after="0" w:line="268" w:lineRule="auto"/>
        <w:tabs>
          <w:tab w:leader="none" w:pos="105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above, all other benefits heretofore provided by Designs to Holczer have terminated as of the termination date. Holczer specifically acknowledges that the salary payments during the six month salary continuation period, bonus payments, stock options and other benefits described herein are in lieu of all other benefits and payments which otherwise may have been payable to him as a result of his termination under benefit plans or policies of Designs, including, without limitation, additional salary continuation pay, stock options, bonus payments, separation pay, commission and automobile insurance, fuel and repair costs, and he hereby waives any rights he may have in or to any such other benefits or payments, it being the intention of the parties hereto to convert and merge all such rights into this Agreement.</w:t>
      </w:r>
    </w:p>
    <w:p>
      <w:pPr>
        <w:spacing w:after="0" w:line="2" w:lineRule="exact"/>
        <w:rPr>
          <w:rFonts w:ascii="Courier New" w:cs="Courier New" w:eastAsia="Courier New" w:hAnsi="Courier New"/>
          <w:sz w:val="16"/>
          <w:szCs w:val="16"/>
          <w:color w:val="auto"/>
        </w:rPr>
      </w:pPr>
    </w:p>
    <w:p>
      <w:pPr>
        <w:ind w:right="1779" w:firstLine="535"/>
        <w:spacing w:after="0" w:line="269" w:lineRule="auto"/>
        <w:tabs>
          <w:tab w:leader="none" w:pos="105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termination date, Holczer shall cease any and all communication and contact, oral or written, direct or indirect, with Designs, its affiliates or any of their respective past, present or future officers, directors and employees, subject to the following three exceptions: (i) communications with the Vice President of Human Resources of Designs concerning matters of employment, (ii) communications with the General Counsel of Designs as to questions concerning this Agreement or other legal matters, and (iii) communications necessitated by Holczer's assistance in the transfer of his responsibilities to others within Designs as set forth in Section 10. Notwithstanding the above provisions of q 9, if an employee of Designs initiates contact with Holczer, Holczer may communicate with that employee, except that Holczer may not with that employee engage in any communications about Designs, its affiliates, officers, directors and employees, about his employment with Designs, and about the circumstances of his departure from Designs. All such communications initiated by Designs' employees must comply with the other requirements of this Agreement, including, particularly, paragraphs 11, 12 and</w:t>
      </w:r>
    </w:p>
    <w:p>
      <w:pPr>
        <w:spacing w:after="0" w:line="193" w:lineRule="exact"/>
        <w:rPr>
          <w:rFonts w:ascii="Courier New" w:cs="Courier New" w:eastAsia="Courier New" w:hAnsi="Courier New"/>
          <w:sz w:val="16"/>
          <w:szCs w:val="16"/>
          <w:color w:val="auto"/>
        </w:rPr>
      </w:pPr>
    </w:p>
    <w:p>
      <w:pPr>
        <w:ind w:right="1779" w:firstLine="8"/>
        <w:spacing w:after="0" w:line="268" w:lineRule="auto"/>
        <w:tabs>
          <w:tab w:leader="none" w:pos="52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Holczer further agrees that on and after the termination date, he will have no contact, oral or written, direct or indirect, with Designs stockholders, analysts and investment banks and advisors and their representatives, and news media concerning Designs. Holczer further agrees that after the termination date he shall not enter the premises or property of Designs or any of its affiliates, subsidiaries or related companies for any purpose at any time unless he is specifically requested to do so by the Chief Executive Officer, the Vice President of Human Resources or the General Counsel of Designs.</w:t>
      </w:r>
    </w:p>
    <w:p>
      <w:pPr>
        <w:spacing w:after="0" w:line="1"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sixty days from and after the date hereof, Holczer shall make himself available at reasonable times to assist in the transition of his former workload to other employees, to answer any questions regarding matters previously assigned to him by Designs and otherwise to assist Designs in transferring his responsibilities to others within Designs.</w:t>
      </w:r>
    </w:p>
    <w:p>
      <w:pPr>
        <w:spacing w:after="0" w:line="6" w:lineRule="exact"/>
        <w:rPr>
          <w:rFonts w:ascii="Courier New" w:cs="Courier New" w:eastAsia="Courier New" w:hAnsi="Courier New"/>
          <w:sz w:val="18"/>
          <w:szCs w:val="18"/>
          <w:color w:val="auto"/>
        </w:rPr>
      </w:pPr>
    </w:p>
    <w:p>
      <w:pPr>
        <w:ind w:right="1779" w:firstLine="535"/>
        <w:spacing w:after="0" w:line="268" w:lineRule="auto"/>
        <w:tabs>
          <w:tab w:leader="none" w:pos="105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Holczer shall not, directly or indirectly, solicit, participate in or bring any legal claim, action or proceeding against Designs, whether by himself or by any person, agency, organization or entity, and shall not voluntarily become involved or participate or cooperate in, publicly or privately, any legal claim, action or proceeding against Designs except as required to do so by properly issued subpoena and then only after giving Designs a reasonable opportunity to review such subpoena and oppose the giving of such testimony.</w:t>
      </w:r>
    </w:p>
    <w:p>
      <w:pPr>
        <w:spacing w:after="0" w:line="1" w:lineRule="exact"/>
        <w:rPr>
          <w:rFonts w:ascii="Courier New" w:cs="Courier New" w:eastAsia="Courier New" w:hAnsi="Courier New"/>
          <w:sz w:val="16"/>
          <w:szCs w:val="16"/>
          <w:color w:val="auto"/>
        </w:rPr>
      </w:pPr>
    </w:p>
    <w:p>
      <w:pPr>
        <w:ind w:right="1779" w:firstLine="535"/>
        <w:spacing w:after="0" w:line="268" w:lineRule="auto"/>
        <w:tabs>
          <w:tab w:leader="none" w:pos="105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Holczer understands that as an officer and senior employee of Designs he has had access to confidential and proprietary information concerning Designs and its affiliates. Holczer agrees that he will not disclose or use any such confidential or proprietary information, whether for his benefit or for the benefit of another, and that, without limiting the generality of the foregoing, unless he has specific prior written authorization from Designs, he will not disclose any such confidential or proprietary information to any person, firm, corporation or other entity, whether or not in competition with Designs or any of its affiliates, for any reason or purpose whatsoever.</w:t>
      </w:r>
    </w:p>
    <w:p>
      <w:pPr>
        <w:spacing w:after="0" w:line="1" w:lineRule="exact"/>
        <w:rPr>
          <w:rFonts w:ascii="Courier New" w:cs="Courier New" w:eastAsia="Courier New" w:hAnsi="Courier New"/>
          <w:sz w:val="16"/>
          <w:szCs w:val="16"/>
          <w:color w:val="auto"/>
        </w:rPr>
      </w:pPr>
    </w:p>
    <w:p>
      <w:pPr>
        <w:ind w:right="1779" w:firstLine="10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Holczer agrees that the fact and existence of this Agreement and amounts paid hereunder shall not be disclosed by Holczer to any person, corporation, organization, agency or other entity, except for his wife, his attorney, his tax advisor and to such government authorities as required by law.</w:t>
      </w:r>
    </w:p>
    <w:p>
      <w:pPr>
        <w:ind w:left="1060" w:hanging="525"/>
        <w:spacing w:after="0" w:line="238" w:lineRule="auto"/>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agrees that all discoveries, inventions, ideas, concepts,</w:t>
      </w:r>
    </w:p>
    <w:p>
      <w:pPr>
        <w:spacing w:after="0" w:line="5"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know-how, developments and improvements (whether or not patentable or subject to copyright protection) that were written, made, conceived, developed or reduced to practice by him, whether alone or jointly with others, in the course of, relating to or arising out of any of his work for Designs (hereinafter collectively referred to as the "Developments") shall be the sole property of Designs. Holczer further agrees that the originals and all copies of all</w:t>
      </w:r>
    </w:p>
    <w:p>
      <w:pPr>
        <w:sectPr>
          <w:pgSz w:w="11900" w:h="16838" w:orient="portrait"/>
          <w:cols w:equalWidth="0" w:num="1">
            <w:col w:w="10219"/>
          </w:cols>
          <w:pgMar w:left="240" w:top="142" w:right="1440" w:bottom="0" w:gutter="0" w:footer="0" w:header="0"/>
        </w:sectPr>
      </w:pPr>
    </w:p>
    <w:bookmarkStart w:id="26" w:name="page27"/>
    <w:bookmarkEnd w:id="26"/>
    <w:p>
      <w:pPr>
        <w:ind w:right="1779"/>
        <w:spacing w:after="0" w:line="268" w:lineRule="auto"/>
        <w:rPr>
          <w:sz w:val="20"/>
          <w:szCs w:val="20"/>
          <w:color w:val="auto"/>
        </w:rPr>
      </w:pPr>
      <w:r>
        <w:rPr>
          <w:rFonts w:ascii="Courier New" w:cs="Courier New" w:eastAsia="Courier New" w:hAnsi="Courier New"/>
          <w:sz w:val="16"/>
          <w:szCs w:val="16"/>
          <w:color w:val="auto"/>
        </w:rPr>
        <w:t>notebooks, disks, tapes, computer programs, reports, proposals, notes and other documents and materials evidencing, incorporating, constituting, representing or recording any Development or Confidential Information or of any other information, software or materials furnished to Holczer by Designs, however and whenever produced (whether by Holczer or others), shall be the sole property of Designs. Holczer agrees to provide all reasonable assistance to Designs in perfecting and maintaining its rights in the Developments. Holczer agrees to, and hereby does, assign to Designs all of his right, title and interest throughout the world in and to all Developments and to anything tangible which evidences, incorporates, constitutes, represents or records any Development.</w:t>
      </w:r>
    </w:p>
    <w:p>
      <w:pPr>
        <w:spacing w:after="0" w:line="2" w:lineRule="exact"/>
        <w:rPr>
          <w:sz w:val="20"/>
          <w:szCs w:val="20"/>
          <w:color w:val="auto"/>
        </w:rPr>
      </w:pPr>
    </w:p>
    <w:p>
      <w:pPr>
        <w:ind w:right="199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confirms and agrees that he has returned to Designs and forever ceased to use all originals and all copies of all notebooks, disks, tapes, computer programs, software, reports, proposals, notes, documents and other materials which contain any confidential or proprietary information of Designs or its vendors or customers or which otherwise are the property of Designs. Holczer further confirms and agrees that he has returned to Designs and forever ceased to use his office keys, key cards, printed cards, corporate credit cards and other property which had been in his possession and was owned by Designs or its vendors or customers other than the automobile described above.</w:t>
      </w:r>
    </w:p>
    <w:p>
      <w:pPr>
        <w:spacing w:after="0" w:line="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hereby agrees not to criticize, disparage or otherwise comment negatively about, orally or in writing, directly or indirectly, Designs, its affiliates or any of their respective past, present or future officers, directors, employees, agents, businesses, suppliers or service providers, products or services. He agrees to use his best efforts to ensure that none of the members of his family so criticize or disparage any of such persons or entities. Holczer further agrees that he shall be publicly and privately cooperative and supportive of Designs in regard to its personnel, corporate practices and policies and other matters.</w:t>
      </w:r>
    </w:p>
    <w:p>
      <w:pPr>
        <w:spacing w:after="0" w:line="10"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for himself, his heirs, legal representatives, successors and assigns, does hereby waive, remise, release and forever discharge Designs, its past, present, and future directors, officers, stockholders in their capacity as stockholders, employees, affiliates, agents and attorneys and their respective heirs, legal representatives, successors and assigns, of and from any and all claims, debts, demands, actions, causes of action, suits, dues, sum and sums of money, accounts, reckonings, bonds, specialties, covenants, contracts, controversies, agreements, promises, doings, omissions, variances, damages, executions, liabilities and obligations (hereinafter collectively referred to as "Claims") of every kind and nature whatsoever, at law, in equity or otherwise, which he has, or ever had, or which he can, shall or may have, for, upon or by reason of any matter, cause or thing whatsoever, whether known or unknown, from the beginning of the world to and including the date hereof, including, without limitation, all Claims which arise out of or in connection with Holczer's employment or the termination of his employment with Designs and all Claims under the common law and the federal Age Discrimination in Employment Act or the Fair Labor Standards Act, but excluding all Claims based on a breach of this Agreement.</w:t>
      </w:r>
    </w:p>
    <w:p>
      <w:pPr>
        <w:spacing w:after="0" w:line="6" w:lineRule="exact"/>
        <w:rPr>
          <w:rFonts w:ascii="Courier New" w:cs="Courier New" w:eastAsia="Courier New" w:hAnsi="Courier New"/>
          <w:sz w:val="18"/>
          <w:szCs w:val="18"/>
          <w:color w:val="auto"/>
        </w:rPr>
      </w:pPr>
    </w:p>
    <w:p>
      <w:pPr>
        <w:ind w:right="1779" w:firstLine="535"/>
        <w:spacing w:after="0" w:line="268" w:lineRule="auto"/>
        <w:tabs>
          <w:tab w:leader="none" w:pos="105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Holczer acknowledges that he may hereafter discover facts in addition to or different from those which he now knows or believes to be true with respect to the subject matter of this Agreement, that it is his intention hereby fully, finally and forever to waive and release all matters released in Section 16 hereof (the "released matters") and that, in furtherance of such intention, the release given herein shall be and remain in effect notwithstanding the discovery or existence of any such additional or different facts.</w:t>
      </w:r>
    </w:p>
    <w:p>
      <w:pPr>
        <w:spacing w:after="0" w:line="1"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warrants and represents to Designs that he has not heretofore assigned, transferred or purported to assign or transfer, and shall not hereafter assign or transfer or purport to assign or transfer, to any person or entity any released matter. Holczer shall indemnify and hold harmless Designs from and against all claims, suits, actions, causes of action, liabilities, obligations, losses, costs and expenses (including, without limitation, attorneys' fees whether or not litigation be commenced) based on, resulting from, in connection with, or arising out of, any such assignment or transfer or purported assignment or transfer.</w:t>
      </w:r>
    </w:p>
    <w:p>
      <w:pPr>
        <w:spacing w:after="0" w:line="10"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Holczer shall breach this Agreement, in addition to all other rights and remedies available to Designs and notwithstanding any other provision of this Agreement to the contrary, Designs shall have no further obligations to make payments or provide benefits to Holczer hereunder. Notwithstanding any other provision of this Agreement to the contrary, if it shall be alleged that Holczer has breached any provision of this Agreement, Designs may suspend salary continuation payments pending its determination of whether a breach has occurred.</w:t>
      </w:r>
    </w:p>
    <w:p>
      <w:pPr>
        <w:spacing w:after="0" w:line="9"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agrees that he shall not bring any action or proceeding against Designs arising out of or relating to the termination of his employment with Designs. If Holczer should bring any action arising out of the subject matter of this Agreement and Designs shall prevail concerning any or all of the issues so presented, Holczer shall pay to Designs all of its costs and expenses of the defense of such issue(s). If at any time Holczer shall bring an action or proceeding to challenge the validity of this Agreement or any of its provisions, he shall first repay to Designs all payments, considerations and benefits provided by Designs to which Holczer would not be entitled absent this Agreement.</w:t>
      </w:r>
    </w:p>
    <w:p>
      <w:pPr>
        <w:sectPr>
          <w:pgSz w:w="11900" w:h="16838" w:orient="portrait"/>
          <w:cols w:equalWidth="0" w:num="1">
            <w:col w:w="10219"/>
          </w:cols>
          <w:pgMar w:left="240" w:top="142" w:right="1440" w:bottom="0" w:gutter="0" w:footer="0" w:header="0"/>
        </w:sectPr>
      </w:pPr>
    </w:p>
    <w:bookmarkStart w:id="27" w:name="page28"/>
    <w:bookmarkEnd w:id="27"/>
    <w:p>
      <w:pPr>
        <w:ind w:right="2419" w:firstLine="535"/>
        <w:spacing w:after="0" w:line="236"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Agreement nor any provision or part hereof shall constitute, or be construed as, an admission of liability or wrongdoing by either party hereto.</w:t>
      </w:r>
    </w:p>
    <w:p>
      <w:pPr>
        <w:spacing w:after="0" w:line="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upon, and inure to the benefit of, the parties hereto and their respective heirs, legal representatives, successors and assigns, and shall inure to the benefit of all past, present and future directors, officers, stockholders in their capacity as stockholders, employees, affiliates, agents and attorneys and their respective heirs, legal representatives, successors and assigns.</w:t>
      </w:r>
    </w:p>
    <w:p>
      <w:pPr>
        <w:spacing w:after="0" w:line="7" w:lineRule="exact"/>
        <w:rPr>
          <w:rFonts w:ascii="Courier New" w:cs="Courier New" w:eastAsia="Courier New" w:hAnsi="Courier New"/>
          <w:sz w:val="18"/>
          <w:szCs w:val="18"/>
          <w:color w:val="auto"/>
        </w:rPr>
      </w:pPr>
    </w:p>
    <w:p>
      <w:pPr>
        <w:ind w:right="2099" w:firstLine="535"/>
        <w:spacing w:after="0" w:line="268" w:lineRule="auto"/>
        <w:tabs>
          <w:tab w:leader="none" w:pos="1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constitutes the entire agreement between the parties concerning the subject matter hereof and supersedes all prior agreements and understandings, oral or written, between them concerning such subject matter.</w:t>
      </w:r>
    </w:p>
    <w:p>
      <w:pPr>
        <w:ind w:right="2199" w:firstLine="535"/>
        <w:spacing w:after="0" w:line="236"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6" w:lineRule="exact"/>
        <w:rPr>
          <w:rFonts w:ascii="Courier New" w:cs="Courier New" w:eastAsia="Courier New" w:hAnsi="Courier New"/>
          <w:sz w:val="18"/>
          <w:szCs w:val="18"/>
          <w:color w:val="auto"/>
        </w:rPr>
      </w:pPr>
    </w:p>
    <w:p>
      <w:pPr>
        <w:ind w:right="1999" w:firstLine="535"/>
        <w:spacing w:after="0" w:line="236"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one or more counter-parts, each of which when so executed shall be deemed to be an original and all of which together shall constitute one and the same agreement.</w:t>
      </w:r>
    </w:p>
    <w:p>
      <w:pPr>
        <w:spacing w:after="0" w:line="6"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Holczer further states that he has carefully read this Agreement, that he knows and understands the contents hereof and that he is executing this Agreement as his own free act and deed and knowingly and voluntarily waives his rights and claims as described above. In signing this Agreement, Holczer acknowledges that he has not relied on any statements or explanations made by Designs. Holczer further represents and agrees that he has been advised by Designs to consult with an attorney prior to executing this Agreement, that he has been given a reasonable and adequate amount of time to consult with an attorney if he so desires, and that he fully understands the terms, conditions, and final and binding effect of this Agreement and the release contained herein to be a full and final release of all claims with final and binding effect. Holczer acknowledges that he has been given a period of at least twenty-one days within which to consider this Agreement prior to his execution hereof. Furthermore, Designs and Holczer agree that Holczer shall have the right to revoke this Agreement by written notice to Designs within the seven-day period after he executes it (the "revocation period"), and that this Agreement shall not become effective or enforceable until such seven-day revocation period has expired. In the event this Agreement is revoked by Holczer in accordance with the provisions of this Section 26, notwithstanding the immediately preceding sentence, Holczer shall return to Designs all payments, considerations and benefits provided by Designs to which Holczer would not be entitled absent this Agreement.</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Designs and Holczer have set their hands and seals on the date first above written.</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2980" w:space="720"/>
            <w:col w:w="6519"/>
          </w:cols>
          <w:pgMar w:left="240" w:top="14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Scott N. Semel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Joel H. Reichman</w:t>
      </w:r>
    </w:p>
    <w:p>
      <w:pPr>
        <w:spacing w:after="0" w:line="21" w:lineRule="exact"/>
        <w:rPr>
          <w:sz w:val="20"/>
          <w:szCs w:val="20"/>
          <w:color w:val="auto"/>
        </w:rPr>
      </w:pPr>
    </w:p>
    <w:p>
      <w:pPr>
        <w:sectPr>
          <w:pgSz w:w="11900" w:h="16838" w:orient="portrait"/>
          <w:cols w:equalWidth="0" w:num="2">
            <w:col w:w="2980" w:space="720"/>
            <w:col w:w="6519"/>
          </w:cols>
          <w:pgMar w:left="240" w:top="142"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6"/>
          <w:szCs w:val="16"/>
          <w:color w:val="auto"/>
        </w:rPr>
        <w:t>[Seal]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8"/>
          <w:szCs w:val="18"/>
          <w:color w:val="auto"/>
        </w:rPr>
        <w:t>Its President</w:t>
      </w:r>
      <w:r>
        <w:rPr>
          <w:sz w:val="20"/>
          <w:szCs w:val="20"/>
          <w:color w:val="auto"/>
        </w:rPr>
        <w:tab/>
      </w:r>
      <w:r>
        <w:rPr>
          <w:rFonts w:ascii="Courier New" w:cs="Courier New" w:eastAsia="Courier New" w:hAnsi="Courier New"/>
          <w:sz w:val="16"/>
          <w:szCs w:val="16"/>
          <w:color w:val="auto"/>
        </w:rPr>
        <w:t>thereunto</w:t>
      </w:r>
    </w:p>
    <w:p>
      <w:pPr>
        <w:spacing w:after="0" w:line="238" w:lineRule="auto"/>
        <w:rPr>
          <w:sz w:val="20"/>
          <w:szCs w:val="20"/>
          <w:color w:val="auto"/>
        </w:rPr>
      </w:pPr>
      <w:r>
        <w:rPr>
          <w:rFonts w:ascii="Courier New" w:cs="Courier New" w:eastAsia="Courier New" w:hAnsi="Courier New"/>
          <w:sz w:val="18"/>
          <w:szCs w:val="18"/>
          <w:color w:val="auto"/>
        </w:rPr>
        <w:t>duly authorized</w:t>
      </w:r>
    </w:p>
    <w:p>
      <w:pPr>
        <w:spacing w:after="0" w:line="200" w:lineRule="exact"/>
        <w:rPr>
          <w:sz w:val="20"/>
          <w:szCs w:val="20"/>
          <w:color w:val="auto"/>
        </w:rPr>
      </w:pPr>
    </w:p>
    <w:p>
      <w:pPr>
        <w:sectPr>
          <w:pgSz w:w="11900" w:h="16838" w:orient="portrait"/>
          <w:cols w:equalWidth="0" w:num="2">
            <w:col w:w="3300" w:space="720"/>
            <w:col w:w="6199"/>
          </w:cols>
          <w:pgMar w:left="24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WITNESS:</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Jerome N. Weinstein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Geoffrey M. Holczer</w:t>
      </w:r>
    </w:p>
    <w:p>
      <w:pPr>
        <w:spacing w:after="0" w:line="21" w:lineRule="exact"/>
        <w:rPr>
          <w:sz w:val="20"/>
          <w:szCs w:val="20"/>
          <w:color w:val="auto"/>
        </w:rPr>
      </w:pPr>
    </w:p>
    <w:p>
      <w:pPr>
        <w:sectPr>
          <w:pgSz w:w="11900" w:h="16838" w:orient="portrait"/>
          <w:cols w:equalWidth="0" w:num="2">
            <w:col w:w="2980" w:space="720"/>
            <w:col w:w="6519"/>
          </w:cols>
          <w:pgMar w:left="240" w:top="142"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Geoffrey M. Holczer</w:t>
      </w:r>
    </w:p>
    <w:p>
      <w:pPr>
        <w:sectPr>
          <w:pgSz w:w="11900" w:h="16838" w:orient="portrait"/>
          <w:cols w:equalWidth="0" w:num="2">
            <w:col w:w="2980" w:space="720"/>
            <w:col w:w="6519"/>
          </w:cols>
          <w:pgMar w:left="240" w:top="142" w:right="1440" w:bottom="1440" w:gutter="0" w:footer="0" w:header="0"/>
          <w:type w:val="continuous"/>
        </w:sectPr>
      </w:pPr>
    </w:p>
    <w:bookmarkStart w:id="28" w:name="page29"/>
    <w:bookmarkEnd w:id="28"/>
    <w:p>
      <w:pPr>
        <w:ind w:left="80"/>
        <w:spacing w:after="0"/>
        <w:rPr>
          <w:sz w:val="20"/>
          <w:szCs w:val="20"/>
          <w:color w:val="auto"/>
        </w:rPr>
      </w:pPr>
      <w:r>
        <w:rPr>
          <w:rFonts w:ascii="Courier New" w:cs="Courier New" w:eastAsia="Courier New" w:hAnsi="Courier New"/>
          <w:sz w:val="18"/>
          <w:szCs w:val="18"/>
          <w:color w:val="auto"/>
        </w:rPr>
        <w:t>5</w:t>
      </w:r>
    </w:p>
    <w:p>
      <w:pPr>
        <w:ind w:left="100"/>
        <w:spacing w:after="0" w:line="238" w:lineRule="auto"/>
        <w:rPr>
          <w:sz w:val="20"/>
          <w:szCs w:val="20"/>
          <w:color w:val="auto"/>
        </w:rPr>
      </w:pPr>
      <w:r>
        <w:rPr>
          <w:rFonts w:ascii="Courier New" w:cs="Courier New" w:eastAsia="Courier New" w:hAnsi="Courier New"/>
          <w:sz w:val="18"/>
          <w:szCs w:val="18"/>
          <w:color w:val="auto"/>
        </w:rPr>
        <w:t>This Schedule contains summary financial information extracted from</w:t>
      </w:r>
    </w:p>
    <w:p>
      <w:pPr>
        <w:spacing w:after="0" w:line="5"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the Consolidated Balance Sheets of Designs, Inc. as of January 28, 1995 and January 29, 1994 and Consolidated Statements of Income for the fiscal years ending January 28, 1995, January 29, 1994 and January 30, 1993 and is qualified in its entirety by reference to such financial statements.</w:t>
      </w:r>
    </w:p>
    <w:p>
      <w:pPr>
        <w:ind w:left="10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YEAR</w:t>
      </w:r>
    </w:p>
    <w:p>
      <w:pPr>
        <w:ind w:left="2740"/>
        <w:spacing w:after="0" w:line="238" w:lineRule="auto"/>
        <w:rPr>
          <w:sz w:val="20"/>
          <w:szCs w:val="20"/>
          <w:color w:val="auto"/>
        </w:rPr>
      </w:pPr>
      <w:r>
        <w:rPr>
          <w:rFonts w:ascii="Courier New" w:cs="Courier New" w:eastAsia="Courier New" w:hAnsi="Courier New"/>
          <w:sz w:val="18"/>
          <w:szCs w:val="18"/>
          <w:color w:val="auto"/>
        </w:rPr>
        <w:t>JAN-28-1995</w:t>
      </w:r>
    </w:p>
    <w:p>
      <w:pPr>
        <w:ind w:left="3060"/>
        <w:spacing w:after="0"/>
        <w:rPr>
          <w:sz w:val="20"/>
          <w:szCs w:val="20"/>
          <w:color w:val="auto"/>
        </w:rPr>
      </w:pPr>
      <w:r>
        <w:rPr>
          <w:rFonts w:ascii="Courier New" w:cs="Courier New" w:eastAsia="Courier New" w:hAnsi="Courier New"/>
          <w:sz w:val="18"/>
          <w:szCs w:val="18"/>
          <w:color w:val="auto"/>
        </w:rPr>
        <w:t>JAN-30-1994</w:t>
      </w:r>
    </w:p>
    <w:p>
      <w:pPr>
        <w:ind w:left="3260"/>
        <w:spacing w:after="0" w:line="237" w:lineRule="auto"/>
        <w:rPr>
          <w:sz w:val="20"/>
          <w:szCs w:val="20"/>
          <w:color w:val="auto"/>
        </w:rPr>
      </w:pPr>
      <w:r>
        <w:rPr>
          <w:rFonts w:ascii="Courier New" w:cs="Courier New" w:eastAsia="Courier New" w:hAnsi="Courier New"/>
          <w:sz w:val="18"/>
          <w:szCs w:val="18"/>
          <w:color w:val="auto"/>
        </w:rPr>
        <w:t>JAN-28-1995</w:t>
      </w:r>
    </w:p>
    <w:p>
      <w:pPr>
        <w:ind w:left="4420"/>
        <w:spacing w:after="0" w:line="238" w:lineRule="auto"/>
        <w:rPr>
          <w:sz w:val="20"/>
          <w:szCs w:val="20"/>
          <w:color w:val="auto"/>
        </w:rPr>
      </w:pPr>
      <w:r>
        <w:rPr>
          <w:rFonts w:ascii="Courier New" w:cs="Courier New" w:eastAsia="Courier New" w:hAnsi="Courier New"/>
          <w:sz w:val="18"/>
          <w:szCs w:val="18"/>
          <w:color w:val="auto"/>
        </w:rPr>
        <w:t>22,424</w:t>
      </w:r>
    </w:p>
    <w:p>
      <w:pPr>
        <w:ind w:left="432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4,223</w:t>
      </w:r>
    </w:p>
    <w:p>
      <w:pPr>
        <w:ind w:left="432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52,649</w:t>
      </w:r>
    </w:p>
    <w:p>
      <w:pPr>
        <w:ind w:left="3360"/>
        <w:spacing w:after="0"/>
        <w:rPr>
          <w:sz w:val="20"/>
          <w:szCs w:val="20"/>
          <w:color w:val="auto"/>
        </w:rPr>
      </w:pPr>
      <w:r>
        <w:rPr>
          <w:rFonts w:ascii="Courier New" w:cs="Courier New" w:eastAsia="Courier New" w:hAnsi="Courier New"/>
          <w:sz w:val="18"/>
          <w:szCs w:val="18"/>
          <w:color w:val="auto"/>
        </w:rPr>
        <w:t>82,088</w:t>
      </w:r>
    </w:p>
    <w:p>
      <w:pPr>
        <w:ind w:left="4420"/>
        <w:spacing w:after="0" w:line="237" w:lineRule="auto"/>
        <w:rPr>
          <w:sz w:val="20"/>
          <w:szCs w:val="20"/>
          <w:color w:val="auto"/>
        </w:rPr>
      </w:pPr>
      <w:r>
        <w:rPr>
          <w:rFonts w:ascii="Courier New" w:cs="Courier New" w:eastAsia="Courier New" w:hAnsi="Courier New"/>
          <w:sz w:val="18"/>
          <w:szCs w:val="18"/>
          <w:color w:val="auto"/>
        </w:rPr>
        <w:t>49,456</w:t>
      </w:r>
    </w:p>
    <w:p>
      <w:pPr>
        <w:ind w:left="3580"/>
        <w:spacing w:after="0" w:line="238" w:lineRule="auto"/>
        <w:rPr>
          <w:sz w:val="20"/>
          <w:szCs w:val="20"/>
          <w:color w:val="auto"/>
        </w:rPr>
      </w:pPr>
      <w:r>
        <w:rPr>
          <w:rFonts w:ascii="Courier New" w:cs="Courier New" w:eastAsia="Courier New" w:hAnsi="Courier New"/>
          <w:sz w:val="18"/>
          <w:szCs w:val="18"/>
          <w:color w:val="auto"/>
        </w:rPr>
        <w:t>22,953</w:t>
      </w:r>
    </w:p>
    <w:p>
      <w:pPr>
        <w:ind w:left="3480"/>
        <w:spacing w:after="0"/>
        <w:rPr>
          <w:sz w:val="20"/>
          <w:szCs w:val="20"/>
          <w:color w:val="auto"/>
        </w:rPr>
      </w:pPr>
      <w:r>
        <w:rPr>
          <w:rFonts w:ascii="Courier New" w:cs="Courier New" w:eastAsia="Courier New" w:hAnsi="Courier New"/>
          <w:sz w:val="18"/>
          <w:szCs w:val="18"/>
          <w:color w:val="auto"/>
        </w:rPr>
        <w:t>127,295</w:t>
      </w:r>
    </w:p>
    <w:p>
      <w:pPr>
        <w:ind w:left="2840"/>
        <w:spacing w:after="0" w:line="237" w:lineRule="auto"/>
        <w:rPr>
          <w:sz w:val="20"/>
          <w:szCs w:val="20"/>
          <w:color w:val="auto"/>
        </w:rPr>
      </w:pPr>
      <w:r>
        <w:rPr>
          <w:rFonts w:ascii="Courier New" w:cs="Courier New" w:eastAsia="Courier New" w:hAnsi="Courier New"/>
          <w:sz w:val="18"/>
          <w:szCs w:val="18"/>
          <w:color w:val="auto"/>
        </w:rPr>
        <w:t>26,844</w:t>
      </w:r>
    </w:p>
    <w:p>
      <w:pPr>
        <w:jc w:val="center"/>
        <w:ind w:right="379"/>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157</w:t>
      </w:r>
    </w:p>
    <w:p>
      <w:pPr>
        <w:ind w:left="3360"/>
        <w:spacing w:after="0"/>
        <w:rPr>
          <w:sz w:val="20"/>
          <w:szCs w:val="20"/>
          <w:color w:val="auto"/>
        </w:rPr>
      </w:pPr>
      <w:r>
        <w:rPr>
          <w:rFonts w:ascii="Courier New" w:cs="Courier New" w:eastAsia="Courier New" w:hAnsi="Courier New"/>
          <w:sz w:val="18"/>
          <w:szCs w:val="18"/>
          <w:color w:val="auto"/>
        </w:rPr>
        <w:t>0</w:t>
      </w:r>
    </w:p>
    <w:p>
      <w:pPr>
        <w:ind w:left="4420"/>
        <w:spacing w:after="0" w:line="237" w:lineRule="auto"/>
        <w:rPr>
          <w:sz w:val="20"/>
          <w:szCs w:val="20"/>
          <w:color w:val="auto"/>
        </w:rPr>
      </w:pPr>
      <w:r>
        <w:rPr>
          <w:rFonts w:ascii="Courier New" w:cs="Courier New" w:eastAsia="Courier New" w:hAnsi="Courier New"/>
          <w:sz w:val="18"/>
          <w:szCs w:val="18"/>
          <w:color w:val="auto"/>
        </w:rPr>
        <w:t>0</w:t>
      </w:r>
    </w:p>
    <w:p>
      <w:pPr>
        <w:ind w:left="4000"/>
        <w:spacing w:after="0" w:line="238" w:lineRule="auto"/>
        <w:rPr>
          <w:sz w:val="20"/>
          <w:szCs w:val="20"/>
          <w:color w:val="auto"/>
        </w:rPr>
      </w:pPr>
      <w:r>
        <w:rPr>
          <w:rFonts w:ascii="Courier New" w:cs="Courier New" w:eastAsia="Courier New" w:hAnsi="Courier New"/>
          <w:sz w:val="18"/>
          <w:szCs w:val="18"/>
          <w:color w:val="auto"/>
        </w:rPr>
        <w:t>95,545</w:t>
      </w:r>
    </w:p>
    <w:p>
      <w:pPr>
        <w:ind w:left="2000"/>
        <w:spacing w:after="0"/>
        <w:rPr>
          <w:sz w:val="20"/>
          <w:szCs w:val="20"/>
          <w:color w:val="auto"/>
        </w:rPr>
      </w:pPr>
      <w:r>
        <w:rPr>
          <w:rFonts w:ascii="Courier New" w:cs="Courier New" w:eastAsia="Courier New" w:hAnsi="Courier New"/>
          <w:sz w:val="18"/>
          <w:szCs w:val="18"/>
          <w:color w:val="auto"/>
        </w:rPr>
        <w:t>127,295</w:t>
      </w:r>
    </w:p>
    <w:p>
      <w:pPr>
        <w:ind w:left="4200"/>
        <w:spacing w:after="0" w:line="237" w:lineRule="auto"/>
        <w:rPr>
          <w:sz w:val="20"/>
          <w:szCs w:val="20"/>
          <w:color w:val="auto"/>
        </w:rPr>
      </w:pPr>
      <w:r>
        <w:rPr>
          <w:rFonts w:ascii="Courier New" w:cs="Courier New" w:eastAsia="Courier New" w:hAnsi="Courier New"/>
          <w:sz w:val="18"/>
          <w:szCs w:val="18"/>
          <w:color w:val="auto"/>
        </w:rPr>
        <w:t>265,910</w:t>
      </w:r>
    </w:p>
    <w:p>
      <w:pPr>
        <w:ind w:left="3260"/>
        <w:spacing w:after="0"/>
        <w:rPr>
          <w:sz w:val="20"/>
          <w:szCs w:val="20"/>
          <w:color w:val="auto"/>
        </w:rPr>
      </w:pPr>
      <w:r>
        <w:rPr>
          <w:rFonts w:ascii="Courier New" w:cs="Courier New" w:eastAsia="Courier New" w:hAnsi="Courier New"/>
          <w:sz w:val="18"/>
          <w:szCs w:val="18"/>
          <w:color w:val="auto"/>
        </w:rPr>
        <w:t>265,910</w:t>
      </w:r>
    </w:p>
    <w:p>
      <w:pPr>
        <w:ind w:left="4420"/>
        <w:spacing w:after="0" w:line="237" w:lineRule="auto"/>
        <w:rPr>
          <w:sz w:val="20"/>
          <w:szCs w:val="20"/>
          <w:color w:val="auto"/>
        </w:rPr>
      </w:pPr>
      <w:r>
        <w:rPr>
          <w:rFonts w:ascii="Courier New" w:cs="Courier New" w:eastAsia="Courier New" w:hAnsi="Courier New"/>
          <w:sz w:val="18"/>
          <w:szCs w:val="18"/>
          <w:color w:val="auto"/>
        </w:rPr>
        <w:t>181,784</w:t>
      </w:r>
    </w:p>
    <w:p>
      <w:pPr>
        <w:ind w:left="3580"/>
        <w:spacing w:after="0"/>
        <w:rPr>
          <w:sz w:val="20"/>
          <w:szCs w:val="20"/>
          <w:color w:val="auto"/>
        </w:rPr>
      </w:pPr>
      <w:r>
        <w:rPr>
          <w:rFonts w:ascii="Courier New" w:cs="Courier New" w:eastAsia="Courier New" w:hAnsi="Courier New"/>
          <w:sz w:val="18"/>
          <w:szCs w:val="18"/>
          <w:color w:val="auto"/>
        </w:rPr>
        <w:t>181,784</w:t>
      </w:r>
    </w:p>
    <w:p>
      <w:pPr>
        <w:ind w:left="3360"/>
        <w:spacing w:after="0" w:line="237" w:lineRule="auto"/>
        <w:rPr>
          <w:sz w:val="20"/>
          <w:szCs w:val="20"/>
          <w:color w:val="auto"/>
        </w:rPr>
      </w:pPr>
      <w:r>
        <w:rPr>
          <w:rFonts w:ascii="Courier New" w:cs="Courier New" w:eastAsia="Courier New" w:hAnsi="Courier New"/>
          <w:sz w:val="18"/>
          <w:szCs w:val="18"/>
          <w:color w:val="auto"/>
        </w:rPr>
        <w:t>56,595</w:t>
      </w:r>
    </w:p>
    <w:p>
      <w:pPr>
        <w:ind w:left="3900"/>
        <w:spacing w:after="0"/>
        <w:rPr>
          <w:sz w:val="20"/>
          <w:szCs w:val="20"/>
          <w:color w:val="auto"/>
        </w:rPr>
      </w:pPr>
      <w:r>
        <w:rPr>
          <w:rFonts w:ascii="Courier New" w:cs="Courier New" w:eastAsia="Courier New" w:hAnsi="Courier New"/>
          <w:sz w:val="18"/>
          <w:szCs w:val="18"/>
          <w:color w:val="auto"/>
        </w:rPr>
        <w:t>0</w:t>
      </w:r>
    </w:p>
    <w:p>
      <w:pPr>
        <w:ind w:left="3480"/>
        <w:spacing w:after="0" w:line="237" w:lineRule="auto"/>
        <w:rPr>
          <w:sz w:val="20"/>
          <w:szCs w:val="20"/>
          <w:color w:val="auto"/>
        </w:rPr>
      </w:pPr>
      <w:r>
        <w:rPr>
          <w:rFonts w:ascii="Courier New" w:cs="Courier New" w:eastAsia="Courier New" w:hAnsi="Courier New"/>
          <w:sz w:val="18"/>
          <w:szCs w:val="18"/>
          <w:color w:val="auto"/>
        </w:rPr>
        <w:t>609</w:t>
      </w:r>
    </w:p>
    <w:p>
      <w:pPr>
        <w:ind w:left="3480"/>
        <w:spacing w:after="0" w:line="238" w:lineRule="auto"/>
        <w:rPr>
          <w:sz w:val="20"/>
          <w:szCs w:val="20"/>
          <w:color w:val="auto"/>
        </w:rPr>
      </w:pPr>
      <w:r>
        <w:rPr>
          <w:rFonts w:ascii="Courier New" w:cs="Courier New" w:eastAsia="Courier New" w:hAnsi="Courier New"/>
          <w:sz w:val="18"/>
          <w:szCs w:val="18"/>
          <w:color w:val="auto"/>
        </w:rPr>
        <w:t>28,399</w:t>
      </w:r>
    </w:p>
    <w:p>
      <w:pPr>
        <w:ind w:left="3780"/>
        <w:spacing w:after="0"/>
        <w:rPr>
          <w:sz w:val="20"/>
          <w:szCs w:val="20"/>
          <w:color w:val="auto"/>
        </w:rPr>
      </w:pPr>
      <w:r>
        <w:rPr>
          <w:rFonts w:ascii="Courier New" w:cs="Courier New" w:eastAsia="Courier New" w:hAnsi="Courier New"/>
          <w:sz w:val="18"/>
          <w:szCs w:val="18"/>
          <w:color w:val="auto"/>
        </w:rPr>
        <w:t>11,496</w:t>
      </w:r>
    </w:p>
    <w:p>
      <w:pPr>
        <w:ind w:left="3060"/>
        <w:spacing w:after="0" w:line="237" w:lineRule="auto"/>
        <w:rPr>
          <w:sz w:val="20"/>
          <w:szCs w:val="20"/>
          <w:color w:val="auto"/>
        </w:rPr>
      </w:pPr>
      <w:r>
        <w:rPr>
          <w:rFonts w:ascii="Courier New" w:cs="Courier New" w:eastAsia="Courier New" w:hAnsi="Courier New"/>
          <w:sz w:val="18"/>
          <w:szCs w:val="18"/>
          <w:color w:val="auto"/>
        </w:rPr>
        <w:t>16,903</w:t>
      </w:r>
    </w:p>
    <w:p>
      <w:pPr>
        <w:ind w:left="410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jc w:val="center"/>
        <w:ind w:right="1959"/>
        <w:spacing w:after="0" w:line="237" w:lineRule="auto"/>
        <w:rPr>
          <w:sz w:val="20"/>
          <w:szCs w:val="20"/>
          <w:color w:val="auto"/>
        </w:rPr>
      </w:pPr>
      <w:r>
        <w:rPr>
          <w:rFonts w:ascii="Courier New" w:cs="Courier New" w:eastAsia="Courier New" w:hAnsi="Courier New"/>
          <w:sz w:val="18"/>
          <w:szCs w:val="18"/>
          <w:color w:val="auto"/>
        </w:rPr>
        <w:t>16,903</w:t>
      </w:r>
    </w:p>
    <w:p>
      <w:pPr>
        <w:jc w:val="center"/>
        <w:ind w:right="1959"/>
        <w:spacing w:after="0" w:line="238" w:lineRule="auto"/>
        <w:rPr>
          <w:sz w:val="20"/>
          <w:szCs w:val="20"/>
          <w:color w:val="auto"/>
        </w:rPr>
      </w:pPr>
      <w:r>
        <w:rPr>
          <w:rFonts w:ascii="Courier New" w:cs="Courier New" w:eastAsia="Courier New" w:hAnsi="Courier New"/>
          <w:sz w:val="18"/>
          <w:szCs w:val="18"/>
          <w:color w:val="auto"/>
        </w:rPr>
        <w:t>1.06</w:t>
      </w:r>
    </w:p>
    <w:p>
      <w:pPr>
        <w:jc w:val="center"/>
        <w:ind w:right="1659"/>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amp;"/>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upperLetter"/>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1"/>
      <w:numFmt w:val="decimal"/>
      <w:start w:val="13"/>
    </w:lvl>
  </w:abstractNum>
  <w:abstractNum w:abstractNumId="13">
    <w:nsid w:val="79838CB2"/>
    <w:multiLevelType w:val="hybridMultilevel"/>
    <w:lvl w:ilvl="0">
      <w:lvlJc w:val="left"/>
      <w:lvlText w:val="%1"/>
      <w:numFmt w:val="decimal"/>
      <w:start w:val="23"/>
    </w:lvl>
  </w:abstractNum>
  <w:abstractNum w:abstractNumId="14">
    <w:nsid w:val="4353D0CD"/>
    <w:multiLevelType w:val="hybridMultilevel"/>
    <w:lvl w:ilvl="0">
      <w:lvlJc w:val="left"/>
      <w:lvlText w:val="%1"/>
      <w:numFmt w:val="decimal"/>
      <w:start w:val="27"/>
    </w:lvl>
  </w:abstractNum>
  <w:abstractNum w:abstractNumId="15">
    <w:nsid w:val="B03E0C6"/>
    <w:multiLevelType w:val="hybridMultilevel"/>
    <w:lvl w:ilvl="0">
      <w:lvlJc w:val="left"/>
      <w:lvlText w:val="(%1)"/>
      <w:numFmt w:val="upperLetter"/>
      <w:start w:val="2"/>
    </w:lvl>
  </w:abstractNum>
  <w:abstractNum w:abstractNumId="16">
    <w:nsid w:val="189A769B"/>
    <w:multiLevelType w:val="hybridMultilevel"/>
    <w:lvl w:ilvl="0">
      <w:lvlJc w:val="left"/>
      <w:lvlText w:val="(%1)"/>
      <w:numFmt w:val="lowerRoman"/>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lvl w:ilvl="1">
      <w:lvlJc w:val="left"/>
      <w:lvlText w:val="(%2)"/>
      <w:numFmt w:val="lowerLetter"/>
      <w:start w:val="1"/>
    </w:lvl>
  </w:abstractNum>
  <w:abstractNum w:abstractNumId="23">
    <w:nsid w:val="81386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4">
    <w:nsid w:val="1E7FF52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5">
    <w:nsid w:val="7C3DBD3D"/>
    <w:multiLevelType w:val="hybridMultilevel"/>
    <w:lvl w:ilvl="0">
      <w:lvlJc w:val="left"/>
      <w:lvlText w:val="(%1)"/>
      <w:numFmt w:val="decimal"/>
      <w:start w:val="14"/>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6">
    <w:nsid w:val="737B8DDC"/>
    <w:multiLevelType w:val="hybridMultilevel"/>
    <w:lvl w:ilvl="0">
      <w:lvlJc w:val="left"/>
      <w:lvlText w:val="(%1)"/>
      <w:numFmt w:val="decimal"/>
      <w:start w:val="6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7">
    <w:nsid w:val="6CEAF087"/>
    <w:multiLevelType w:val="hybridMultilevel"/>
    <w:lvl w:ilvl="0">
      <w:lvlJc w:val="left"/>
      <w:lvlText w:val="%1"/>
      <w:numFmt w:val="decimal"/>
      <w:start w:val="1"/>
    </w:lvl>
    <w:lvl w:ilvl="1">
      <w:lvlJc w:val="left"/>
      <w:lvlText w:val="(%2)"/>
      <w:numFmt w:val="lowerLetter"/>
      <w:start w:val="4"/>
    </w:lvl>
  </w:abstractNum>
  <w:abstractNum w:abstractNumId="28">
    <w:nsid w:val="22221A70"/>
    <w:multiLevelType w:val="hybridMultilevel"/>
    <w:lvl w:ilvl="0">
      <w:lvlJc w:val="left"/>
      <w:lvlText w:val="%1."/>
      <w:numFmt w:val="decimal"/>
      <w:start w:val="7"/>
    </w:lvl>
    <w:lvl w:ilvl="1">
      <w:lvlJc w:val="left"/>
      <w:lvlText w:val="(%2)"/>
      <w:numFmt w:val="lowerLetter"/>
      <w:start w:val="1"/>
    </w:lvl>
  </w:abstractNum>
  <w:abstractNum w:abstractNumId="29">
    <w:nsid w:val="4516DDE9"/>
    <w:multiLevelType w:val="hybridMultilevel"/>
    <w:lvl w:ilvl="0">
      <w:lvlJc w:val="left"/>
      <w:lvlText w:val="(%1)"/>
      <w:numFmt w:val="lowerLetter"/>
      <w:start w:val="9"/>
    </w:lvl>
  </w:abstractNum>
  <w:abstractNum w:abstractNumId="30">
    <w:nsid w:val="3006C83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2"/>
    </w:lvl>
  </w:abstractNum>
  <w:abstractNum w:abstractNumId="31">
    <w:nsid w:val="614FD4A1"/>
    <w:multiLevelType w:val="hybridMultilevel"/>
    <w:lvl w:ilvl="0">
      <w:lvlJc w:val="left"/>
      <w:lvlText w:val="%1."/>
      <w:numFmt w:val="decimal"/>
      <w:start w:val="6"/>
    </w:lvl>
  </w:abstractNum>
  <w:abstractNum w:abstractNumId="32">
    <w:nsid w:val="419AC241"/>
    <w:multiLevelType w:val="hybridMultilevel"/>
    <w:lvl w:ilvl="0">
      <w:lvlJc w:val="left"/>
      <w:lvlText w:val="%1"/>
      <w:numFmt w:val="decimal"/>
      <w:start w:val="1"/>
    </w:lvl>
    <w:lvl w:ilvl="1">
      <w:lvlJc w:val="left"/>
      <w:lvlText w:val="%2."/>
      <w:numFmt w:val="decimal"/>
      <w:start w:val="7"/>
    </w:lvl>
  </w:abstractNum>
  <w:abstractNum w:abstractNumId="33">
    <w:nsid w:val="5577F8E1"/>
    <w:multiLevelType w:val="hybridMultilevel"/>
    <w:lvl w:ilvl="0">
      <w:lvlJc w:val="left"/>
      <w:lvlText w:val="%1."/>
      <w:numFmt w:val="decimal"/>
      <w:start w:val="15"/>
    </w:lvl>
    <w:lvl w:ilvl="1">
      <w:lvlJc w:val="left"/>
      <w:lvlText w:val="%2."/>
      <w:numFmt w:val="decimal"/>
      <w:start w:val="10"/>
    </w:lvl>
  </w:abstractNum>
  <w:abstractNum w:abstractNumId="34">
    <w:nsid w:val="440BADFC"/>
    <w:multiLevelType w:val="hybridMultilevel"/>
    <w:lvl w:ilvl="0">
      <w:lvlJc w:val="left"/>
      <w:lvlText w:val="%1."/>
      <w:numFmt w:val="decimal"/>
      <w:start w:val="14"/>
    </w:lvl>
  </w:abstractNum>
  <w:abstractNum w:abstractNumId="35">
    <w:nsid w:val="5072367"/>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2019-12-19T22:01:53Z</dcterms:created>
  <dcterms:modified xsi:type="dcterms:W3CDTF">2019-12-19T22:01:53Z</dcterms:modified>
</cp:coreProperties>
</file>