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6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-238760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-619760</wp:posOffset>
            </wp:positionV>
            <wp:extent cx="57785" cy="6330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-619760</wp:posOffset>
            </wp:positionV>
            <wp:extent cx="57785" cy="6330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22225</wp:posOffset>
            </wp:positionV>
            <wp:extent cx="7047230" cy="45231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2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6" w:right="359" w:bottom="1440" w:gutter="0" w:footer="0" w:header="0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Surette Allison</w:t>
        </w:r>
      </w:hyperlink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204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DXLG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Merchandising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03/21/2022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6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14,211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03/21/2022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14,211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03/21/2032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14,211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 w:right="240"/>
        <w:spacing w:after="0" w:line="251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("RSUs") for performance-based compensation granted to the Reporting Person based on the Company's performance over the applicable performance period under the 2019-2021 Long-Term Incentive Plan. The RSU's vest August 31, 2022.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RSU, as defined in the Company's 2016 Incentive Compensation Plan, represents a contingent right to receive one share of DXLG common stock.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Allison Surette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03/28/2022</w:t>
            </w:r>
          </w:p>
        </w:tc>
      </w:tr>
      <w:tr>
        <w:trPr>
          <w:trHeight w:val="20"/>
        </w:trPr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4139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2022-03-28T15:25:56Z</dcterms:created>
  <dcterms:modified xsi:type="dcterms:W3CDTF">2022-03-28T15:25:56Z</dcterms:modified>
</cp:coreProperties>
</file>