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SCHEDULE 14A INFORMATION</w:t>
      </w:r>
    </w:p>
    <w:p>
      <w:pPr>
        <w:spacing w:after="0" w:line="186" w:lineRule="exact"/>
        <w:rPr>
          <w:sz w:val="24"/>
          <w:szCs w:val="24"/>
          <w:color w:val="auto"/>
        </w:rPr>
      </w:pPr>
    </w:p>
    <w:p>
      <w:pPr>
        <w:ind w:left="862"/>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30"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Exchange Act Of 1934</w:t>
      </w:r>
    </w:p>
    <w:p>
      <w:pPr>
        <w:spacing w:after="0" w:line="158" w:lineRule="exact"/>
        <w:rPr>
          <w:sz w:val="24"/>
          <w:szCs w:val="24"/>
          <w:color w:val="auto"/>
        </w:rPr>
      </w:pPr>
    </w:p>
    <w:p>
      <w:pPr>
        <w:ind w:left="2"/>
        <w:spacing w:after="0"/>
        <w:tabs>
          <w:tab w:leader="none" w:pos="2362" w:val="left"/>
        </w:tabs>
        <w:rPr>
          <w:sz w:val="20"/>
          <w:szCs w:val="20"/>
          <w:color w:val="auto"/>
        </w:rPr>
      </w:pPr>
      <w:r>
        <w:rPr>
          <w:rFonts w:ascii="Courier New" w:cs="Courier New" w:eastAsia="Courier New" w:hAnsi="Courier New"/>
          <w:sz w:val="16"/>
          <w:szCs w:val="16"/>
          <w:color w:val="auto"/>
        </w:rPr>
        <w:t>FILED BY THE REGISTRANT</w:t>
      </w:r>
      <w:r>
        <w:rPr>
          <w:sz w:val="20"/>
          <w:szCs w:val="20"/>
          <w:color w:val="auto"/>
        </w:rPr>
        <w:tab/>
      </w:r>
      <w:r>
        <w:rPr>
          <w:rFonts w:ascii="Courier New" w:cs="Courier New" w:eastAsia="Courier New" w:hAnsi="Courier New"/>
          <w:sz w:val="15"/>
          <w:szCs w:val="15"/>
          <w:color w:val="auto"/>
        </w:rPr>
        <w:t>[x]</w:t>
      </w:r>
    </w:p>
    <w:p>
      <w:pPr>
        <w:spacing w:after="0" w:line="30"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58"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Check the appropriate box:</w:t>
      </w:r>
    </w:p>
    <w:p>
      <w:pPr>
        <w:spacing w:after="0" w:line="186" w:lineRule="exact"/>
        <w:rPr>
          <w:sz w:val="24"/>
          <w:szCs w:val="24"/>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Preliminary Proxy Statement</w:t>
      </w:r>
    </w:p>
    <w:p>
      <w:pPr>
        <w:spacing w:after="0" w:line="30" w:lineRule="exact"/>
        <w:rPr>
          <w:sz w:val="24"/>
          <w:szCs w:val="24"/>
          <w:color w:val="auto"/>
        </w:rPr>
      </w:pPr>
    </w:p>
    <w:p>
      <w:pPr>
        <w:ind w:left="482" w:hanging="482"/>
        <w:spacing w:after="0"/>
        <w:tabs>
          <w:tab w:leader="none" w:pos="4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158"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sec.240.14a-11(c) or sec.240.14a-12</w:t>
      </w:r>
    </w:p>
    <w:p>
      <w:pPr>
        <w:spacing w:after="0" w:line="30" w:lineRule="exact"/>
        <w:rPr>
          <w:rFonts w:ascii="Courier New" w:cs="Courier New" w:eastAsia="Courier New" w:hAnsi="Courier New"/>
          <w:sz w:val="16"/>
          <w:szCs w:val="16"/>
          <w:color w:val="auto"/>
        </w:rPr>
      </w:pPr>
    </w:p>
    <w:p>
      <w:pPr>
        <w:ind w:left="482" w:right="3459" w:hanging="482"/>
        <w:spacing w:after="0" w:line="318" w:lineRule="auto"/>
        <w:tabs>
          <w:tab w:leader="none" w:pos="19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42" w:lineRule="exact"/>
        <w:rPr>
          <w:sz w:val="24"/>
          <w:szCs w:val="24"/>
          <w:color w:val="auto"/>
        </w:rPr>
      </w:pPr>
    </w:p>
    <w:p>
      <w:pPr>
        <w:jc w:val="center"/>
        <w:ind w:right="2877"/>
        <w:spacing w:after="0"/>
        <w:rPr>
          <w:sz w:val="20"/>
          <w:szCs w:val="20"/>
          <w:color w:val="auto"/>
        </w:rPr>
      </w:pPr>
      <w:r>
        <w:rPr>
          <w:rFonts w:ascii="Courier New" w:cs="Courier New" w:eastAsia="Courier New" w:hAnsi="Courier New"/>
          <w:sz w:val="16"/>
          <w:szCs w:val="16"/>
          <w:color w:val="auto"/>
        </w:rPr>
        <w:t>DESIGNS, INC.</w:t>
      </w:r>
    </w:p>
    <w:p>
      <w:pPr>
        <w:spacing w:after="0" w:line="30"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58" w:lineRule="exact"/>
        <w:rPr>
          <w:sz w:val="24"/>
          <w:szCs w:val="24"/>
          <w:color w:val="auto"/>
        </w:rPr>
      </w:pPr>
    </w:p>
    <w:p>
      <w:pPr>
        <w:ind w:left="282"/>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30" w:lineRule="exact"/>
        <w:rPr>
          <w:sz w:val="24"/>
          <w:szCs w:val="24"/>
          <w:color w:val="auto"/>
        </w:rPr>
      </w:pPr>
    </w:p>
    <w:p>
      <w:pPr>
        <w:ind w:left="482" w:hanging="482"/>
        <w:spacing w:after="0"/>
        <w:tabs>
          <w:tab w:leader="none" w:pos="4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2" w:lineRule="exact"/>
        <w:rPr>
          <w:sz w:val="24"/>
          <w:szCs w:val="24"/>
          <w:color w:val="auto"/>
        </w:rPr>
      </w:pPr>
    </w:p>
    <w:p>
      <w:pPr>
        <w:ind w:left="182" w:hanging="182"/>
        <w:spacing w:after="0"/>
        <w:tabs>
          <w:tab w:leader="none" w:pos="1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14a-6(i)(1)and 0-11.</w:t>
      </w:r>
    </w:p>
    <w:p>
      <w:pPr>
        <w:spacing w:after="0" w:line="157"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368"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368" w:lineRule="exact"/>
        <w:rPr>
          <w:rFonts w:ascii="Courier New" w:cs="Courier New" w:eastAsia="Courier New" w:hAnsi="Courier New"/>
          <w:sz w:val="16"/>
          <w:szCs w:val="16"/>
          <w:color w:val="auto"/>
        </w:rPr>
      </w:pPr>
    </w:p>
    <w:p>
      <w:pPr>
        <w:ind w:left="862" w:right="2779" w:hanging="385"/>
        <w:spacing w:after="0" w:line="299" w:lineRule="auto"/>
        <w:tabs>
          <w:tab w:leader="none" w:pos="8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239"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30" w:lineRule="exact"/>
        <w:rPr>
          <w:rFonts w:ascii="Courier New" w:cs="Courier New" w:eastAsia="Courier New" w:hAnsi="Courier New"/>
          <w:sz w:val="16"/>
          <w:szCs w:val="16"/>
          <w:color w:val="auto"/>
        </w:rPr>
      </w:pPr>
    </w:p>
    <w:p>
      <w:pPr>
        <w:ind w:left="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7"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30" w:lineRule="exact"/>
        <w:rPr>
          <w:rFonts w:ascii="Courier New" w:cs="Courier New" w:eastAsia="Courier New" w:hAnsi="Courier New"/>
          <w:sz w:val="16"/>
          <w:szCs w:val="16"/>
          <w:color w:val="auto"/>
        </w:rPr>
      </w:pPr>
    </w:p>
    <w:p>
      <w:pPr>
        <w:ind w:left="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8" w:lineRule="exact"/>
        <w:rPr>
          <w:sz w:val="24"/>
          <w:szCs w:val="24"/>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Fee paid previously with preliminary materials.</w:t>
      </w:r>
    </w:p>
    <w:p>
      <w:pPr>
        <w:spacing w:after="0" w:line="30" w:lineRule="exact"/>
        <w:rPr>
          <w:sz w:val="24"/>
          <w:szCs w:val="24"/>
          <w:color w:val="auto"/>
        </w:rPr>
      </w:pPr>
    </w:p>
    <w:p>
      <w:pPr>
        <w:ind w:left="482" w:right="2879" w:hanging="482"/>
        <w:spacing w:after="0" w:line="268" w:lineRule="auto"/>
        <w:tabs>
          <w:tab w:leader="none" w:pos="19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9"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5"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5"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5"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DESIGNS, INC.</w:t>
      </w:r>
    </w:p>
    <w:p>
      <w:pPr>
        <w:spacing w:after="0" w:line="30" w:lineRule="exact"/>
        <w:rPr>
          <w:sz w:val="24"/>
          <w:szCs w:val="24"/>
          <w:color w:val="auto"/>
        </w:rPr>
      </w:pPr>
    </w:p>
    <w:p>
      <w:pPr>
        <w:ind w:left="1802"/>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58"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to be held on August 8, 2002</w:t>
      </w:r>
    </w:p>
    <w:p>
      <w:pPr>
        <w:spacing w:after="0" w:line="186" w:lineRule="exact"/>
        <w:rPr>
          <w:sz w:val="24"/>
          <w:szCs w:val="24"/>
          <w:color w:val="auto"/>
        </w:rPr>
      </w:pPr>
    </w:p>
    <w:p>
      <w:pPr>
        <w:ind w:left="2" w:right="2679"/>
        <w:spacing w:after="0" w:line="280" w:lineRule="auto"/>
        <w:rPr>
          <w:sz w:val="20"/>
          <w:szCs w:val="20"/>
          <w:color w:val="auto"/>
        </w:rPr>
      </w:pPr>
      <w:r>
        <w:rPr>
          <w:rFonts w:ascii="Courier New" w:cs="Courier New" w:eastAsia="Courier New" w:hAnsi="Courier New"/>
          <w:sz w:val="16"/>
          <w:szCs w:val="16"/>
          <w:color w:val="auto"/>
        </w:rPr>
        <w:t>Notice is hereby given that the 2002 Annual Meeting of Stockholders of Designs, Inc. (the "Company") will be held at the Friars Club, 57 East 55th Street, New York, New York at 9:00 A.M., local time, on August 8, 2002 for the following purposes:</w:t>
      </w:r>
    </w:p>
    <w:p>
      <w:pPr>
        <w:spacing w:after="0" w:line="71" w:lineRule="exact"/>
        <w:rPr>
          <w:sz w:val="24"/>
          <w:szCs w:val="24"/>
          <w:color w:val="auto"/>
        </w:rPr>
      </w:pPr>
    </w:p>
    <w:p>
      <w:pPr>
        <w:ind w:left="762" w:right="3159" w:hanging="285"/>
        <w:spacing w:after="0" w:line="255" w:lineRule="auto"/>
        <w:tabs>
          <w:tab w:leader="none" w:pos="7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eight directors to serve until the next Annual Meeting of Stockholders and until their respective successors have been duly elected and qualified.</w:t>
      </w:r>
    </w:p>
    <w:p>
      <w:pPr>
        <w:ind w:left="762" w:right="2599" w:hanging="285"/>
        <w:spacing w:after="0" w:line="242" w:lineRule="auto"/>
        <w:tabs>
          <w:tab w:leader="none" w:pos="7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Company's Restated Certificate of Incorporation to change the Company's name from "Designs, Inc." to "Casual Male Retail Group, Inc."</w:t>
      </w:r>
    </w:p>
    <w:p>
      <w:pPr>
        <w:spacing w:after="0" w:line="1" w:lineRule="exact"/>
        <w:rPr>
          <w:rFonts w:ascii="Courier New" w:cs="Courier New" w:eastAsia="Courier New" w:hAnsi="Courier New"/>
          <w:sz w:val="16"/>
          <w:szCs w:val="16"/>
          <w:color w:val="auto"/>
        </w:rPr>
      </w:pPr>
    </w:p>
    <w:p>
      <w:pPr>
        <w:ind w:left="762" w:right="2599" w:hanging="285"/>
        <w:spacing w:after="0" w:line="242" w:lineRule="auto"/>
        <w:tabs>
          <w:tab w:leader="none" w:pos="7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Company's Restated Certificate of Incorporation to increase the authorized number of shares of the Company's common stock from 50,000,000 to 75,000,000.</w:t>
      </w:r>
    </w:p>
    <w:p>
      <w:pPr>
        <w:spacing w:after="0" w:line="1" w:lineRule="exact"/>
        <w:rPr>
          <w:rFonts w:ascii="Courier New" w:cs="Courier New" w:eastAsia="Courier New" w:hAnsi="Courier New"/>
          <w:sz w:val="16"/>
          <w:szCs w:val="16"/>
          <w:color w:val="auto"/>
        </w:rPr>
      </w:pPr>
    </w:p>
    <w:p>
      <w:pPr>
        <w:ind w:left="762" w:right="2779" w:hanging="285"/>
        <w:spacing w:after="0" w:line="242" w:lineRule="auto"/>
        <w:tabs>
          <w:tab w:leader="none" w:pos="7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issuance of additional common stock of the Company upon the conversion of outstanding preferred stock and the exercise of warrants.</w:t>
      </w:r>
    </w:p>
    <w:p>
      <w:pPr>
        <w:spacing w:after="0" w:line="1" w:lineRule="exact"/>
        <w:rPr>
          <w:rFonts w:ascii="Courier New" w:cs="Courier New" w:eastAsia="Courier New" w:hAnsi="Courier New"/>
          <w:sz w:val="16"/>
          <w:szCs w:val="16"/>
          <w:color w:val="auto"/>
        </w:rPr>
      </w:pPr>
    </w:p>
    <w:p>
      <w:pPr>
        <w:ind w:left="762" w:right="3159" w:hanging="285"/>
        <w:spacing w:after="0" w:line="242" w:lineRule="auto"/>
        <w:tabs>
          <w:tab w:leader="none" w:pos="7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change of the Company's state of incorporation from Delaware to Nevada through a reincorporation merger.</w:t>
      </w:r>
    </w:p>
    <w:p>
      <w:pPr>
        <w:spacing w:after="0" w:line="1" w:lineRule="exact"/>
        <w:rPr>
          <w:rFonts w:ascii="Courier New" w:cs="Courier New" w:eastAsia="Courier New" w:hAnsi="Courier New"/>
          <w:sz w:val="16"/>
          <w:szCs w:val="16"/>
          <w:color w:val="auto"/>
        </w:rPr>
      </w:pPr>
    </w:p>
    <w:p>
      <w:pPr>
        <w:ind w:left="762" w:right="2599" w:hanging="285"/>
        <w:spacing w:after="0" w:line="242" w:lineRule="auto"/>
        <w:tabs>
          <w:tab w:leader="none" w:pos="7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selection of Ernst &amp; Young LLP as independent auditors for the Company for the fiscal year ending February 1, 2003.</w:t>
      </w:r>
    </w:p>
    <w:p>
      <w:pPr>
        <w:spacing w:after="0" w:line="1" w:lineRule="exact"/>
        <w:rPr>
          <w:rFonts w:ascii="Courier New" w:cs="Courier New" w:eastAsia="Courier New" w:hAnsi="Courier New"/>
          <w:sz w:val="16"/>
          <w:szCs w:val="16"/>
          <w:color w:val="auto"/>
        </w:rPr>
      </w:pPr>
    </w:p>
    <w:p>
      <w:pPr>
        <w:ind w:left="762" w:right="2679" w:hanging="285"/>
        <w:spacing w:after="0" w:line="318" w:lineRule="auto"/>
        <w:tabs>
          <w:tab w:leader="none" w:pos="7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thereof.</w:t>
      </w:r>
    </w:p>
    <w:p>
      <w:pPr>
        <w:sectPr>
          <w:pgSz w:w="11900" w:h="16852" w:orient="portrait"/>
          <w:cols w:equalWidth="0" w:num="1">
            <w:col w:w="10221"/>
          </w:cols>
          <w:pgMar w:left="238" w:top="211" w:right="1440" w:bottom="0" w:gutter="0" w:footer="0" w:header="0"/>
        </w:sectPr>
      </w:pPr>
    </w:p>
    <w:bookmarkStart w:id="1" w:name="page2"/>
    <w:bookmarkEnd w:id="1"/>
    <w:p>
      <w:pPr>
        <w:ind w:left="2" w:right="2779"/>
        <w:spacing w:after="0" w:line="355" w:lineRule="auto"/>
        <w:rPr>
          <w:sz w:val="20"/>
          <w:szCs w:val="20"/>
          <w:color w:val="auto"/>
        </w:rPr>
      </w:pPr>
      <w:r>
        <w:rPr>
          <w:rFonts w:ascii="Courier New" w:cs="Courier New" w:eastAsia="Courier New" w:hAnsi="Courier New"/>
          <w:sz w:val="16"/>
          <w:szCs w:val="16"/>
          <w:color w:val="auto"/>
        </w:rPr>
        <w:t>These proposals are more fully described in the Proxy Statement following this Notice.</w:t>
      </w:r>
    </w:p>
    <w:p>
      <w:pPr>
        <w:spacing w:after="0" w:line="14" w:lineRule="exact"/>
        <w:rPr>
          <w:sz w:val="20"/>
          <w:szCs w:val="20"/>
          <w:color w:val="auto"/>
        </w:rPr>
      </w:pPr>
    </w:p>
    <w:p>
      <w:pPr>
        <w:ind w:left="2" w:right="2679"/>
        <w:spacing w:after="0" w:line="258" w:lineRule="auto"/>
        <w:rPr>
          <w:sz w:val="20"/>
          <w:szCs w:val="20"/>
          <w:color w:val="auto"/>
        </w:rPr>
      </w:pPr>
      <w:r>
        <w:rPr>
          <w:rFonts w:ascii="Courier New" w:cs="Courier New" w:eastAsia="Courier New" w:hAnsi="Courier New"/>
          <w:sz w:val="16"/>
          <w:szCs w:val="16"/>
          <w:color w:val="auto"/>
        </w:rPr>
        <w:t>The Board of Directors recommends that you vote FOR the election of all eight nominees to serve as directors of the Company, FOR the amendment to the Company's Restated Certificate of Incorporation to change the Company's name, FOR the amendment to the Company's Restated Certificate of Incorporation to increase the authorized number of shares of common stock, FOR the approval to issue additional common stock, FOR the change of the Company's state of incorporation from Delaware to Nevada, and FOR the appointment of Ernst &amp; Young LLP as the Company's independent auditors.</w:t>
      </w:r>
    </w:p>
    <w:p>
      <w:pPr>
        <w:spacing w:after="0" w:line="92" w:lineRule="exact"/>
        <w:rPr>
          <w:sz w:val="20"/>
          <w:szCs w:val="20"/>
          <w:color w:val="auto"/>
        </w:rPr>
      </w:pPr>
    </w:p>
    <w:p>
      <w:pPr>
        <w:ind w:left="2" w:right="2599"/>
        <w:spacing w:after="0" w:line="261" w:lineRule="auto"/>
        <w:rPr>
          <w:sz w:val="20"/>
          <w:szCs w:val="20"/>
          <w:color w:val="auto"/>
        </w:rPr>
      </w:pPr>
      <w:r>
        <w:rPr>
          <w:rFonts w:ascii="Courier New" w:cs="Courier New" w:eastAsia="Courier New" w:hAnsi="Courier New"/>
          <w:sz w:val="16"/>
          <w:szCs w:val="16"/>
          <w:color w:val="auto"/>
        </w:rPr>
        <w:t>Along with the attached Proxy Statement, the Company is sending you copies of its Annual Report on Form 10-K for the fiscal year ended February 2, 2002, its Current Report on Form 8-K filed on May 23, 2002 and its Current Report on Form 8-K/A filed on June 14, 2002. The Current Reports provide information about the Company's recent acquisition of substantially all of the assets and the assumption of certain operating liabilities of Casual Male Corp., which occurred after the Company's Annual Report was filed.</w:t>
      </w:r>
    </w:p>
    <w:p>
      <w:pPr>
        <w:spacing w:after="0" w:line="87" w:lineRule="exact"/>
        <w:rPr>
          <w:sz w:val="20"/>
          <w:szCs w:val="20"/>
          <w:color w:val="auto"/>
        </w:rPr>
      </w:pPr>
    </w:p>
    <w:p>
      <w:pPr>
        <w:ind w:left="2" w:right="2599"/>
        <w:spacing w:after="0" w:line="276" w:lineRule="auto"/>
        <w:rPr>
          <w:sz w:val="20"/>
          <w:szCs w:val="20"/>
          <w:color w:val="auto"/>
        </w:rPr>
      </w:pPr>
      <w:r>
        <w:rPr>
          <w:rFonts w:ascii="Courier New" w:cs="Courier New" w:eastAsia="Courier New" w:hAnsi="Courier New"/>
          <w:sz w:val="15"/>
          <w:szCs w:val="15"/>
          <w:color w:val="auto"/>
        </w:rPr>
        <w:t>The Board of Directors has fixed the close of business on June 20, 2002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20, 2002 will be available for inspection by any stockholder of the Company for any purpose germane to the Annual Meeting during normal business hours at the Company's principal executive offices, 555 Turnpike Street, Canton, Massachusetts 02021, beginning on July 20, 2002 and at the Annual Meeting.</w:t>
      </w:r>
    </w:p>
    <w:p>
      <w:pPr>
        <w:spacing w:after="0" w:line="75" w:lineRule="exact"/>
        <w:rPr>
          <w:sz w:val="20"/>
          <w:szCs w:val="20"/>
          <w:color w:val="auto"/>
        </w:rPr>
      </w:pPr>
    </w:p>
    <w:p>
      <w:pPr>
        <w:ind w:left="2" w:right="2599"/>
        <w:spacing w:after="0" w:line="271" w:lineRule="auto"/>
        <w:rPr>
          <w:sz w:val="20"/>
          <w:szCs w:val="20"/>
          <w:color w:val="auto"/>
        </w:rPr>
      </w:pPr>
      <w:r>
        <w:rPr>
          <w:rFonts w:ascii="Courier New" w:cs="Courier New" w:eastAsia="Courier New" w:hAnsi="Courier New"/>
          <w:sz w:val="16"/>
          <w:szCs w:val="16"/>
          <w:color w:val="auto"/>
        </w:rPr>
        <w:t>Stockholders are cordially invited to attend the Annual Meeting in person. Whether or not you plan to attend the Annual Meeting, please mark, date, sign and return the enclosed proxy to ensure that your shares are represented at the Annual Meeting. Stockholders who attend the Annual Meeting may vote their shares personally, even though they have sent in proxies.</w:t>
      </w:r>
    </w:p>
    <w:p>
      <w:pPr>
        <w:spacing w:after="0" w:line="77"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6"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/s/ DENNIS R. HERNREICH</w:t>
      </w:r>
    </w:p>
    <w:p>
      <w:pPr>
        <w:spacing w:after="0" w:line="30"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DENNIS R. HERNREICH</w:t>
      </w:r>
    </w:p>
    <w:p>
      <w:pPr>
        <w:spacing w:after="0" w:line="2"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Secretary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Canton, Massachusetts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July 8, 2002</w:t>
      </w:r>
    </w:p>
    <w:p>
      <w:pPr>
        <w:spacing w:after="0" w:line="158" w:lineRule="exact"/>
        <w:rPr>
          <w:sz w:val="20"/>
          <w:szCs w:val="20"/>
          <w:color w:val="auto"/>
        </w:rPr>
      </w:pPr>
    </w:p>
    <w:p>
      <w:pPr>
        <w:ind w:left="182" w:hanging="182"/>
        <w:spacing w:after="0"/>
        <w:tabs>
          <w:tab w:leader="none" w:pos="18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1" w:lineRule="exact"/>
        <w:rPr>
          <w:rFonts w:ascii="Courier New" w:cs="Courier New" w:eastAsia="Courier New" w:hAnsi="Courier New"/>
          <w:sz w:val="15"/>
          <w:szCs w:val="15"/>
          <w:color w:val="auto"/>
        </w:rPr>
      </w:pPr>
    </w:p>
    <w:p>
      <w:pPr>
        <w:ind w:left="2" w:right="297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pacing w:after="0" w:line="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8" w:top="297" w:right="1440" w:bottom="1440" w:gutter="0" w:footer="0" w:header="0"/>
        </w:sectPr>
      </w:pPr>
    </w:p>
    <w:bookmarkStart w:id="2" w:name="page3"/>
    <w:bookmarkEnd w:id="2"/>
    <w:p>
      <w:pPr>
        <w:ind w:left="3242"/>
        <w:spacing w:after="0"/>
        <w:rPr>
          <w:sz w:val="20"/>
          <w:szCs w:val="20"/>
          <w:color w:val="auto"/>
        </w:rPr>
      </w:pPr>
      <w:r>
        <w:rPr>
          <w:rFonts w:ascii="Courier New" w:cs="Courier New" w:eastAsia="Courier New" w:hAnsi="Courier New"/>
          <w:sz w:val="16"/>
          <w:szCs w:val="16"/>
          <w:color w:val="auto"/>
        </w:rPr>
        <w:t>DESIGNS, INC.</w:t>
      </w:r>
    </w:p>
    <w:p>
      <w:pPr>
        <w:spacing w:after="0" w:line="30"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555 Turnpike Street</w:t>
      </w:r>
    </w:p>
    <w:p>
      <w:pPr>
        <w:spacing w:after="0" w:line="2"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Canton, Massachusetts 02021</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(781) 828-9300</w:t>
      </w:r>
    </w:p>
    <w:p>
      <w:pPr>
        <w:spacing w:after="0" w:line="158"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Proxy Statement</w:t>
      </w:r>
    </w:p>
    <w:p>
      <w:pPr>
        <w:spacing w:after="0" w:line="30" w:lineRule="exact"/>
        <w:rPr>
          <w:sz w:val="20"/>
          <w:szCs w:val="20"/>
          <w:color w:val="auto"/>
        </w:rPr>
      </w:pPr>
    </w:p>
    <w:p>
      <w:pPr>
        <w:ind w:left="2382"/>
        <w:spacing w:after="0"/>
        <w:rPr>
          <w:sz w:val="20"/>
          <w:szCs w:val="20"/>
          <w:color w:val="auto"/>
        </w:rPr>
      </w:pPr>
      <w:r>
        <w:rPr>
          <w:rFonts w:ascii="Courier New" w:cs="Courier New" w:eastAsia="Courier New" w:hAnsi="Courier New"/>
          <w:sz w:val="16"/>
          <w:szCs w:val="16"/>
          <w:color w:val="auto"/>
        </w:rPr>
        <w:t>Annual Meeting of Stockholders</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August 8, 2002</w:t>
      </w:r>
    </w:p>
    <w:p>
      <w:pPr>
        <w:spacing w:after="0" w:line="341"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USE OF PROXIES</w:t>
      </w:r>
    </w:p>
    <w:p>
      <w:pPr>
        <w:spacing w:after="0" w:line="186" w:lineRule="exact"/>
        <w:rPr>
          <w:sz w:val="20"/>
          <w:szCs w:val="20"/>
          <w:color w:val="auto"/>
        </w:rPr>
      </w:pPr>
    </w:p>
    <w:p>
      <w:pPr>
        <w:ind w:left="2" w:right="2599"/>
        <w:spacing w:after="0" w:line="245" w:lineRule="auto"/>
        <w:rPr>
          <w:sz w:val="20"/>
          <w:szCs w:val="20"/>
          <w:color w:val="auto"/>
        </w:rPr>
      </w:pPr>
      <w:r>
        <w:rPr>
          <w:rFonts w:ascii="Courier New" w:cs="Courier New" w:eastAsia="Courier New" w:hAnsi="Courier New"/>
          <w:sz w:val="16"/>
          <w:szCs w:val="16"/>
          <w:color w:val="auto"/>
        </w:rPr>
        <w:t>This Proxy Statement and the enclosed form of proxy are being mailed to stockholders on or about July 8, 2002, in connection with the solicitation by the Board of Directors of Designs, Inc. (the "Company") of proxies to be used at the Annual Meeting of Stockholders, to be held at the Friars Club, 57 East 55th Street, New York, New York at 9:00 A.M., local time, on Thursday, August 8, 2002, and at any and all adjournments thereof (the "Annual Meeting"). When proxies are returned properly executed, the shares represented will be voted in accordance with the stockholders' instructions. Stockholders are encouraged to vote on the matters to be considered. However, if no instructions have been specified by a stockholder, the shares covered by an executed proxy will be voted (i) FOR the election of all eight nominees to serve as directors of the Company, (ii) FOR the amendment to the Company's Restated Certificate of Incorporation to change the Company's name to "Casual Male Retail Group, Inc.",</w:t>
      </w:r>
    </w:p>
    <w:p>
      <w:pPr>
        <w:spacing w:after="0" w:line="7" w:lineRule="exact"/>
        <w:rPr>
          <w:sz w:val="20"/>
          <w:szCs w:val="20"/>
          <w:color w:val="auto"/>
        </w:rPr>
      </w:pPr>
    </w:p>
    <w:p>
      <w:pPr>
        <w:ind w:left="2" w:right="2679" w:hanging="2"/>
        <w:spacing w:after="0" w:line="242" w:lineRule="auto"/>
        <w:tabs>
          <w:tab w:leader="none" w:pos="57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amendment to the Company's Restated Certificate of Incorporation to increase the authorized number of shares of the Company's common stock, par value $0.01 per share ("Common Stock"), from 50,000,000 to 75,000,000, (iv) FOR the approval of the issuance of additional Common Stock, (v) FOR changing the Company's state of incorporation from Delaware to Nevada through a reincorporation merger, (subject to the discretion of the Board of Directors to defer or abandon such reincorporation), (vi) FOR the ratification of the appointment of Ernst &amp; Young LLP as the Company's independent auditors, and</w:t>
      </w:r>
    </w:p>
    <w:p>
      <w:pPr>
        <w:spacing w:after="0" w:line="5" w:lineRule="exact"/>
        <w:rPr>
          <w:rFonts w:ascii="Courier New" w:cs="Courier New" w:eastAsia="Courier New" w:hAnsi="Courier New"/>
          <w:sz w:val="16"/>
          <w:szCs w:val="16"/>
          <w:color w:val="auto"/>
        </w:rPr>
      </w:pPr>
    </w:p>
    <w:p>
      <w:pPr>
        <w:ind w:left="2" w:right="2679" w:hanging="2"/>
        <w:spacing w:after="0" w:line="257" w:lineRule="auto"/>
        <w:tabs>
          <w:tab w:leader="none" w:pos="57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91" w:lineRule="exact"/>
        <w:rPr>
          <w:sz w:val="20"/>
          <w:szCs w:val="20"/>
          <w:color w:val="auto"/>
        </w:rPr>
      </w:pPr>
    </w:p>
    <w:p>
      <w:pPr>
        <w:ind w:left="2" w:right="2599"/>
        <w:spacing w:after="0" w:line="264" w:lineRule="auto"/>
        <w:rPr>
          <w:sz w:val="20"/>
          <w:szCs w:val="20"/>
          <w:color w:val="auto"/>
        </w:rPr>
      </w:pPr>
      <w:r>
        <w:rPr>
          <w:rFonts w:ascii="Courier New" w:cs="Courier New" w:eastAsia="Courier New" w:hAnsi="Courier New"/>
          <w:sz w:val="15"/>
          <w:szCs w:val="15"/>
          <w:color w:val="auto"/>
        </w:rPr>
        <w:t>Only holders of the Common Stock of record at the close of business on June 20, 2002, the record date for the Annual Meeting, will be entitled to notice of and to vote at the Annual Meeting. On that date, there were 15,999,010 shares of the Common Stock issued and outstanding, excluding shares held by the Company in treasury. Each share is entitled to one vote at the Annual Meeting. A plurality of the votes of shares of the Common Stock present in person or represented by proxy at the Annual Meeting and entitled to vote on the election of directors is required to elect directors, the affirmative vote of the majority of the shares of Common Stock outstanding and entitled to vote thereon is required to change the Company's name, to increase the authorized number of shares of Common Stock and to change the Company's state of incorporation and the affirmative vote of the majority of the shares of Common Stock present in person or represented by proxy at the Annual Meeting and entitled to vote thereon is required for all other matters, including the issuance of additional Common Stock and the ratification of the appointment of the Company's independent auditors. No votes may be taken at the Annual Meeting, other than a vote to adjourn, unless a quorum, consisting of a majority of the shares of Common Stock outstanding as of the record date, is present in person or represented by proxy at the Annual Meeting. Any stockholder who attends the Annual Meeting may not withhold such stockholder's shares from the quorum count by declaring such shares absent from the Annual Meeting. Shares voted to abstain or to withhold as to a particular matter, or as to which a nominee (such as a broker holding shares in street name for a beneficial owner) has no voting authority in respect of a particular matter, shall be deemed present for quorum purposes. Such shares, however, will not be deemed to be voting with respect to election of directors and will not count as votes for or against such election. Votes will be tabulated by the Company's transfer agent subject to the supervision of persons designated by the Board of Directors as inspectors.</w:t>
      </w:r>
    </w:p>
    <w:p>
      <w:pPr>
        <w:sectPr>
          <w:pgSz w:w="11900" w:h="16838" w:orient="portrait"/>
          <w:cols w:equalWidth="0" w:num="1">
            <w:col w:w="10221"/>
          </w:cols>
          <w:pgMar w:left="238" w:top="823" w:right="1440" w:bottom="1440" w:gutter="0" w:footer="0" w:header="0"/>
        </w:sectPr>
      </w:pPr>
    </w:p>
    <w:bookmarkStart w:id="3" w:name="page4"/>
    <w:bookmarkEnd w:id="3"/>
    <w:p>
      <w:pPr>
        <w:ind w:left="3342"/>
        <w:spacing w:after="0"/>
        <w:rPr>
          <w:sz w:val="20"/>
          <w:szCs w:val="20"/>
          <w:color w:val="auto"/>
        </w:rPr>
      </w:pPr>
      <w:r>
        <w:rPr>
          <w:rFonts w:ascii="Courier New" w:cs="Courier New" w:eastAsia="Courier New" w:hAnsi="Courier New"/>
          <w:sz w:val="16"/>
          <w:szCs w:val="16"/>
          <w:color w:val="auto"/>
        </w:rPr>
        <w:t>PROPOSAL 1</w:t>
      </w:r>
    </w:p>
    <w:p>
      <w:pPr>
        <w:spacing w:after="0" w:line="186"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ELECTION OF DIRECTORS</w:t>
      </w:r>
    </w:p>
    <w:p>
      <w:pPr>
        <w:spacing w:after="0" w:line="186" w:lineRule="exact"/>
        <w:rPr>
          <w:sz w:val="20"/>
          <w:szCs w:val="20"/>
          <w:color w:val="auto"/>
        </w:rPr>
      </w:pPr>
    </w:p>
    <w:p>
      <w:pPr>
        <w:ind w:left="2" w:right="2960"/>
        <w:spacing w:after="0" w:line="267" w:lineRule="auto"/>
        <w:rPr>
          <w:sz w:val="20"/>
          <w:szCs w:val="20"/>
          <w:color w:val="auto"/>
        </w:rPr>
      </w:pPr>
      <w:r>
        <w:rPr>
          <w:rFonts w:ascii="Courier New" w:cs="Courier New" w:eastAsia="Courier New" w:hAnsi="Courier New"/>
          <w:sz w:val="15"/>
          <w:szCs w:val="15"/>
          <w:color w:val="auto"/>
        </w:rPr>
        <w:t>The Board of Directors, in accordance with the By-Laws of the Company, as amended (the "By-Laws"), has set the number of members of the Company's Board of Directors at eight. At the Annual Meeting, eight nominees, each of whom currently serves as a member of the Board of Directors of the Company, are to be elected to serve on the Board until the 2003 Annual Meeting of Stockholders and until their respective successors have been duly elected and qualified. Unless a proxy shall specify that it is not to be voted for a nominee, it is intended that the shares represented by each duly executed and returned proxy will be voted in favor of the election as directors of Seymour Holtzman, David A. Levin, Jesse Choper, Alan Cohen, Stephen M. Duff, Jeremiah P. Murphy, Jr., Joseph Pennacchio and George T. Porter, Jr. On June 10, 2002, Stanley I. Berger resigned from the Board of Directors of the Company. The Board does not intend to nominate a replacement for Mr. Berger at this time, although, and, in accordance with the Company's By-Laws, a new director could be named at a later date following the Annual Meeting. Although management expects all nominees to accept nomination and to serve if elected, proxies will be voted for a substitute if a nominee is unable or unwilling to accept nomination or election.</w:t>
      </w:r>
    </w:p>
    <w:p>
      <w:pPr>
        <w:spacing w:after="0" w:line="277" w:lineRule="exact"/>
        <w:rPr>
          <w:sz w:val="20"/>
          <w:szCs w:val="20"/>
          <w:color w:val="auto"/>
        </w:rPr>
      </w:pPr>
    </w:p>
    <w:p>
      <w:pPr>
        <w:ind w:left="282" w:right="3240" w:firstLine="381"/>
        <w:spacing w:after="0" w:line="388" w:lineRule="auto"/>
        <w:rPr>
          <w:sz w:val="20"/>
          <w:szCs w:val="20"/>
          <w:color w:val="auto"/>
        </w:rPr>
      </w:pPr>
      <w:r>
        <w:rPr>
          <w:rFonts w:ascii="Courier New" w:cs="Courier New" w:eastAsia="Courier New" w:hAnsi="Courier New"/>
          <w:sz w:val="15"/>
          <w:szCs w:val="15"/>
          <w:color w:val="auto"/>
        </w:rPr>
        <w:t>The Board of Directors unanimously recommends that you vote FOR the election of the eight individuals named below as directors of the Company.</w:t>
      </w:r>
    </w:p>
    <w:p>
      <w:pPr>
        <w:spacing w:after="0" w:line="1" w:lineRule="exact"/>
        <w:rPr>
          <w:sz w:val="20"/>
          <w:szCs w:val="20"/>
          <w:color w:val="auto"/>
        </w:rPr>
      </w:pPr>
    </w:p>
    <w:p>
      <w:pPr>
        <w:ind w:left="2" w:right="3140"/>
        <w:spacing w:after="0" w:line="271" w:lineRule="auto"/>
        <w:rPr>
          <w:sz w:val="20"/>
          <w:szCs w:val="20"/>
          <w:color w:val="auto"/>
        </w:rPr>
      </w:pPr>
      <w:r>
        <w:rPr>
          <w:rFonts w:ascii="Courier New" w:cs="Courier New" w:eastAsia="Courier New" w:hAnsi="Courier New"/>
          <w:sz w:val="16"/>
          <w:szCs w:val="16"/>
          <w:color w:val="auto"/>
        </w:rPr>
        <w:t>Set forth below is certain information regarding the Company's nominees for directors, including information furnished by them as to their principal occupations and business experience for the past five years, certain directorships held by each director, their respective ages as of June 20, 2002 and the year in which each became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3140" w:type="dxa"/>
            <w:vAlign w:val="bottom"/>
            <w:vMerge w:val="restart"/>
          </w:tcPr>
          <w:p>
            <w:pPr>
              <w:jc w:val="center"/>
              <w:ind w:right="381"/>
              <w:spacing w:after="0"/>
              <w:rPr>
                <w:sz w:val="20"/>
                <w:szCs w:val="20"/>
                <w:color w:val="auto"/>
              </w:rPr>
            </w:pPr>
            <w:r>
              <w:rPr>
                <w:rFonts w:ascii="Courier New" w:cs="Courier New" w:eastAsia="Courier New" w:hAnsi="Courier New"/>
                <w:sz w:val="16"/>
                <w:szCs w:val="16"/>
                <w:color w:val="auto"/>
                <w:w w:val="98"/>
              </w:rPr>
              <w:t>NAME (1)</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AGE</w:t>
            </w:r>
          </w:p>
        </w:tc>
        <w:tc>
          <w:tcPr>
            <w:tcW w:w="5200" w:type="dxa"/>
            <w:vAlign w:val="bottom"/>
            <w:vMerge w:val="restart"/>
          </w:tcPr>
          <w:p>
            <w:pPr>
              <w:ind w:left="1720"/>
              <w:spacing w:after="0"/>
              <w:rPr>
                <w:sz w:val="20"/>
                <w:szCs w:val="20"/>
                <w:color w:val="auto"/>
              </w:rPr>
            </w:pPr>
            <w:r>
              <w:rPr>
                <w:rFonts w:ascii="Courier New" w:cs="Courier New" w:eastAsia="Courier New" w:hAnsi="Courier New"/>
                <w:sz w:val="16"/>
                <w:szCs w:val="16"/>
                <w:color w:val="auto"/>
              </w:rPr>
              <w:t>POSITION</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3"/>
        </w:trPr>
        <w:tc>
          <w:tcPr>
            <w:tcW w:w="3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SINCE</w:t>
            </w:r>
          </w:p>
        </w:tc>
        <w:tc>
          <w:tcPr>
            <w:tcW w:w="0" w:type="dxa"/>
            <w:vAlign w:val="bottom"/>
          </w:tcPr>
          <w:p>
            <w:pPr>
              <w:spacing w:after="0"/>
              <w:rPr>
                <w:sz w:val="1"/>
                <w:szCs w:val="1"/>
                <w:color w:val="auto"/>
              </w:rPr>
            </w:pPr>
          </w:p>
        </w:tc>
      </w:tr>
      <w:tr>
        <w:trPr>
          <w:trHeight w:val="266"/>
        </w:trPr>
        <w:tc>
          <w:tcPr>
            <w:tcW w:w="3140" w:type="dxa"/>
            <w:vAlign w:val="bottom"/>
          </w:tcPr>
          <w:p>
            <w:pPr>
              <w:jc w:val="center"/>
              <w:ind w:right="381"/>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200" w:type="dxa"/>
            <w:vAlign w:val="bottom"/>
          </w:tcPr>
          <w:p>
            <w:pPr>
              <w:ind w:left="17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314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Seymour Holtzman............</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w:t>
            </w:r>
          </w:p>
        </w:tc>
        <w:tc>
          <w:tcPr>
            <w:tcW w:w="5200" w:type="dxa"/>
            <w:vAlign w:val="bottom"/>
          </w:tcPr>
          <w:p>
            <w:pPr>
              <w:ind w:left="400"/>
              <w:spacing w:after="0"/>
              <w:rPr>
                <w:sz w:val="20"/>
                <w:szCs w:val="20"/>
                <w:color w:val="auto"/>
              </w:rPr>
            </w:pPr>
            <w:r>
              <w:rPr>
                <w:rFonts w:ascii="Courier New" w:cs="Courier New" w:eastAsia="Courier New" w:hAnsi="Courier New"/>
                <w:sz w:val="16"/>
                <w:szCs w:val="16"/>
                <w:color w:val="auto"/>
              </w:rPr>
              <w:t>Chairman of the Board and Director</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w:t>
            </w:r>
          </w:p>
        </w:tc>
        <w:tc>
          <w:tcPr>
            <w:tcW w:w="0" w:type="dxa"/>
            <w:vAlign w:val="bottom"/>
          </w:tcPr>
          <w:p>
            <w:pPr>
              <w:spacing w:after="0"/>
              <w:rPr>
                <w:sz w:val="1"/>
                <w:szCs w:val="1"/>
                <w:color w:val="auto"/>
              </w:rPr>
            </w:pPr>
          </w:p>
        </w:tc>
      </w:tr>
      <w:tr>
        <w:trPr>
          <w:trHeight w:val="183"/>
        </w:trPr>
        <w:tc>
          <w:tcPr>
            <w:tcW w:w="314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David A. Levin..............</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w:t>
            </w:r>
          </w:p>
        </w:tc>
        <w:tc>
          <w:tcPr>
            <w:tcW w:w="5200" w:type="dxa"/>
            <w:vAlign w:val="bottom"/>
          </w:tcPr>
          <w:p>
            <w:pPr>
              <w:ind w:left="400"/>
              <w:spacing w:after="0"/>
              <w:rPr>
                <w:sz w:val="20"/>
                <w:szCs w:val="20"/>
                <w:color w:val="auto"/>
              </w:rPr>
            </w:pPr>
            <w:r>
              <w:rPr>
                <w:rFonts w:ascii="Courier New" w:cs="Courier New" w:eastAsia="Courier New" w:hAnsi="Courier New"/>
                <w:sz w:val="16"/>
                <w:szCs w:val="16"/>
                <w:color w:val="auto"/>
              </w:rPr>
              <w:t>President, Chief Executive Officer and Director</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w:t>
            </w:r>
          </w:p>
        </w:tc>
        <w:tc>
          <w:tcPr>
            <w:tcW w:w="0" w:type="dxa"/>
            <w:vAlign w:val="bottom"/>
          </w:tcPr>
          <w:p>
            <w:pPr>
              <w:spacing w:after="0"/>
              <w:rPr>
                <w:sz w:val="1"/>
                <w:szCs w:val="1"/>
                <w:color w:val="auto"/>
              </w:rPr>
            </w:pPr>
          </w:p>
        </w:tc>
      </w:tr>
      <w:tr>
        <w:trPr>
          <w:trHeight w:val="183"/>
        </w:trPr>
        <w:tc>
          <w:tcPr>
            <w:tcW w:w="314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Jesse Choper................</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w:t>
            </w:r>
          </w:p>
        </w:tc>
        <w:tc>
          <w:tcPr>
            <w:tcW w:w="5200" w:type="dxa"/>
            <w:vAlign w:val="bottom"/>
          </w:tcPr>
          <w:p>
            <w:pPr>
              <w:ind w:left="400"/>
              <w:spacing w:after="0"/>
              <w:rPr>
                <w:sz w:val="20"/>
                <w:szCs w:val="20"/>
                <w:color w:val="auto"/>
              </w:rPr>
            </w:pPr>
            <w:r>
              <w:rPr>
                <w:rFonts w:ascii="Courier New" w:cs="Courier New" w:eastAsia="Courier New" w:hAnsi="Courier New"/>
                <w:sz w:val="16"/>
                <w:szCs w:val="16"/>
                <w:color w:val="auto"/>
              </w:rPr>
              <w:t>Director (3), (4)</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3"/>
        </w:trPr>
        <w:tc>
          <w:tcPr>
            <w:tcW w:w="314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Alan Cohen..................</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65</w:t>
            </w:r>
          </w:p>
        </w:tc>
        <w:tc>
          <w:tcPr>
            <w:tcW w:w="5200" w:type="dxa"/>
            <w:vAlign w:val="bottom"/>
          </w:tcPr>
          <w:p>
            <w:pPr>
              <w:ind w:left="400"/>
              <w:spacing w:after="0"/>
              <w:rPr>
                <w:sz w:val="20"/>
                <w:szCs w:val="20"/>
                <w:color w:val="auto"/>
              </w:rPr>
            </w:pPr>
            <w:r>
              <w:rPr>
                <w:rFonts w:ascii="Courier New" w:cs="Courier New" w:eastAsia="Courier New" w:hAnsi="Courier New"/>
                <w:sz w:val="16"/>
                <w:szCs w:val="16"/>
                <w:color w:val="auto"/>
              </w:rPr>
              <w:t>Director</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w:t>
            </w:r>
          </w:p>
        </w:tc>
        <w:tc>
          <w:tcPr>
            <w:tcW w:w="0" w:type="dxa"/>
            <w:vAlign w:val="bottom"/>
          </w:tcPr>
          <w:p>
            <w:pPr>
              <w:spacing w:after="0"/>
              <w:rPr>
                <w:sz w:val="1"/>
                <w:szCs w:val="1"/>
                <w:color w:val="auto"/>
              </w:rPr>
            </w:pPr>
          </w:p>
        </w:tc>
      </w:tr>
      <w:tr>
        <w:trPr>
          <w:trHeight w:val="183"/>
        </w:trPr>
        <w:tc>
          <w:tcPr>
            <w:tcW w:w="314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Stephen M. Duff.............</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w:t>
            </w:r>
          </w:p>
        </w:tc>
        <w:tc>
          <w:tcPr>
            <w:tcW w:w="5200" w:type="dxa"/>
            <w:vAlign w:val="bottom"/>
          </w:tcPr>
          <w:p>
            <w:pPr>
              <w:ind w:left="400"/>
              <w:spacing w:after="0"/>
              <w:rPr>
                <w:sz w:val="20"/>
                <w:szCs w:val="20"/>
                <w:color w:val="auto"/>
              </w:rPr>
            </w:pPr>
            <w:r>
              <w:rPr>
                <w:rFonts w:ascii="Courier New" w:cs="Courier New" w:eastAsia="Courier New" w:hAnsi="Courier New"/>
                <w:sz w:val="16"/>
                <w:szCs w:val="16"/>
                <w:color w:val="auto"/>
              </w:rPr>
              <w:t>Director (2)</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83"/>
        </w:trPr>
        <w:tc>
          <w:tcPr>
            <w:tcW w:w="314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Jeremiah P. Murphy, Jr......</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w:t>
            </w:r>
          </w:p>
        </w:tc>
        <w:tc>
          <w:tcPr>
            <w:tcW w:w="5200" w:type="dxa"/>
            <w:vAlign w:val="bottom"/>
          </w:tcPr>
          <w:p>
            <w:pPr>
              <w:ind w:left="400"/>
              <w:spacing w:after="0"/>
              <w:rPr>
                <w:sz w:val="20"/>
                <w:szCs w:val="20"/>
                <w:color w:val="auto"/>
              </w:rPr>
            </w:pPr>
            <w:r>
              <w:rPr>
                <w:rFonts w:ascii="Courier New" w:cs="Courier New" w:eastAsia="Courier New" w:hAnsi="Courier New"/>
                <w:sz w:val="16"/>
                <w:szCs w:val="16"/>
                <w:color w:val="auto"/>
              </w:rPr>
              <w:t>Director (3), (5)</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3"/>
        </w:trPr>
        <w:tc>
          <w:tcPr>
            <w:tcW w:w="314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Joseph Pennacchio...........</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w:t>
            </w:r>
          </w:p>
        </w:tc>
        <w:tc>
          <w:tcPr>
            <w:tcW w:w="5200" w:type="dxa"/>
            <w:vAlign w:val="bottom"/>
          </w:tcPr>
          <w:p>
            <w:pPr>
              <w:ind w:left="400"/>
              <w:spacing w:after="0"/>
              <w:rPr>
                <w:sz w:val="20"/>
                <w:szCs w:val="20"/>
                <w:color w:val="auto"/>
              </w:rPr>
            </w:pPr>
            <w:r>
              <w:rPr>
                <w:rFonts w:ascii="Courier New" w:cs="Courier New" w:eastAsia="Courier New" w:hAnsi="Courier New"/>
                <w:sz w:val="16"/>
                <w:szCs w:val="16"/>
                <w:color w:val="auto"/>
              </w:rPr>
              <w:t>Director (3), (4), (5)</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66"/>
        </w:trPr>
        <w:tc>
          <w:tcPr>
            <w:tcW w:w="314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George T. Porter, Jr........</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w:t>
            </w:r>
          </w:p>
        </w:tc>
        <w:tc>
          <w:tcPr>
            <w:tcW w:w="5200" w:type="dxa"/>
            <w:vAlign w:val="bottom"/>
          </w:tcPr>
          <w:p>
            <w:pPr>
              <w:ind w:left="400"/>
              <w:spacing w:after="0"/>
              <w:rPr>
                <w:sz w:val="20"/>
                <w:szCs w:val="20"/>
                <w:color w:val="auto"/>
              </w:rPr>
            </w:pPr>
            <w:r>
              <w:rPr>
                <w:rFonts w:ascii="Courier New" w:cs="Courier New" w:eastAsia="Courier New" w:hAnsi="Courier New"/>
                <w:sz w:val="16"/>
                <w:szCs w:val="16"/>
                <w:color w:val="auto"/>
              </w:rPr>
              <w:t>Director</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482" w:right="3040" w:hanging="482"/>
        <w:spacing w:after="0" w:line="280" w:lineRule="auto"/>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 Patron, a director of the Company since October 1999, resigned his position effective March 11, 2002. Stanley I. Berger, a director of the Company since its inception, except for the period between October 8, 1999 and April 11, 2000, resigned his position effective June 10, 2002.</w:t>
      </w:r>
    </w:p>
    <w:p>
      <w:pPr>
        <w:spacing w:after="0" w:line="71"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Duff was appointed a director of the Company on May 14, 2002.</w:t>
      </w:r>
    </w:p>
    <w:p>
      <w:pPr>
        <w:spacing w:after="0" w:line="185"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member of the Audit Committee.</w:t>
      </w:r>
    </w:p>
    <w:p>
      <w:pPr>
        <w:spacing w:after="0" w:line="185"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member of the Compensation Committee.</w:t>
      </w:r>
    </w:p>
    <w:p>
      <w:pPr>
        <w:spacing w:after="0" w:line="185"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member of the Corporate Governance Committee.</w:t>
      </w:r>
    </w:p>
    <w:p>
      <w:pPr>
        <w:spacing w:after="0" w:line="200" w:lineRule="exact"/>
        <w:rPr>
          <w:sz w:val="20"/>
          <w:szCs w:val="20"/>
          <w:color w:val="auto"/>
        </w:rPr>
      </w:pPr>
    </w:p>
    <w:p>
      <w:pPr>
        <w:spacing w:after="0" w:line="35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582"/>
          </w:cols>
          <w:pgMar w:left="238" w:top="1006" w:right="107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Directors and Executive Officers</w:t>
      </w:r>
    </w:p>
    <w:p>
      <w:pPr>
        <w:spacing w:after="0" w:line="186" w:lineRule="exact"/>
        <w:rPr>
          <w:sz w:val="20"/>
          <w:szCs w:val="20"/>
          <w:color w:val="auto"/>
        </w:rPr>
      </w:pPr>
    </w:p>
    <w:p>
      <w:pPr>
        <w:jc w:val="both"/>
        <w:ind w:right="2779"/>
        <w:spacing w:after="0" w:line="250" w:lineRule="auto"/>
        <w:rPr>
          <w:sz w:val="20"/>
          <w:szCs w:val="20"/>
          <w:color w:val="auto"/>
        </w:rPr>
      </w:pPr>
      <w:r>
        <w:rPr>
          <w:rFonts w:ascii="Courier New" w:cs="Courier New" w:eastAsia="Courier New" w:hAnsi="Courier New"/>
          <w:sz w:val="16"/>
          <w:szCs w:val="16"/>
          <w:color w:val="auto"/>
        </w:rPr>
        <w:t>Seymour Holtzman was appointed a director of the Company on April 7, 2000 and Chairman of the Board on April 11, 2000. On May 25, 2001, the Board of Directors of the Company hired Mr. Holtzman as an executive officer of the Company. Mr. Holtzman is Chairman and Chief Executive Officer of: Jewelcor Management, Inc.; C.D. Peacock, Inc., a prominent Chicago, Illinois retail jewelry establishment; and S.A. Peck &amp; Company, a retail and mail order jewelry company. In addition, Mr. Holtzman served as President and Chief Executive Officer of Jewelcor Incorporated (a formerly New York Stock Exchange listed company) from 1973 to 1988. From 1986 to 1988, Mr. Holtzman was Chairman and Chief Executive Officer of Gruen Marketing Corporation (a formerly American Stock Exchange listed company), which distributed watches nationwide and operated retail factory outlets. Mr. Holtzman is currently on the Board of Directors of Little Switzerland, Inc. and Northeast Pennsylvania Financial Corp., the holding company for First Federal Bank, and also is Chairman of the Board of Directors of musicmaker.com, Inc.</w:t>
      </w:r>
    </w:p>
    <w:p>
      <w:pPr>
        <w:spacing w:after="0" w:line="102" w:lineRule="exact"/>
        <w:rPr>
          <w:sz w:val="20"/>
          <w:szCs w:val="20"/>
          <w:color w:val="auto"/>
        </w:rPr>
      </w:pPr>
    </w:p>
    <w:p>
      <w:pPr>
        <w:jc w:val="both"/>
        <w:ind w:right="2779"/>
        <w:spacing w:after="0" w:line="256" w:lineRule="auto"/>
        <w:rPr>
          <w:sz w:val="20"/>
          <w:szCs w:val="20"/>
          <w:color w:val="auto"/>
        </w:rPr>
      </w:pPr>
      <w:r>
        <w:rPr>
          <w:rFonts w:ascii="Courier New" w:cs="Courier New" w:eastAsia="Courier New" w:hAnsi="Courier New"/>
          <w:sz w:val="16"/>
          <w:szCs w:val="16"/>
          <w:color w:val="auto"/>
        </w:rPr>
        <w:t>David A. Levin was appointed President and Chief Executive Officer of the Company on April 10, 2000 and a director of the Company on April 11, 2000. From 1999 to 2000, he served as the Executive Vice President of eOutlet.com. Mr. Levin was President of Camp Coleman, a division of The Coleman Company, from 1998 to 1999. Prior to that, Mr. Levin was President of Parade of Shoes, a division of J. Baker, Inc., from 1995 to 1997. In addition, Mr. Levin was President of Prestige Fragrance &amp; Cosmetics, a division of Revlon, Inc., from 1991 to 1995. Mr. Levin has worked in the retail industry for almost 30 years.</w:t>
      </w:r>
    </w:p>
    <w:p>
      <w:pPr>
        <w:spacing w:after="0" w:line="94" w:lineRule="exact"/>
        <w:rPr>
          <w:sz w:val="20"/>
          <w:szCs w:val="20"/>
          <w:color w:val="auto"/>
        </w:rPr>
      </w:pPr>
    </w:p>
    <w:p>
      <w:pPr>
        <w:jc w:val="both"/>
        <w:ind w:right="2779"/>
        <w:spacing w:after="0" w:line="265" w:lineRule="auto"/>
        <w:rPr>
          <w:sz w:val="20"/>
          <w:szCs w:val="20"/>
          <w:color w:val="auto"/>
        </w:rPr>
      </w:pPr>
      <w:r>
        <w:rPr>
          <w:rFonts w:ascii="Courier New" w:cs="Courier New" w:eastAsia="Courier New" w:hAnsi="Courier New"/>
          <w:sz w:val="16"/>
          <w:szCs w:val="16"/>
          <w:color w:val="auto"/>
        </w:rPr>
        <w:t>Jesse Choper was elected a director of the Company on October 8, 1999. Mr. Choper is the Earl Warren Professor of Public Law at the University of California at Berkeley School of Law, where he has taught since 1965. From 1960 to 1961 Professor Choper was a law clerk for Supreme Court Chief Justice Earl Warren. Mr. Choper is also on the Board of Directors of musicmaker.com, Inc.</w:t>
      </w:r>
    </w:p>
    <w:p>
      <w:pPr>
        <w:spacing w:after="0" w:line="83" w:lineRule="exact"/>
        <w:rPr>
          <w:sz w:val="20"/>
          <w:szCs w:val="20"/>
          <w:color w:val="auto"/>
        </w:rPr>
      </w:pPr>
    </w:p>
    <w:p>
      <w:pPr>
        <w:jc w:val="both"/>
        <w:ind w:right="2779"/>
        <w:spacing w:after="0" w:line="265" w:lineRule="auto"/>
        <w:rPr>
          <w:sz w:val="20"/>
          <w:szCs w:val="20"/>
          <w:color w:val="auto"/>
        </w:rPr>
      </w:pPr>
      <w:r>
        <w:rPr>
          <w:rFonts w:ascii="Courier New" w:cs="Courier New" w:eastAsia="Courier New" w:hAnsi="Courier New"/>
          <w:sz w:val="16"/>
          <w:szCs w:val="16"/>
          <w:color w:val="auto"/>
        </w:rPr>
        <w:t>Alan Cohen was appointed as a director of the Company on May 2, 2000. Mr. Cohen has been Chairman of Alco Capital Group, which specializes in corporate restructuring, reorganizations, and other turnaround situations, since 1975. Currently he serves as the court appointed trustee of County Seat Stores, Inc., a nation-wide chain of specialty apparel stores. Mr. Cohen is also on the Board of Directors of Ames Department Stores, Inc.</w:t>
      </w:r>
    </w:p>
    <w:p>
      <w:pPr>
        <w:spacing w:after="0" w:line="83" w:lineRule="exact"/>
        <w:rPr>
          <w:sz w:val="20"/>
          <w:szCs w:val="20"/>
          <w:color w:val="auto"/>
        </w:rPr>
      </w:pPr>
    </w:p>
    <w:p>
      <w:pPr>
        <w:jc w:val="both"/>
        <w:ind w:right="2779"/>
        <w:spacing w:after="0" w:line="261" w:lineRule="auto"/>
        <w:rPr>
          <w:sz w:val="20"/>
          <w:szCs w:val="20"/>
          <w:color w:val="auto"/>
        </w:rPr>
      </w:pPr>
      <w:r>
        <w:rPr>
          <w:rFonts w:ascii="Courier New" w:cs="Courier New" w:eastAsia="Courier New" w:hAnsi="Courier New"/>
          <w:sz w:val="16"/>
          <w:szCs w:val="16"/>
          <w:color w:val="auto"/>
        </w:rPr>
        <w:t>Stephen M. Duff was appointed as a director of the Company on May 14, 2002. Mr. Duff has been a Senior Investment Manager at The Clark Estates, Inc. since 1995. From 1990 to 1995, Mr. Duff was a Vice President and Portfolio Manager at the Portfolio Group, an asset management subsidiary of The Chemical Banking Corporation. Mr. Duff is also on the Board of Directors of Easylink Services Corporation and The Clara Welch Thanksgiving Home, a not-for-profit elderly care facility in Cooperstown, New York.</w:t>
      </w:r>
    </w:p>
    <w:p>
      <w:pPr>
        <w:spacing w:after="0" w:line="87" w:lineRule="exact"/>
        <w:rPr>
          <w:sz w:val="20"/>
          <w:szCs w:val="20"/>
          <w:color w:val="auto"/>
        </w:rPr>
      </w:pPr>
    </w:p>
    <w:p>
      <w:pPr>
        <w:jc w:val="both"/>
        <w:ind w:right="2779"/>
        <w:spacing w:after="0" w:line="271" w:lineRule="auto"/>
        <w:rPr>
          <w:sz w:val="20"/>
          <w:szCs w:val="20"/>
          <w:color w:val="auto"/>
        </w:rPr>
      </w:pPr>
      <w:r>
        <w:rPr>
          <w:rFonts w:ascii="Courier New" w:cs="Courier New" w:eastAsia="Courier New" w:hAnsi="Courier New"/>
          <w:sz w:val="16"/>
          <w:szCs w:val="16"/>
          <w:color w:val="auto"/>
        </w:rPr>
        <w:t>Jeremiah P. Murphy, Jr. was elected a director of the Company on October 8, 1999. Mr. Murphy has been the President of the Harvard Cooperative Society, a 120-year-old member based retail business, since 1992. From 1987 to 1992, Mr. Murphy was Vice-President/General Manager of Neiman Marcus' largest and most profitable store, North Park in Dallas, Texas.</w:t>
      </w:r>
    </w:p>
    <w:p>
      <w:pPr>
        <w:spacing w:after="0" w:line="77"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Joseph Pennacchio was elected a director of the Company on October 8, 1999. Mr. Pennacchio has been Chief Executive Officer of Aurafin LLC, a privately held jewelry manufacturer and wholesaler, since 1997. From May 1994 to May 1996, Mr. Pennacchio was President of Jan Bell Marketing, a $250 million jewelry retailer, which is listed on the American Stock Exchange. Mr. Pennacchio was also President of Jordan Marsh Department Stores from 1992 to 1994.</w:t>
      </w:r>
    </w:p>
    <w:p>
      <w:pPr>
        <w:spacing w:after="0" w:line="83" w:lineRule="exact"/>
        <w:rPr>
          <w:sz w:val="20"/>
          <w:szCs w:val="20"/>
          <w:color w:val="auto"/>
        </w:rPr>
      </w:pPr>
    </w:p>
    <w:p>
      <w:pPr>
        <w:jc w:val="both"/>
        <w:ind w:right="2779"/>
        <w:spacing w:after="0" w:line="266" w:lineRule="auto"/>
        <w:rPr>
          <w:sz w:val="20"/>
          <w:szCs w:val="20"/>
          <w:color w:val="auto"/>
        </w:rPr>
      </w:pPr>
      <w:r>
        <w:rPr>
          <w:rFonts w:ascii="Courier New" w:cs="Courier New" w:eastAsia="Courier New" w:hAnsi="Courier New"/>
          <w:sz w:val="16"/>
          <w:szCs w:val="16"/>
          <w:color w:val="auto"/>
        </w:rPr>
        <w:t>George T. Porter, Jr. was appointed a director of the Company on October 28, 1999. Mr. Porter was President of Levi's USA for Levi Strauss &amp; Co. from 1994 to 1997. Beginning in 1974, Mr. Porter held various positions at Levi Strauss &amp; Co., including President of Levi's Men's Jeans Division. Mr. Porter was also Corporate Vice President, General Manager, Nike USA from 1997 to 1998.</w:t>
      </w:r>
    </w:p>
    <w:p>
      <w:pPr>
        <w:spacing w:after="0" w:line="279" w:lineRule="exact"/>
        <w:rPr>
          <w:sz w:val="20"/>
          <w:szCs w:val="20"/>
          <w:color w:val="auto"/>
        </w:rPr>
      </w:pPr>
    </w:p>
    <w:p>
      <w:pPr>
        <w:ind w:right="3059"/>
        <w:spacing w:after="0" w:line="395" w:lineRule="auto"/>
        <w:rPr>
          <w:sz w:val="20"/>
          <w:szCs w:val="20"/>
          <w:color w:val="auto"/>
        </w:rPr>
      </w:pPr>
      <w:r>
        <w:rPr>
          <w:rFonts w:ascii="Courier New" w:cs="Courier New" w:eastAsia="Courier New" w:hAnsi="Courier New"/>
          <w:sz w:val="15"/>
          <w:szCs w:val="15"/>
          <w:color w:val="auto"/>
        </w:rPr>
        <w:t>All directors hold office until the next Annual Meeting of Stockholders and until their respective successors have been duly elected and qualified.</w:t>
      </w:r>
    </w:p>
    <w:p>
      <w:pPr>
        <w:spacing w:after="0" w:line="35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3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Executive Officers</w:t>
      </w:r>
    </w:p>
    <w:p>
      <w:pPr>
        <w:spacing w:after="0" w:line="186"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6"/>
          <w:szCs w:val="16"/>
          <w:color w:val="auto"/>
        </w:rPr>
        <w:t>Dennis R. Hernreich, 45, has been Senior Vice President, Chief Financial Officer and Treasurer since September 5, 2000. Prior to joining the Company, from 1996 through 1999, Mr. Hernreich held the position of Senior Vice President and Chief Financial Officer of Loehmann's Inc., a national retailer of women's apparel. Most recently, from 1999 to August 2000, Mr. Hernreich was Senior Vice President and Chief Financial Officer of Pennsylvania Fashions, Inc., a 275-store retail outlet chain operating under the name Rue 21.</w:t>
      </w:r>
    </w:p>
    <w:p>
      <w:pPr>
        <w:spacing w:after="0" w:line="87" w:lineRule="exact"/>
        <w:rPr>
          <w:sz w:val="20"/>
          <w:szCs w:val="20"/>
          <w:color w:val="auto"/>
        </w:rPr>
      </w:pPr>
    </w:p>
    <w:p>
      <w:pPr>
        <w:ind w:right="2599"/>
        <w:spacing w:after="0" w:line="254" w:lineRule="auto"/>
        <w:rPr>
          <w:sz w:val="20"/>
          <w:szCs w:val="20"/>
          <w:color w:val="auto"/>
        </w:rPr>
      </w:pPr>
      <w:r>
        <w:rPr>
          <w:rFonts w:ascii="Courier New" w:cs="Courier New" w:eastAsia="Courier New" w:hAnsi="Courier New"/>
          <w:sz w:val="16"/>
          <w:szCs w:val="16"/>
          <w:color w:val="auto"/>
        </w:rPr>
        <w:t>Ronald N. Batts, 52, has been President of the Levi's(R) and Dockers(R) Outlet stores since May 21, 2002 and previously was Senior Vice President of Operations since he joined the Company on October 22, 2001. Mr. Batts previously worked as Senior Vice President of Retail for the Haggar Clothing Company where he established and directed Haggar Direct, Inc., a consumer direct start-up company. Prior to Haggar, Mr. Batts was Chief Operating Officer for Mothercare stores, a 238 store national maternity and childrenswear specialty chain. In addition, he has served as Chief Executive Officer of CSVA, Inc., a venture capital funded retail acquisition company, as President of Eckerd Apparel, a division of Jack Eckerd Corporation, and as President of two divisions of Mercantile Stores.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serve at the discretion of the Board of Directors.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and Committee Meetings</w:t>
      </w:r>
    </w:p>
    <w:p>
      <w:pPr>
        <w:spacing w:after="0" w:line="186" w:lineRule="exact"/>
        <w:rPr>
          <w:sz w:val="20"/>
          <w:szCs w:val="20"/>
          <w:color w:val="auto"/>
        </w:rPr>
      </w:pPr>
    </w:p>
    <w:p>
      <w:pPr>
        <w:ind w:right="2599"/>
        <w:spacing w:after="0" w:line="255" w:lineRule="auto"/>
        <w:rPr>
          <w:sz w:val="20"/>
          <w:szCs w:val="20"/>
          <w:color w:val="auto"/>
        </w:rPr>
      </w:pPr>
      <w:r>
        <w:rPr>
          <w:rFonts w:ascii="Courier New" w:cs="Courier New" w:eastAsia="Courier New" w:hAnsi="Courier New"/>
          <w:sz w:val="16"/>
          <w:szCs w:val="16"/>
          <w:color w:val="auto"/>
        </w:rPr>
        <w:t>The Board of Directors met five times during the Company's fiscal year ended February 2, 2002 ("fiscal 2002"). Messrs. Holtzman, Choper, Levin, Murphy, Pennacchio and Porter each attended at least 75 percent of the meetings of Board. Stanley I. Berger and Robert Patron, both of whom have resigned from the Board, also attended at least 75 percent of the meetings of the Board during the time they served as directors. Due to Mr. Cohen's involvement as an advisor to Casual Male Corp., with which the Company was seeking to pursue an acquisition transaction, Mr. Cohen excused himself from all but one of the Company's Board of Directors meetings held during fiscal 2002. Mr. Duff was appointed a director of the Company subsequent to February 2, 2002.</w:t>
      </w:r>
    </w:p>
    <w:p>
      <w:pPr>
        <w:spacing w:after="0" w:line="92" w:lineRule="exact"/>
        <w:rPr>
          <w:sz w:val="20"/>
          <w:szCs w:val="20"/>
          <w:color w:val="auto"/>
        </w:rPr>
      </w:pPr>
    </w:p>
    <w:p>
      <w:pPr>
        <w:ind w:right="2779"/>
        <w:spacing w:after="0" w:line="299" w:lineRule="auto"/>
        <w:rPr>
          <w:sz w:val="20"/>
          <w:szCs w:val="20"/>
          <w:color w:val="auto"/>
        </w:rPr>
      </w:pPr>
      <w:r>
        <w:rPr>
          <w:rFonts w:ascii="Courier New" w:cs="Courier New" w:eastAsia="Courier New" w:hAnsi="Courier New"/>
          <w:sz w:val="16"/>
          <w:szCs w:val="16"/>
          <w:color w:val="auto"/>
        </w:rPr>
        <w:t>The Board of Directors has three standing committees: the Audit Committee, the Compensation Committee and the Corporate Governance Committee, which are all made up of independent non-employee directors.</w:t>
      </w:r>
    </w:p>
    <w:p>
      <w:pPr>
        <w:spacing w:after="0" w:line="56" w:lineRule="exact"/>
        <w:rPr>
          <w:sz w:val="20"/>
          <w:szCs w:val="20"/>
          <w:color w:val="auto"/>
        </w:rPr>
      </w:pPr>
    </w:p>
    <w:p>
      <w:pPr>
        <w:ind w:right="2679"/>
        <w:spacing w:after="0" w:line="258" w:lineRule="auto"/>
        <w:rPr>
          <w:sz w:val="20"/>
          <w:szCs w:val="20"/>
          <w:color w:val="auto"/>
        </w:rPr>
      </w:pPr>
      <w:r>
        <w:rPr>
          <w:rFonts w:ascii="Courier New" w:cs="Courier New" w:eastAsia="Courier New" w:hAnsi="Courier New"/>
          <w:sz w:val="16"/>
          <w:szCs w:val="16"/>
          <w:color w:val="auto"/>
        </w:rPr>
        <w:t>The Audit Committee assists the Board of Directors in fulfilling its oversight responsibilities relating to the quality and integrity of the accounting, auditing and reporting practices of the Company. The committee meets at a minimum quarterly with management and the Company's independent auditors to review matters relating to the Company's financial reporting, the adequacy of internal accounting controls and the scope and results of audit work. The Audit Committee met five times during fiscal 2002. The present members of the committee are Messrs. Choper, Murphy and Pennacchio.</w:t>
      </w:r>
    </w:p>
    <w:p>
      <w:pPr>
        <w:spacing w:after="0" w:line="92" w:lineRule="exact"/>
        <w:rPr>
          <w:sz w:val="20"/>
          <w:szCs w:val="20"/>
          <w:color w:val="auto"/>
        </w:rPr>
      </w:pPr>
    </w:p>
    <w:p>
      <w:pPr>
        <w:ind w:right="2679"/>
        <w:spacing w:after="0" w:line="265" w:lineRule="auto"/>
        <w:rPr>
          <w:sz w:val="20"/>
          <w:szCs w:val="20"/>
          <w:color w:val="auto"/>
        </w:rPr>
      </w:pPr>
      <w:r>
        <w:rPr>
          <w:rFonts w:ascii="Courier New" w:cs="Courier New" w:eastAsia="Courier New" w:hAnsi="Courier New"/>
          <w:sz w:val="16"/>
          <w:szCs w:val="16"/>
          <w:color w:val="auto"/>
        </w:rPr>
        <w:t>The Compensation Committee meets periodically to review executive and employee compensation and benefits (including stock-based compensation awards under the Company's 1992 Stock Incentive Plan), supervises benefit plans and makes recommendations regarding them to the Board of Directors. The Compensation Committee met once during fiscal 2002. The present members of the committee are Messrs. Pennacchio and Choper.</w:t>
      </w:r>
    </w:p>
    <w:p>
      <w:pPr>
        <w:spacing w:after="0" w:line="83"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6"/>
          <w:szCs w:val="16"/>
          <w:color w:val="auto"/>
        </w:rPr>
        <w:t>The Corporate Governance Committee is responsible for performing functions related to governance of the Company, including, but not limited to, planning for the succession and promotion of executive officers of the Company, nominating individuals for election to the Board of Directors and establishing, coordinating and maintaining the Company's corporate compliance programs. The Corporate Governance Committee did not meet during fiscal 2002. The present members of the committee are Messrs. Pennacchio and Murphy.</w:t>
      </w:r>
    </w:p>
    <w:p>
      <w:pPr>
        <w:spacing w:after="0" w:line="87" w:lineRule="exact"/>
        <w:rPr>
          <w:sz w:val="20"/>
          <w:szCs w:val="20"/>
          <w:color w:val="auto"/>
        </w:rPr>
      </w:pPr>
    </w:p>
    <w:p>
      <w:pPr>
        <w:ind w:right="2879"/>
        <w:spacing w:after="0" w:line="355" w:lineRule="auto"/>
        <w:rPr>
          <w:sz w:val="20"/>
          <w:szCs w:val="20"/>
          <w:color w:val="auto"/>
        </w:rPr>
      </w:pPr>
      <w:r>
        <w:rPr>
          <w:rFonts w:ascii="Courier New" w:cs="Courier New" w:eastAsia="Courier New" w:hAnsi="Courier New"/>
          <w:sz w:val="16"/>
          <w:szCs w:val="16"/>
          <w:color w:val="auto"/>
        </w:rPr>
        <w:t>All members attended at least 75 percent of the meetings of the committees on which they served during fiscal 2002.</w:t>
      </w:r>
    </w:p>
    <w:p>
      <w:pPr>
        <w:spacing w:after="0" w:line="14"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The Corporate Governance Committee is responsible for reviewing the nomination of individuals for election to the Board of Directors by stockholders of the Company. Any stockholder wishing to nominate an individual for election to the Board of Directors must send a letter to the Secretary of the Company stating the name and qualifications of the proposed nominee. The letter must be received by the Company within the time limits set by, and must in all</w:t>
      </w:r>
    </w:p>
    <w:p>
      <w:pPr>
        <w:spacing w:after="0" w:line="200" w:lineRule="exact"/>
        <w:rPr>
          <w:sz w:val="20"/>
          <w:szCs w:val="20"/>
          <w:color w:val="auto"/>
        </w:rPr>
      </w:pPr>
    </w:p>
    <w:p>
      <w:pPr>
        <w:spacing w:after="0" w:line="25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39" w:right="1440" w:bottom="1440" w:gutter="0" w:footer="0" w:header="0"/>
        </w:sectPr>
      </w:pPr>
    </w:p>
    <w:bookmarkStart w:id="6" w:name="page7"/>
    <w:bookmarkEnd w:id="6"/>
    <w:p>
      <w:pPr>
        <w:ind w:right="2679"/>
        <w:spacing w:after="0" w:line="261" w:lineRule="auto"/>
        <w:rPr>
          <w:sz w:val="20"/>
          <w:szCs w:val="20"/>
          <w:color w:val="auto"/>
        </w:rPr>
      </w:pPr>
      <w:r>
        <w:rPr>
          <w:rFonts w:ascii="Courier New" w:cs="Courier New" w:eastAsia="Courier New" w:hAnsi="Courier New"/>
          <w:sz w:val="16"/>
          <w:szCs w:val="16"/>
          <w:color w:val="auto"/>
        </w:rPr>
        <w:t>other respects comply with, such Section 4.16 of the Company's By-Laws in order for the proposed nominee to be considered for election to the Board of Directors. Any stockholder who has complied with the timing, informational and other requirements set forth in Section 4.16 and who seeks to make such a nomination, or such stockholder's representative, must be present in person at the Annual Meeting of Stockholders of the Company at which such nominee's election is to be considered.</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Committee</w:t>
      </w:r>
    </w:p>
    <w:p>
      <w:pPr>
        <w:spacing w:after="0" w:line="186"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6"/>
          <w:szCs w:val="16"/>
          <w:color w:val="auto"/>
        </w:rPr>
        <w:t>On December 14, 1999, the Securities and Exchange Commission (the "Commission") adopted new rules designed to improve disclosure relating to the functioning of audit committees and to enhance the reliability and creditability of financial statements of public companies. In accordance with these rules, the Audit Committee, comprised of Mr. Jesse Choper, Chairman, Mr. Joseph Pennacchio and Mr. Jeremiah P. Murphy, Jr. approved on May 12, 2000 a written charter for the committee. The Company is required to attach a copy of the charter every three years, effective for all proxy statements relating to meetings of stockholders held after December 15, 2000. A copy of the Charter of the Audit Committee was included as Exhibit A to the Proxy Statement for the 2001 Annual Meeting of Stockholders. Information regarding the functions performed by the Audit Committee, its membership, and the number of meetings held during the fiscal year, is set forth in the "Report of the Audit Committee," included in this Proxy Statement.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6"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Persons serving on the Compensation Committee had no relationships with the Company in fiscal 2002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6" w:lineRule="exact"/>
        <w:rPr>
          <w:sz w:val="20"/>
          <w:szCs w:val="20"/>
          <w:color w:val="auto"/>
        </w:rPr>
      </w:pPr>
    </w:p>
    <w:p>
      <w:pPr>
        <w:ind w:right="2679"/>
        <w:spacing w:after="0" w:line="254" w:lineRule="auto"/>
        <w:rPr>
          <w:sz w:val="20"/>
          <w:szCs w:val="20"/>
          <w:color w:val="auto"/>
        </w:rPr>
      </w:pPr>
      <w:r>
        <w:rPr>
          <w:rFonts w:ascii="Courier New" w:cs="Courier New" w:eastAsia="Courier New" w:hAnsi="Courier New"/>
          <w:sz w:val="16"/>
          <w:szCs w:val="16"/>
          <w:color w:val="auto"/>
        </w:rPr>
        <w:t>Section 16(a) of the Securities Exchange Act of 1934, as amended (the "Exchange Act"), requires the Company's executive officers and directors, and persons who own more than 10% of a registered class of the Company's equity securities (collectively, the "Reporting Persons"), to file reports of ownership and changes in ownership with the Commission. The Reporting Persons are required to furnish the Company with copies of all Section 16(a) reports they file. Based solely upon a review of Forms 3 and 4 and amendments thereto furnished to the Company during fiscal 2002 and Forms 5 and amendments thereto furnished to the Company with respect to fiscal 2002, the Company believes that the current Reporting Persons complied with all applicable Section 16(a) reporting requirements and all required reports were filed in a timely manner.</w:t>
      </w:r>
    </w:p>
    <w:p>
      <w:pPr>
        <w:spacing w:after="0" w:line="200" w:lineRule="exact"/>
        <w:rPr>
          <w:sz w:val="20"/>
          <w:szCs w:val="20"/>
          <w:color w:val="auto"/>
        </w:rPr>
      </w:pPr>
    </w:p>
    <w:p>
      <w:pPr>
        <w:spacing w:after="0" w:line="25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39" w:right="1440" w:bottom="1440" w:gutter="0" w:footer="0" w:header="0"/>
        </w:sectPr>
      </w:pPr>
    </w:p>
    <w:bookmarkStart w:id="7" w:name="page8"/>
    <w:bookmarkEnd w:id="7"/>
    <w:p>
      <w:pPr>
        <w:ind w:left="2"/>
        <w:spacing w:after="0"/>
        <w:rPr>
          <w:sz w:val="20"/>
          <w:szCs w:val="20"/>
          <w:color w:val="auto"/>
        </w:rPr>
      </w:pPr>
      <w:r>
        <w:rPr>
          <w:rFonts w:ascii="Courier New" w:cs="Courier New" w:eastAsia="Courier New" w:hAnsi="Courier New"/>
          <w:sz w:val="16"/>
          <w:szCs w:val="16"/>
          <w:color w:val="auto"/>
        </w:rPr>
        <w:t>Executive Compensation</w:t>
      </w:r>
    </w:p>
    <w:p>
      <w:pPr>
        <w:spacing w:after="0" w:line="186" w:lineRule="exact"/>
        <w:rPr>
          <w:sz w:val="20"/>
          <w:szCs w:val="20"/>
          <w:color w:val="auto"/>
        </w:rPr>
      </w:pPr>
    </w:p>
    <w:p>
      <w:pPr>
        <w:ind w:left="2"/>
        <w:spacing w:after="0" w:line="254" w:lineRule="auto"/>
        <w:rPr>
          <w:sz w:val="20"/>
          <w:szCs w:val="20"/>
          <w:color w:val="auto"/>
        </w:rPr>
      </w:pPr>
      <w:r>
        <w:rPr>
          <w:rFonts w:ascii="Courier New" w:cs="Courier New" w:eastAsia="Courier New" w:hAnsi="Courier New"/>
          <w:sz w:val="16"/>
          <w:szCs w:val="16"/>
          <w:color w:val="auto"/>
        </w:rPr>
        <w:t>Summary Compensation Table. The following Summary Compensation Table sets forth certain information regarding compensation paid or accrued by the Company with respect to the Chief Executive Officer, the Chief Financial Officer and the President of Levi's(R) and Dockers(R) Outlet stores of the Company as of the end of fiscal 2002 and as of February 3, 2001 ("fiscal 2001"). The table also includes compensation for two former executives of the Company, John J. Schultz, former Interim President and Chief Executive Officer from October 1999 through April 2000, and Dan O. Paulus, former Senior Vice President and General Merchandise Manager, who resigned November 14, 2000 (collectively with Messrs. Levin, Hernreich and Batts, the "Named Executive Officers"), for fiscal 2001 and the fiscal year ended January 29, 2000 ("fiscal 2000").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 w:type="dxa"/>
        <w:tblCellMar>
          <w:top w:w="0" w:type="dxa"/>
          <w:left w:w="0" w:type="dxa"/>
          <w:bottom w:w="0" w:type="dxa"/>
          <w:right w:w="0" w:type="dxa"/>
        </w:tblCellMar>
      </w:tblPr>
      <w:tr>
        <w:trPr>
          <w:trHeight w:val="266"/>
        </w:trPr>
        <w:tc>
          <w:tcPr>
            <w:tcW w:w="5380" w:type="dxa"/>
            <w:vAlign w:val="bottom"/>
            <w:gridSpan w:val="2"/>
          </w:tcPr>
          <w:p>
            <w:pPr>
              <w:ind w:left="2580"/>
              <w:spacing w:after="0"/>
              <w:rPr>
                <w:sz w:val="20"/>
                <w:szCs w:val="20"/>
                <w:color w:val="auto"/>
              </w:rPr>
            </w:pPr>
            <w:r>
              <w:rPr>
                <w:rFonts w:ascii="Courier New" w:cs="Courier New" w:eastAsia="Courier New" w:hAnsi="Courier New"/>
                <w:sz w:val="16"/>
                <w:szCs w:val="16"/>
                <w:color w:val="auto"/>
              </w:rPr>
              <w:t>Summary Compensation Table</w:t>
            </w:r>
          </w:p>
        </w:tc>
        <w:tc>
          <w:tcPr>
            <w:tcW w:w="1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4240" w:type="dxa"/>
            <w:vAlign w:val="bottom"/>
          </w:tcPr>
          <w:p>
            <w:pPr>
              <w:ind w:left="1800"/>
              <w:spacing w:after="0"/>
              <w:rPr>
                <w:sz w:val="20"/>
                <w:szCs w:val="20"/>
                <w:color w:val="auto"/>
              </w:rPr>
            </w:pPr>
            <w:r>
              <w:rPr>
                <w:rFonts w:ascii="Courier New" w:cs="Courier New" w:eastAsia="Courier New" w:hAnsi="Courier New"/>
                <w:sz w:val="16"/>
                <w:szCs w:val="16"/>
                <w:color w:val="auto"/>
              </w:rPr>
              <w:t>Name and</w:t>
            </w:r>
          </w:p>
        </w:tc>
        <w:tc>
          <w:tcPr>
            <w:tcW w:w="1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Annual</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40" w:type="dxa"/>
            <w:vAlign w:val="bottom"/>
            <w:vMerge w:val="restart"/>
          </w:tcPr>
          <w:p>
            <w:pPr>
              <w:ind w:left="1340"/>
              <w:spacing w:after="0"/>
              <w:rPr>
                <w:sz w:val="20"/>
                <w:szCs w:val="20"/>
                <w:color w:val="auto"/>
              </w:rPr>
            </w:pPr>
            <w:r>
              <w:rPr>
                <w:rFonts w:ascii="Courier New" w:cs="Courier New" w:eastAsia="Courier New" w:hAnsi="Courier New"/>
                <w:sz w:val="16"/>
                <w:szCs w:val="16"/>
                <w:color w:val="auto"/>
              </w:rPr>
              <w:t>Principal Position</w:t>
            </w:r>
          </w:p>
        </w:tc>
        <w:tc>
          <w:tcPr>
            <w:tcW w:w="1140" w:type="dxa"/>
            <w:vAlign w:val="bottom"/>
            <w:vMerge w:val="restart"/>
          </w:tcPr>
          <w:p>
            <w:pPr>
              <w:ind w:left="340"/>
              <w:spacing w:after="0"/>
              <w:rPr>
                <w:sz w:val="20"/>
                <w:szCs w:val="20"/>
                <w:color w:val="auto"/>
              </w:rPr>
            </w:pPr>
            <w:r>
              <w:rPr>
                <w:rFonts w:ascii="Courier New" w:cs="Courier New" w:eastAsia="Courier New" w:hAnsi="Courier New"/>
                <w:sz w:val="16"/>
                <w:szCs w:val="16"/>
                <w:color w:val="auto"/>
              </w:rPr>
              <w:t>Fiscal</w:t>
            </w:r>
          </w:p>
        </w:tc>
        <w:tc>
          <w:tcPr>
            <w:tcW w:w="224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Compensation</w:t>
            </w:r>
          </w:p>
        </w:tc>
        <w:tc>
          <w:tcPr>
            <w:tcW w:w="0" w:type="dxa"/>
            <w:vAlign w:val="bottom"/>
          </w:tcPr>
          <w:p>
            <w:pPr>
              <w:spacing w:after="0"/>
              <w:rPr>
                <w:sz w:val="1"/>
                <w:szCs w:val="1"/>
                <w:color w:val="auto"/>
              </w:rPr>
            </w:pPr>
          </w:p>
        </w:tc>
      </w:tr>
      <w:tr>
        <w:trPr>
          <w:trHeight w:val="183"/>
        </w:trPr>
        <w:tc>
          <w:tcPr>
            <w:tcW w:w="42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4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40" w:type="dxa"/>
            <w:vAlign w:val="bottom"/>
          </w:tcPr>
          <w:p>
            <w:pPr>
              <w:ind w:left="1140"/>
              <w:spacing w:after="0"/>
              <w:rPr>
                <w:sz w:val="20"/>
                <w:szCs w:val="20"/>
                <w:color w:val="auto"/>
              </w:rPr>
            </w:pPr>
            <w:r>
              <w:rPr>
                <w:rFonts w:ascii="Courier New" w:cs="Courier New" w:eastAsia="Courier New" w:hAnsi="Courier New"/>
                <w:sz w:val="16"/>
                <w:szCs w:val="16"/>
                <w:color w:val="auto"/>
              </w:rPr>
              <w:t>(at February 2, 2002)</w:t>
            </w:r>
          </w:p>
        </w:tc>
        <w:tc>
          <w:tcPr>
            <w:tcW w:w="1140" w:type="dxa"/>
            <w:vAlign w:val="bottom"/>
          </w:tcPr>
          <w:p>
            <w:pPr>
              <w:ind w:left="340"/>
              <w:spacing w:after="0"/>
              <w:rPr>
                <w:sz w:val="20"/>
                <w:szCs w:val="20"/>
                <w:color w:val="auto"/>
              </w:rPr>
            </w:pPr>
            <w:r>
              <w:rPr>
                <w:rFonts w:ascii="Courier New" w:cs="Courier New" w:eastAsia="Courier New" w:hAnsi="Courier New"/>
                <w:sz w:val="16"/>
                <w:szCs w:val="16"/>
                <w:color w:val="auto"/>
              </w:rPr>
              <w:t>Year</w:t>
            </w:r>
          </w:p>
        </w:tc>
        <w:tc>
          <w:tcPr>
            <w:tcW w:w="15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Salary</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Bonus</w:t>
            </w:r>
          </w:p>
        </w:tc>
        <w:tc>
          <w:tcPr>
            <w:tcW w:w="0" w:type="dxa"/>
            <w:vAlign w:val="bottom"/>
          </w:tcPr>
          <w:p>
            <w:pPr>
              <w:spacing w:after="0"/>
              <w:rPr>
                <w:sz w:val="1"/>
                <w:szCs w:val="1"/>
                <w:color w:val="auto"/>
              </w:rPr>
            </w:pPr>
          </w:p>
        </w:tc>
      </w:tr>
      <w:tr>
        <w:trPr>
          <w:trHeight w:val="266"/>
        </w:trPr>
        <w:tc>
          <w:tcPr>
            <w:tcW w:w="4240" w:type="dxa"/>
            <w:vAlign w:val="bottom"/>
          </w:tcPr>
          <w:p>
            <w:pPr>
              <w:ind w:left="11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67"/>
        </w:trPr>
        <w:tc>
          <w:tcPr>
            <w:tcW w:w="4240" w:type="dxa"/>
            <w:vAlign w:val="bottom"/>
          </w:tcPr>
          <w:p>
            <w:pPr>
              <w:spacing w:after="0"/>
              <w:rPr>
                <w:sz w:val="20"/>
                <w:szCs w:val="20"/>
                <w:color w:val="auto"/>
              </w:rPr>
            </w:pPr>
            <w:r>
              <w:rPr>
                <w:rFonts w:ascii="Courier New" w:cs="Courier New" w:eastAsia="Courier New" w:hAnsi="Courier New"/>
                <w:sz w:val="16"/>
                <w:szCs w:val="16"/>
                <w:color w:val="auto"/>
              </w:rPr>
              <w:t>Seymour Holtzman</w:t>
            </w:r>
          </w:p>
        </w:tc>
        <w:tc>
          <w:tcPr>
            <w:tcW w:w="114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5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$18,616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66"/>
        </w:trPr>
        <w:tc>
          <w:tcPr>
            <w:tcW w:w="4240" w:type="dxa"/>
            <w:vAlign w:val="bottom"/>
          </w:tcPr>
          <w:p>
            <w:pPr>
              <w:spacing w:after="0"/>
              <w:rPr>
                <w:sz w:val="20"/>
                <w:szCs w:val="20"/>
                <w:color w:val="auto"/>
              </w:rPr>
            </w:pPr>
            <w:r>
              <w:rPr>
                <w:rFonts w:ascii="Courier New" w:cs="Courier New" w:eastAsia="Courier New" w:hAnsi="Courier New"/>
                <w:sz w:val="16"/>
                <w:szCs w:val="16"/>
                <w:color w:val="auto"/>
              </w:rPr>
              <w:t>Chairman of the Board (2)</w:t>
            </w:r>
          </w:p>
        </w:tc>
        <w:tc>
          <w:tcPr>
            <w:tcW w:w="1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240" w:type="dxa"/>
            <w:vAlign w:val="bottom"/>
          </w:tcPr>
          <w:p>
            <w:pPr>
              <w:spacing w:after="0"/>
              <w:rPr>
                <w:sz w:val="20"/>
                <w:szCs w:val="20"/>
                <w:color w:val="auto"/>
              </w:rPr>
            </w:pPr>
            <w:r>
              <w:rPr>
                <w:rFonts w:ascii="Courier New" w:cs="Courier New" w:eastAsia="Courier New" w:hAnsi="Courier New"/>
                <w:sz w:val="16"/>
                <w:szCs w:val="16"/>
                <w:color w:val="auto"/>
              </w:rPr>
              <w:t>David A. Levin</w:t>
            </w:r>
          </w:p>
        </w:tc>
        <w:tc>
          <w:tcPr>
            <w:tcW w:w="114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5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$382,374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20"/>
                <w:szCs w:val="20"/>
                <w:color w:val="auto"/>
              </w:rPr>
            </w:pPr>
            <w:r>
              <w:rPr>
                <w:rFonts w:ascii="Courier New" w:cs="Courier New" w:eastAsia="Courier New" w:hAnsi="Courier New"/>
                <w:sz w:val="16"/>
                <w:szCs w:val="16"/>
                <w:color w:val="auto"/>
              </w:rPr>
              <w:t>President and Chief Executive</w:t>
            </w:r>
          </w:p>
        </w:tc>
        <w:tc>
          <w:tcPr>
            <w:tcW w:w="114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5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$311,758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66"/>
        </w:trPr>
        <w:tc>
          <w:tcPr>
            <w:tcW w:w="4240" w:type="dxa"/>
            <w:vAlign w:val="bottom"/>
          </w:tcPr>
          <w:p>
            <w:pPr>
              <w:spacing w:after="0"/>
              <w:rPr>
                <w:sz w:val="20"/>
                <w:szCs w:val="20"/>
                <w:color w:val="auto"/>
              </w:rPr>
            </w:pPr>
            <w:r>
              <w:rPr>
                <w:rFonts w:ascii="Courier New" w:cs="Courier New" w:eastAsia="Courier New" w:hAnsi="Courier New"/>
                <w:sz w:val="16"/>
                <w:szCs w:val="16"/>
                <w:color w:val="auto"/>
              </w:rPr>
              <w:t>Officer</w:t>
            </w:r>
          </w:p>
        </w:tc>
        <w:tc>
          <w:tcPr>
            <w:tcW w:w="1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240" w:type="dxa"/>
            <w:vAlign w:val="bottom"/>
          </w:tcPr>
          <w:p>
            <w:pPr>
              <w:spacing w:after="0"/>
              <w:rPr>
                <w:sz w:val="20"/>
                <w:szCs w:val="20"/>
                <w:color w:val="auto"/>
              </w:rPr>
            </w:pPr>
            <w:r>
              <w:rPr>
                <w:rFonts w:ascii="Courier New" w:cs="Courier New" w:eastAsia="Courier New" w:hAnsi="Courier New"/>
                <w:sz w:val="16"/>
                <w:szCs w:val="16"/>
                <w:color w:val="auto"/>
              </w:rPr>
              <w:t>Dennis R. Hernreich</w:t>
            </w:r>
          </w:p>
        </w:tc>
        <w:tc>
          <w:tcPr>
            <w:tcW w:w="114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5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$232,398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20"/>
                <w:szCs w:val="20"/>
                <w:color w:val="auto"/>
              </w:rPr>
            </w:pPr>
            <w:r>
              <w:rPr>
                <w:rFonts w:ascii="Courier New" w:cs="Courier New" w:eastAsia="Courier New" w:hAnsi="Courier New"/>
                <w:sz w:val="16"/>
                <w:szCs w:val="16"/>
                <w:color w:val="auto"/>
              </w:rPr>
              <w:t>Senior Vice President and</w:t>
            </w:r>
          </w:p>
        </w:tc>
        <w:tc>
          <w:tcPr>
            <w:tcW w:w="114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5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$121,610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$6,250</w:t>
            </w:r>
          </w:p>
        </w:tc>
        <w:tc>
          <w:tcPr>
            <w:tcW w:w="0" w:type="dxa"/>
            <w:vAlign w:val="bottom"/>
          </w:tcPr>
          <w:p>
            <w:pPr>
              <w:spacing w:after="0"/>
              <w:rPr>
                <w:sz w:val="1"/>
                <w:szCs w:val="1"/>
                <w:color w:val="auto"/>
              </w:rPr>
            </w:pPr>
          </w:p>
        </w:tc>
      </w:tr>
      <w:tr>
        <w:trPr>
          <w:trHeight w:val="266"/>
        </w:trPr>
        <w:tc>
          <w:tcPr>
            <w:tcW w:w="4240" w:type="dxa"/>
            <w:vAlign w:val="bottom"/>
          </w:tcPr>
          <w:p>
            <w:pPr>
              <w:spacing w:after="0"/>
              <w:rPr>
                <w:sz w:val="20"/>
                <w:szCs w:val="20"/>
                <w:color w:val="auto"/>
              </w:rPr>
            </w:pPr>
            <w:r>
              <w:rPr>
                <w:rFonts w:ascii="Courier New" w:cs="Courier New" w:eastAsia="Courier New" w:hAnsi="Courier New"/>
                <w:sz w:val="16"/>
                <w:szCs w:val="16"/>
                <w:color w:val="auto"/>
              </w:rPr>
              <w:t>Chief Financial Officer and Treasurer (3)</w:t>
            </w:r>
          </w:p>
        </w:tc>
        <w:tc>
          <w:tcPr>
            <w:tcW w:w="1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240" w:type="dxa"/>
            <w:vAlign w:val="bottom"/>
          </w:tcPr>
          <w:p>
            <w:pPr>
              <w:spacing w:after="0"/>
              <w:rPr>
                <w:sz w:val="20"/>
                <w:szCs w:val="20"/>
                <w:color w:val="auto"/>
              </w:rPr>
            </w:pPr>
            <w:r>
              <w:rPr>
                <w:rFonts w:ascii="Courier New" w:cs="Courier New" w:eastAsia="Courier New" w:hAnsi="Courier New"/>
                <w:sz w:val="16"/>
                <w:szCs w:val="16"/>
                <w:color w:val="auto"/>
              </w:rPr>
              <w:t>Ronald N. Batts</w:t>
            </w:r>
          </w:p>
        </w:tc>
        <w:tc>
          <w:tcPr>
            <w:tcW w:w="114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5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$86,432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$6,000</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20"/>
                <w:szCs w:val="20"/>
                <w:color w:val="auto"/>
              </w:rPr>
            </w:pPr>
            <w:r>
              <w:rPr>
                <w:rFonts w:ascii="Courier New" w:cs="Courier New" w:eastAsia="Courier New" w:hAnsi="Courier New"/>
                <w:sz w:val="16"/>
                <w:szCs w:val="16"/>
                <w:color w:val="auto"/>
              </w:rPr>
              <w:t>President of the Levi's(R)and Dockers(R)</w:t>
            </w:r>
          </w:p>
        </w:tc>
        <w:tc>
          <w:tcPr>
            <w:tcW w:w="1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240" w:type="dxa"/>
            <w:vAlign w:val="bottom"/>
          </w:tcPr>
          <w:p>
            <w:pPr>
              <w:spacing w:after="0"/>
              <w:rPr>
                <w:sz w:val="20"/>
                <w:szCs w:val="20"/>
                <w:color w:val="auto"/>
              </w:rPr>
            </w:pPr>
            <w:r>
              <w:rPr>
                <w:rFonts w:ascii="Courier New" w:cs="Courier New" w:eastAsia="Courier New" w:hAnsi="Courier New"/>
                <w:sz w:val="16"/>
                <w:szCs w:val="16"/>
                <w:color w:val="auto"/>
              </w:rPr>
              <w:t>Outlet stores (4)</w:t>
            </w:r>
          </w:p>
        </w:tc>
        <w:tc>
          <w:tcPr>
            <w:tcW w:w="1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240" w:type="dxa"/>
            <w:vAlign w:val="bottom"/>
          </w:tcPr>
          <w:p>
            <w:pPr>
              <w:spacing w:after="0"/>
              <w:rPr>
                <w:sz w:val="20"/>
                <w:szCs w:val="20"/>
                <w:color w:val="auto"/>
              </w:rPr>
            </w:pPr>
            <w:r>
              <w:rPr>
                <w:rFonts w:ascii="Courier New" w:cs="Courier New" w:eastAsia="Courier New" w:hAnsi="Courier New"/>
                <w:sz w:val="16"/>
                <w:szCs w:val="16"/>
                <w:color w:val="auto"/>
              </w:rPr>
              <w:t>John J. Schultz</w:t>
            </w:r>
          </w:p>
        </w:tc>
        <w:tc>
          <w:tcPr>
            <w:tcW w:w="114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5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$63,179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20"/>
                <w:szCs w:val="20"/>
                <w:color w:val="auto"/>
              </w:rPr>
            </w:pPr>
            <w:r>
              <w:rPr>
                <w:rFonts w:ascii="Courier New" w:cs="Courier New" w:eastAsia="Courier New" w:hAnsi="Courier New"/>
                <w:sz w:val="16"/>
                <w:szCs w:val="16"/>
                <w:color w:val="auto"/>
              </w:rPr>
              <w:t>Former Interim President and</w:t>
            </w:r>
          </w:p>
        </w:tc>
        <w:tc>
          <w:tcPr>
            <w:tcW w:w="114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$58,000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66"/>
        </w:trPr>
        <w:tc>
          <w:tcPr>
            <w:tcW w:w="4240" w:type="dxa"/>
            <w:vAlign w:val="bottom"/>
          </w:tcPr>
          <w:p>
            <w:pPr>
              <w:spacing w:after="0"/>
              <w:rPr>
                <w:sz w:val="20"/>
                <w:szCs w:val="20"/>
                <w:color w:val="auto"/>
              </w:rPr>
            </w:pPr>
            <w:r>
              <w:rPr>
                <w:rFonts w:ascii="Courier New" w:cs="Courier New" w:eastAsia="Courier New" w:hAnsi="Courier New"/>
                <w:sz w:val="16"/>
                <w:szCs w:val="16"/>
                <w:color w:val="auto"/>
              </w:rPr>
              <w:t>Chief Executive Officer (5)</w:t>
            </w:r>
          </w:p>
        </w:tc>
        <w:tc>
          <w:tcPr>
            <w:tcW w:w="1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240" w:type="dxa"/>
            <w:vAlign w:val="bottom"/>
          </w:tcPr>
          <w:p>
            <w:pPr>
              <w:spacing w:after="0"/>
              <w:rPr>
                <w:sz w:val="20"/>
                <w:szCs w:val="20"/>
                <w:color w:val="auto"/>
              </w:rPr>
            </w:pPr>
            <w:r>
              <w:rPr>
                <w:rFonts w:ascii="Courier New" w:cs="Courier New" w:eastAsia="Courier New" w:hAnsi="Courier New"/>
                <w:sz w:val="16"/>
                <w:szCs w:val="16"/>
                <w:color w:val="auto"/>
              </w:rPr>
              <w:t>Dan O. Paulus</w:t>
            </w:r>
          </w:p>
        </w:tc>
        <w:tc>
          <w:tcPr>
            <w:tcW w:w="114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5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$221,928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20"/>
                <w:szCs w:val="20"/>
                <w:color w:val="auto"/>
              </w:rPr>
            </w:pPr>
            <w:r>
              <w:rPr>
                <w:rFonts w:ascii="Courier New" w:cs="Courier New" w:eastAsia="Courier New" w:hAnsi="Courier New"/>
                <w:sz w:val="16"/>
                <w:szCs w:val="16"/>
                <w:color w:val="auto"/>
              </w:rPr>
              <w:t>Former Senior Vice President and</w:t>
            </w:r>
          </w:p>
        </w:tc>
        <w:tc>
          <w:tcPr>
            <w:tcW w:w="114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$233,700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$70,000</w:t>
            </w:r>
          </w:p>
        </w:tc>
        <w:tc>
          <w:tcPr>
            <w:tcW w:w="0" w:type="dxa"/>
            <w:vAlign w:val="bottom"/>
          </w:tcPr>
          <w:p>
            <w:pPr>
              <w:spacing w:after="0"/>
              <w:rPr>
                <w:sz w:val="1"/>
                <w:szCs w:val="1"/>
                <w:color w:val="auto"/>
              </w:rPr>
            </w:pPr>
          </w:p>
        </w:tc>
      </w:tr>
      <w:tr>
        <w:trPr>
          <w:trHeight w:val="266"/>
        </w:trPr>
        <w:tc>
          <w:tcPr>
            <w:tcW w:w="4240" w:type="dxa"/>
            <w:vAlign w:val="bottom"/>
          </w:tcPr>
          <w:p>
            <w:pPr>
              <w:spacing w:after="0"/>
              <w:rPr>
                <w:sz w:val="20"/>
                <w:szCs w:val="20"/>
                <w:color w:val="auto"/>
              </w:rPr>
            </w:pPr>
            <w:r>
              <w:rPr>
                <w:rFonts w:ascii="Courier New" w:cs="Courier New" w:eastAsia="Courier New" w:hAnsi="Courier New"/>
                <w:sz w:val="16"/>
                <w:szCs w:val="16"/>
                <w:color w:val="auto"/>
              </w:rPr>
              <w:t>General Merchandise Manager (6)</w:t>
            </w:r>
          </w:p>
        </w:tc>
        <w:tc>
          <w:tcPr>
            <w:tcW w:w="1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482" w:hanging="482"/>
        <w:spacing w:after="0"/>
        <w:tabs>
          <w:tab w:leader="none" w:pos="48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disclosed in this column with respect to fiscal 2002 represent:</w:t>
      </w:r>
    </w:p>
    <w:p>
      <w:pPr>
        <w:spacing w:after="0" w:line="41" w:lineRule="exact"/>
        <w:rPr>
          <w:rFonts w:ascii="Courier New" w:cs="Courier New" w:eastAsia="Courier New" w:hAnsi="Courier New"/>
          <w:sz w:val="15"/>
          <w:szCs w:val="15"/>
          <w:color w:val="auto"/>
        </w:rPr>
      </w:pPr>
    </w:p>
    <w:p>
      <w:pPr>
        <w:ind w:left="482" w:right="80" w:hanging="5"/>
        <w:spacing w:after="0" w:line="251" w:lineRule="auto"/>
        <w:tabs>
          <w:tab w:leader="none" w:pos="86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by the Company of insurance premiums for term life insurance for the benefit of the executive officers (Mr. Levin $3,131, Mr. Hernreich $411 and Mr. Batts $124); (ii) matching contributions made by the Company for the benefit of each of the following executive officers to the Company's retirement plan (the "401(k) Plan") established pursuant to Section 401(k) of the Internal Revenue Code of 1986, as amended (the "Internal Revenue Code") (Mr. Levin $4,482 and Mr. Hernreich $469); (iii) car allowances (Mr. Levin $6,872 and Mr. Hernreich $2,771); and (iv) reimbursement for relocation costs (Mr. Hernreich $3,177 and Mr. Batts $10,279).</w:t>
      </w:r>
    </w:p>
    <w:p>
      <w:pPr>
        <w:spacing w:after="0" w:line="93" w:lineRule="exact"/>
        <w:rPr>
          <w:rFonts w:ascii="Courier New" w:cs="Courier New" w:eastAsia="Courier New" w:hAnsi="Courier New"/>
          <w:sz w:val="16"/>
          <w:szCs w:val="16"/>
          <w:color w:val="auto"/>
        </w:rPr>
      </w:pPr>
    </w:p>
    <w:p>
      <w:pPr>
        <w:ind w:left="482" w:right="80" w:hanging="482"/>
        <w:spacing w:after="0" w:line="271" w:lineRule="auto"/>
        <w:tabs>
          <w:tab w:leader="none" w:pos="4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Holtzman was hired by the Company as an executive officer and employee of the Company on May 25, 2001. In connection with his hiring and as compensation for his services, the Company granted to Mr. Holtzman an option to purchase up to 300,000 shares of Common Stock. See "Employment Agreements" for more discussion.</w:t>
      </w:r>
    </w:p>
    <w:p>
      <w:pPr>
        <w:spacing w:after="0" w:line="77" w:lineRule="exact"/>
        <w:rPr>
          <w:rFonts w:ascii="Courier New" w:cs="Courier New" w:eastAsia="Courier New" w:hAnsi="Courier New"/>
          <w:sz w:val="16"/>
          <w:szCs w:val="16"/>
          <w:color w:val="auto"/>
        </w:rPr>
      </w:pPr>
    </w:p>
    <w:p>
      <w:pPr>
        <w:ind w:left="482" w:hanging="482"/>
        <w:spacing w:after="0" w:line="271" w:lineRule="auto"/>
        <w:tabs>
          <w:tab w:leader="none" w:pos="4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Hernreich's employment agreement entitles him to receive minimum monthly payments in respect of his annual bonus at the rate of $1,250 per month. Any annual bonus that the Compensation Committee determines shall be paid to Mr. Hernreich would be reduced by the total of all such payments made to</w:t>
      </w:r>
    </w:p>
    <w:p>
      <w:pPr>
        <w:spacing w:after="0" w:line="7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Long-Term</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Compensation</w:t>
            </w:r>
          </w:p>
        </w:tc>
        <w:tc>
          <w:tcPr>
            <w:tcW w:w="1840" w:type="dxa"/>
            <w:vAlign w:val="bottom"/>
            <w:vMerge w:val="restart"/>
          </w:tcPr>
          <w:p>
            <w:pPr>
              <w:jc w:val="right"/>
              <w:ind w:right="181"/>
              <w:spacing w:after="0"/>
              <w:rPr>
                <w:sz w:val="20"/>
                <w:szCs w:val="20"/>
                <w:color w:val="auto"/>
              </w:rPr>
            </w:pPr>
            <w:r>
              <w:rPr>
                <w:rFonts w:ascii="Courier New" w:cs="Courier New" w:eastAsia="Courier New" w:hAnsi="Courier New"/>
                <w:sz w:val="16"/>
                <w:szCs w:val="16"/>
                <w:color w:val="auto"/>
              </w:rPr>
              <w:t>All Other</w:t>
            </w:r>
          </w:p>
        </w:tc>
        <w:tc>
          <w:tcPr>
            <w:tcW w:w="0" w:type="dxa"/>
            <w:vAlign w:val="bottom"/>
          </w:tcPr>
          <w:p>
            <w:pPr>
              <w:spacing w:after="0"/>
              <w:rPr>
                <w:sz w:val="1"/>
                <w:szCs w:val="1"/>
                <w:color w:val="auto"/>
              </w:rPr>
            </w:pPr>
          </w:p>
        </w:tc>
      </w:tr>
      <w:tr>
        <w:trPr>
          <w:trHeight w:val="183"/>
        </w:trPr>
        <w:tc>
          <w:tcPr>
            <w:tcW w:w="15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Awards</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Options</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Compensation(1)</w:t>
            </w:r>
          </w:p>
        </w:tc>
        <w:tc>
          <w:tcPr>
            <w:tcW w:w="0" w:type="dxa"/>
            <w:vAlign w:val="bottom"/>
          </w:tcPr>
          <w:p>
            <w:pPr>
              <w:spacing w:after="0"/>
              <w:rPr>
                <w:sz w:val="1"/>
                <w:szCs w:val="1"/>
                <w:color w:val="auto"/>
              </w:rPr>
            </w:pPr>
          </w:p>
        </w:tc>
      </w:tr>
      <w:tr>
        <w:trPr>
          <w:trHeight w:val="266"/>
        </w:trPr>
        <w:tc>
          <w:tcPr>
            <w:tcW w:w="15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50"/>
        </w:trPr>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300,000</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467"/>
        </w:trPr>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125,000</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$14,484</w:t>
            </w:r>
          </w:p>
        </w:tc>
        <w:tc>
          <w:tcPr>
            <w:tcW w:w="0" w:type="dxa"/>
            <w:vAlign w:val="bottom"/>
          </w:tcPr>
          <w:p>
            <w:pPr>
              <w:spacing w:after="0"/>
              <w:rPr>
                <w:sz w:val="1"/>
                <w:szCs w:val="1"/>
                <w:color w:val="auto"/>
              </w:rPr>
            </w:pPr>
          </w:p>
        </w:tc>
      </w:tr>
      <w:tr>
        <w:trPr>
          <w:trHeight w:val="266"/>
        </w:trPr>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300,000</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$449</w:t>
            </w:r>
          </w:p>
        </w:tc>
        <w:tc>
          <w:tcPr>
            <w:tcW w:w="0" w:type="dxa"/>
            <w:vAlign w:val="bottom"/>
          </w:tcPr>
          <w:p>
            <w:pPr>
              <w:spacing w:after="0"/>
              <w:rPr>
                <w:sz w:val="1"/>
                <w:szCs w:val="1"/>
                <w:color w:val="auto"/>
              </w:rPr>
            </w:pPr>
          </w:p>
        </w:tc>
      </w:tr>
      <w:tr>
        <w:trPr>
          <w:trHeight w:val="467"/>
        </w:trPr>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100,000</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$6,829</w:t>
            </w:r>
          </w:p>
        </w:tc>
        <w:tc>
          <w:tcPr>
            <w:tcW w:w="0" w:type="dxa"/>
            <w:vAlign w:val="bottom"/>
          </w:tcPr>
          <w:p>
            <w:pPr>
              <w:spacing w:after="0"/>
              <w:rPr>
                <w:sz w:val="1"/>
                <w:szCs w:val="1"/>
                <w:color w:val="auto"/>
              </w:rPr>
            </w:pPr>
          </w:p>
        </w:tc>
      </w:tr>
      <w:tr>
        <w:trPr>
          <w:trHeight w:val="266"/>
        </w:trPr>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85,000</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$85,307</w:t>
            </w:r>
          </w:p>
        </w:tc>
        <w:tc>
          <w:tcPr>
            <w:tcW w:w="0" w:type="dxa"/>
            <w:vAlign w:val="bottom"/>
          </w:tcPr>
          <w:p>
            <w:pPr>
              <w:spacing w:after="0"/>
              <w:rPr>
                <w:sz w:val="1"/>
                <w:szCs w:val="1"/>
                <w:color w:val="auto"/>
              </w:rPr>
            </w:pPr>
          </w:p>
        </w:tc>
      </w:tr>
      <w:tr>
        <w:trPr>
          <w:trHeight w:val="550"/>
        </w:trPr>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50,000</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$10,403</w:t>
            </w:r>
          </w:p>
        </w:tc>
        <w:tc>
          <w:tcPr>
            <w:tcW w:w="0" w:type="dxa"/>
            <w:vAlign w:val="bottom"/>
          </w:tcPr>
          <w:p>
            <w:pPr>
              <w:spacing w:after="0"/>
              <w:rPr>
                <w:sz w:val="1"/>
                <w:szCs w:val="1"/>
                <w:color w:val="auto"/>
              </w:rPr>
            </w:pPr>
          </w:p>
        </w:tc>
      </w:tr>
      <w:tr>
        <w:trPr>
          <w:trHeight w:val="651"/>
        </w:trPr>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60,000</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266"/>
        </w:trPr>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30,000</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467"/>
        </w:trPr>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35,000</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$5,570</w:t>
            </w:r>
          </w:p>
        </w:tc>
        <w:tc>
          <w:tcPr>
            <w:tcW w:w="0" w:type="dxa"/>
            <w:vAlign w:val="bottom"/>
          </w:tcPr>
          <w:p>
            <w:pPr>
              <w:spacing w:after="0"/>
              <w:rPr>
                <w:sz w:val="1"/>
                <w:szCs w:val="1"/>
                <w:color w:val="auto"/>
              </w:rPr>
            </w:pPr>
          </w:p>
        </w:tc>
      </w:tr>
      <w:tr>
        <w:trPr>
          <w:trHeight w:val="266"/>
        </w:trPr>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$3,540</w:t>
            </w:r>
          </w:p>
        </w:tc>
        <w:tc>
          <w:tcPr>
            <w:tcW w:w="0" w:type="dxa"/>
            <w:vAlign w:val="bottom"/>
          </w:tcPr>
          <w:p>
            <w:pPr>
              <w:spacing w:after="0"/>
              <w:rPr>
                <w:sz w:val="1"/>
                <w:szCs w:val="1"/>
                <w:color w:val="auto"/>
              </w:rPr>
            </w:pPr>
          </w:p>
        </w:tc>
      </w:tr>
    </w:tbl>
    <w:p>
      <w:pPr>
        <w:sectPr>
          <w:pgSz w:w="11900" w:h="16838" w:orient="portrait"/>
          <w:cols w:equalWidth="0" w:num="2">
            <w:col w:w="7622" w:space="480"/>
            <w:col w:w="3420"/>
          </w:cols>
          <w:pgMar w:left="238" w:top="639" w:right="139" w:bottom="1440" w:gutter="0" w:footer="0" w:header="0"/>
        </w:sectPr>
      </w:pPr>
    </w:p>
    <w:bookmarkStart w:id="8" w:name="page9"/>
    <w:bookmarkEnd w:id="8"/>
    <w:p>
      <w:pPr>
        <w:ind w:left="482" w:right="1060"/>
        <w:spacing w:after="0" w:line="355" w:lineRule="auto"/>
        <w:rPr>
          <w:sz w:val="20"/>
          <w:szCs w:val="20"/>
          <w:color w:val="auto"/>
        </w:rPr>
      </w:pPr>
      <w:r>
        <w:rPr>
          <w:rFonts w:ascii="Courier New" w:cs="Courier New" w:eastAsia="Courier New" w:hAnsi="Courier New"/>
          <w:sz w:val="16"/>
          <w:szCs w:val="16"/>
          <w:color w:val="auto"/>
        </w:rPr>
        <w:t>the executive. During fiscal 2002 and fiscal 2001, Mr. Hernreich received a total of $15,000 and $6,250, respectively.</w:t>
      </w:r>
    </w:p>
    <w:p>
      <w:pPr>
        <w:spacing w:after="0" w:line="14" w:lineRule="exact"/>
        <w:rPr>
          <w:sz w:val="20"/>
          <w:szCs w:val="20"/>
          <w:color w:val="auto"/>
        </w:rPr>
      </w:pPr>
    </w:p>
    <w:p>
      <w:pPr>
        <w:ind w:left="482" w:right="1060" w:hanging="482"/>
        <w:spacing w:after="0" w:line="276" w:lineRule="auto"/>
        <w:tabs>
          <w:tab w:leader="none" w:pos="48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Batts has been President of Levi's(R) and Dockers(R) Outlet stores since May 21, 2002 and was previously Senior Vice President of Operations since October 22, 2001. Mr. Batts' employment agreement entitles him to receive minimum monthly payments in respect of his annual bonus at the rate of $2,000 per month for the initial term of the agreement. Any annual bonus that the Compensation Committee determines shall be paid to Mr. Batts would be reduced by the total of all such payments made to the executive. During fiscal 2002, Mr. Batts received a total of $6,000, which represents payments for the three months from when Mr. Batts started with the Company.</w:t>
      </w:r>
    </w:p>
    <w:p>
      <w:pPr>
        <w:spacing w:after="0" w:line="75" w:lineRule="exact"/>
        <w:rPr>
          <w:rFonts w:ascii="Courier New" w:cs="Courier New" w:eastAsia="Courier New" w:hAnsi="Courier New"/>
          <w:sz w:val="15"/>
          <w:szCs w:val="15"/>
          <w:color w:val="auto"/>
        </w:rPr>
      </w:pPr>
    </w:p>
    <w:p>
      <w:pPr>
        <w:ind w:left="482" w:right="1140" w:hanging="482"/>
        <w:spacing w:after="0" w:line="388" w:lineRule="auto"/>
        <w:tabs>
          <w:tab w:leader="none" w:pos="48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Schultz acted in the position of interim President and Chief Executive Officer of the Company from October 20, 1999 until April 10, 2000.</w:t>
      </w:r>
    </w:p>
    <w:p>
      <w:pPr>
        <w:ind w:left="482" w:right="1720" w:hanging="482"/>
        <w:spacing w:after="0" w:line="388" w:lineRule="auto"/>
        <w:tabs>
          <w:tab w:leader="none" w:pos="48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Paulus served as the Company's Senior Vice President and General Merchandise Manager from February 4, 2000 to November 14, 2000.</w:t>
      </w:r>
    </w:p>
    <w:p>
      <w:pPr>
        <w:spacing w:after="0" w:line="1" w:lineRule="exact"/>
        <w:rPr>
          <w:sz w:val="20"/>
          <w:szCs w:val="20"/>
          <w:color w:val="auto"/>
        </w:rPr>
      </w:pPr>
    </w:p>
    <w:p>
      <w:pPr>
        <w:ind w:left="2" w:right="1620"/>
        <w:spacing w:after="0" w:line="299" w:lineRule="auto"/>
        <w:rPr>
          <w:sz w:val="20"/>
          <w:szCs w:val="20"/>
          <w:color w:val="auto"/>
        </w:rPr>
      </w:pPr>
      <w:r>
        <w:rPr>
          <w:rFonts w:ascii="Courier New" w:cs="Courier New" w:eastAsia="Courier New" w:hAnsi="Courier New"/>
          <w:sz w:val="16"/>
          <w:szCs w:val="16"/>
          <w:color w:val="auto"/>
        </w:rPr>
        <w:t>Option Grants Table. The following Option Grants Table sets forth certain information as of February 2, 2002, regarding stock options granted during fiscal 2002 by the Company to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266"/>
        </w:trPr>
        <w:tc>
          <w:tcPr>
            <w:tcW w:w="2040" w:type="dxa"/>
            <w:vAlign w:val="bottom"/>
          </w:tcPr>
          <w:p>
            <w:pPr>
              <w:spacing w:after="0"/>
              <w:rPr>
                <w:sz w:val="23"/>
                <w:szCs w:val="23"/>
                <w:color w:val="auto"/>
              </w:rPr>
            </w:pPr>
          </w:p>
        </w:tc>
        <w:tc>
          <w:tcPr>
            <w:tcW w:w="434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Option Grants In Last Fiscal Year</w:t>
            </w:r>
          </w:p>
        </w:tc>
        <w:tc>
          <w:tcPr>
            <w:tcW w:w="10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1"/>
        </w:trPr>
        <w:tc>
          <w:tcPr>
            <w:tcW w:w="2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Individual Grants (1)</w:t>
            </w: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6640" w:type="dxa"/>
            <w:vAlign w:val="bottom"/>
            <w:gridSpan w:val="4"/>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224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9"/>
              </w:rPr>
              <w:t>Number of</w:t>
            </w:r>
          </w:p>
        </w:tc>
        <w:tc>
          <w:tcPr>
            <w:tcW w:w="2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Percent of</w:t>
            </w: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2240" w:type="dxa"/>
            <w:vAlign w:val="bottom"/>
          </w:tcPr>
          <w:p>
            <w:pPr>
              <w:jc w:val="center"/>
              <w:ind w:left="461"/>
              <w:spacing w:after="0"/>
              <w:rPr>
                <w:sz w:val="20"/>
                <w:szCs w:val="20"/>
                <w:color w:val="auto"/>
              </w:rPr>
            </w:pPr>
            <w:r>
              <w:rPr>
                <w:rFonts w:ascii="Courier New" w:cs="Courier New" w:eastAsia="Courier New" w:hAnsi="Courier New"/>
                <w:sz w:val="16"/>
                <w:szCs w:val="16"/>
                <w:color w:val="auto"/>
              </w:rPr>
              <w:t>Shares of Common</w:t>
            </w: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w w:val="99"/>
              </w:rPr>
              <w:t>Total Options</w:t>
            </w:r>
          </w:p>
        </w:tc>
        <w:tc>
          <w:tcPr>
            <w:tcW w:w="10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Exercise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2240" w:type="dxa"/>
            <w:vAlign w:val="bottom"/>
          </w:tcPr>
          <w:p>
            <w:pPr>
              <w:jc w:val="center"/>
              <w:ind w:left="361"/>
              <w:spacing w:after="0"/>
              <w:rPr>
                <w:sz w:val="20"/>
                <w:szCs w:val="20"/>
                <w:color w:val="auto"/>
              </w:rPr>
            </w:pPr>
            <w:r>
              <w:rPr>
                <w:rFonts w:ascii="Courier New" w:cs="Courier New" w:eastAsia="Courier New" w:hAnsi="Courier New"/>
                <w:sz w:val="16"/>
                <w:szCs w:val="16"/>
                <w:color w:val="auto"/>
                <w:w w:val="99"/>
              </w:rPr>
              <w:t>Stock</w:t>
            </w:r>
          </w:p>
        </w:tc>
        <w:tc>
          <w:tcPr>
            <w:tcW w:w="21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Granted</w:t>
            </w:r>
          </w:p>
        </w:tc>
        <w:tc>
          <w:tcPr>
            <w:tcW w:w="1060" w:type="dxa"/>
            <w:vAlign w:val="bottom"/>
            <w:vMerge w:val="continue"/>
          </w:tcPr>
          <w:p>
            <w:pPr>
              <w:spacing w:after="0"/>
              <w:rPr>
                <w:sz w:val="15"/>
                <w:szCs w:val="15"/>
                <w:color w:val="auto"/>
              </w:rPr>
            </w:pPr>
          </w:p>
        </w:tc>
        <w:tc>
          <w:tcPr>
            <w:tcW w:w="12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Expiration</w:t>
            </w: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2240" w:type="dxa"/>
            <w:vAlign w:val="bottom"/>
          </w:tcPr>
          <w:p>
            <w:pPr>
              <w:jc w:val="center"/>
              <w:ind w:left="461"/>
              <w:spacing w:after="0"/>
              <w:rPr>
                <w:sz w:val="20"/>
                <w:szCs w:val="20"/>
                <w:color w:val="auto"/>
              </w:rPr>
            </w:pPr>
            <w:r>
              <w:rPr>
                <w:rFonts w:ascii="Courier New" w:cs="Courier New" w:eastAsia="Courier New" w:hAnsi="Courier New"/>
                <w:sz w:val="16"/>
                <w:szCs w:val="16"/>
                <w:color w:val="auto"/>
                <w:w w:val="97"/>
              </w:rPr>
              <w:t>Underlying</w:t>
            </w:r>
          </w:p>
        </w:tc>
        <w:tc>
          <w:tcPr>
            <w:tcW w:w="21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to Employees in</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Price Per</w:t>
            </w: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2240" w:type="dxa"/>
            <w:vAlign w:val="bottom"/>
          </w:tcPr>
          <w:p>
            <w:pPr>
              <w:jc w:val="center"/>
              <w:ind w:left="361"/>
              <w:spacing w:after="0"/>
              <w:rPr>
                <w:sz w:val="20"/>
                <w:szCs w:val="20"/>
                <w:color w:val="auto"/>
              </w:rPr>
            </w:pPr>
            <w:r>
              <w:rPr>
                <w:rFonts w:ascii="Courier New" w:cs="Courier New" w:eastAsia="Courier New" w:hAnsi="Courier New"/>
                <w:sz w:val="16"/>
                <w:szCs w:val="16"/>
                <w:color w:val="auto"/>
                <w:w w:val="99"/>
              </w:rPr>
              <w:t>Options Granted</w:t>
            </w:r>
          </w:p>
        </w:tc>
        <w:tc>
          <w:tcPr>
            <w:tcW w:w="2100" w:type="dxa"/>
            <w:vAlign w:val="bottom"/>
          </w:tcPr>
          <w:p>
            <w:pPr>
              <w:jc w:val="center"/>
              <w:ind w:right="1"/>
              <w:spacing w:after="0"/>
              <w:rPr>
                <w:sz w:val="20"/>
                <w:szCs w:val="20"/>
                <w:color w:val="auto"/>
              </w:rPr>
            </w:pPr>
            <w:r>
              <w:rPr>
                <w:rFonts w:ascii="Courier New" w:cs="Courier New" w:eastAsia="Courier New" w:hAnsi="Courier New"/>
                <w:sz w:val="16"/>
                <w:szCs w:val="16"/>
                <w:color w:val="auto"/>
              </w:rPr>
              <w:t>Fiscal Year</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Share</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Date</w:t>
            </w:r>
          </w:p>
        </w:tc>
        <w:tc>
          <w:tcPr>
            <w:tcW w:w="0" w:type="dxa"/>
            <w:vAlign w:val="bottom"/>
          </w:tcPr>
          <w:p>
            <w:pPr>
              <w:spacing w:after="0"/>
              <w:rPr>
                <w:sz w:val="1"/>
                <w:szCs w:val="1"/>
                <w:color w:val="auto"/>
              </w:rPr>
            </w:pPr>
          </w:p>
        </w:tc>
      </w:tr>
      <w:tr>
        <w:trPr>
          <w:trHeight w:val="266"/>
        </w:trPr>
        <w:tc>
          <w:tcPr>
            <w:tcW w:w="2040" w:type="dxa"/>
            <w:vAlign w:val="bottom"/>
          </w:tcPr>
          <w:p>
            <w:pPr>
              <w:spacing w:after="0"/>
              <w:rPr>
                <w:sz w:val="23"/>
                <w:szCs w:val="23"/>
                <w:color w:val="auto"/>
              </w:rPr>
            </w:pPr>
          </w:p>
        </w:tc>
        <w:tc>
          <w:tcPr>
            <w:tcW w:w="2240" w:type="dxa"/>
            <w:vAlign w:val="bottom"/>
          </w:tcPr>
          <w:p>
            <w:pPr>
              <w:jc w:val="center"/>
              <w:ind w:left="461"/>
              <w:spacing w:after="0"/>
              <w:rPr>
                <w:sz w:val="20"/>
                <w:szCs w:val="20"/>
                <w:color w:val="auto"/>
              </w:rPr>
            </w:pPr>
            <w:r>
              <w:rPr>
                <w:rFonts w:ascii="Courier New" w:cs="Courier New" w:eastAsia="Courier New" w:hAnsi="Courier New"/>
                <w:sz w:val="16"/>
                <w:szCs w:val="16"/>
                <w:color w:val="auto"/>
                <w:w w:val="99"/>
              </w:rPr>
              <w:t>--------------</w:t>
            </w: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2040" w:type="dxa"/>
            <w:vAlign w:val="bottom"/>
          </w:tcPr>
          <w:p>
            <w:pPr>
              <w:spacing w:after="0"/>
              <w:rPr>
                <w:sz w:val="20"/>
                <w:szCs w:val="20"/>
                <w:color w:val="auto"/>
              </w:rPr>
            </w:pPr>
            <w:r>
              <w:rPr>
                <w:rFonts w:ascii="Courier New" w:cs="Courier New" w:eastAsia="Courier New" w:hAnsi="Courier New"/>
                <w:sz w:val="16"/>
                <w:szCs w:val="16"/>
                <w:color w:val="auto"/>
              </w:rPr>
              <w:t>Seymour Holtzman</w:t>
            </w:r>
          </w:p>
        </w:tc>
        <w:tc>
          <w:tcPr>
            <w:tcW w:w="22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300,000</w:t>
            </w:r>
          </w:p>
        </w:tc>
        <w:tc>
          <w:tcPr>
            <w:tcW w:w="2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33.8%</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5/25/11</w:t>
            </w:r>
          </w:p>
        </w:tc>
        <w:tc>
          <w:tcPr>
            <w:tcW w:w="0" w:type="dxa"/>
            <w:vAlign w:val="bottom"/>
          </w:tcPr>
          <w:p>
            <w:pPr>
              <w:spacing w:after="0"/>
              <w:rPr>
                <w:sz w:val="1"/>
                <w:szCs w:val="1"/>
                <w:color w:val="auto"/>
              </w:rPr>
            </w:pP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David A. Levin</w:t>
            </w:r>
          </w:p>
        </w:tc>
        <w:tc>
          <w:tcPr>
            <w:tcW w:w="22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125,000</w:t>
            </w:r>
          </w:p>
        </w:tc>
        <w:tc>
          <w:tcPr>
            <w:tcW w:w="2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14.1%</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5/25/11</w:t>
            </w:r>
          </w:p>
        </w:tc>
        <w:tc>
          <w:tcPr>
            <w:tcW w:w="0" w:type="dxa"/>
            <w:vAlign w:val="bottom"/>
          </w:tcPr>
          <w:p>
            <w:pPr>
              <w:spacing w:after="0"/>
              <w:rPr>
                <w:sz w:val="1"/>
                <w:szCs w:val="1"/>
                <w:color w:val="auto"/>
              </w:rPr>
            </w:pP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Dennis R. Hernreich</w:t>
            </w:r>
          </w:p>
        </w:tc>
        <w:tc>
          <w:tcPr>
            <w:tcW w:w="22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100,000</w:t>
            </w:r>
          </w:p>
        </w:tc>
        <w:tc>
          <w:tcPr>
            <w:tcW w:w="2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11.3%</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5/25/11</w:t>
            </w:r>
          </w:p>
        </w:tc>
        <w:tc>
          <w:tcPr>
            <w:tcW w:w="0" w:type="dxa"/>
            <w:vAlign w:val="bottom"/>
          </w:tcPr>
          <w:p>
            <w:pPr>
              <w:spacing w:after="0"/>
              <w:rPr>
                <w:sz w:val="1"/>
                <w:szCs w:val="1"/>
                <w:color w:val="auto"/>
              </w:rPr>
            </w:pPr>
          </w:p>
        </w:tc>
      </w:tr>
      <w:tr>
        <w:trPr>
          <w:trHeight w:val="266"/>
        </w:trPr>
        <w:tc>
          <w:tcPr>
            <w:tcW w:w="2040" w:type="dxa"/>
            <w:vAlign w:val="bottom"/>
          </w:tcPr>
          <w:p>
            <w:pPr>
              <w:spacing w:after="0"/>
              <w:rPr>
                <w:sz w:val="20"/>
                <w:szCs w:val="20"/>
                <w:color w:val="auto"/>
              </w:rPr>
            </w:pPr>
            <w:r>
              <w:rPr>
                <w:rFonts w:ascii="Courier New" w:cs="Courier New" w:eastAsia="Courier New" w:hAnsi="Courier New"/>
                <w:sz w:val="16"/>
                <w:szCs w:val="16"/>
                <w:color w:val="auto"/>
              </w:rPr>
              <w:t>Ronald N. Batts</w:t>
            </w:r>
          </w:p>
        </w:tc>
        <w:tc>
          <w:tcPr>
            <w:tcW w:w="22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50,000</w:t>
            </w:r>
          </w:p>
        </w:tc>
        <w:tc>
          <w:tcPr>
            <w:tcW w:w="2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5.6%</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10/22/11</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482" w:right="1060" w:hanging="482"/>
        <w:spacing w:after="0" w:line="355" w:lineRule="auto"/>
        <w:tabs>
          <w:tab w:leader="none" w:pos="4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become exercisable in three equal annual installments on each of the first three anniversaries of the date of grant.</w:t>
      </w:r>
    </w:p>
    <w:p>
      <w:pPr>
        <w:spacing w:after="0" w:line="14" w:lineRule="exact"/>
        <w:rPr>
          <w:rFonts w:ascii="Courier New" w:cs="Courier New" w:eastAsia="Courier New" w:hAnsi="Courier New"/>
          <w:sz w:val="16"/>
          <w:szCs w:val="16"/>
          <w:color w:val="auto"/>
        </w:rPr>
      </w:pPr>
    </w:p>
    <w:p>
      <w:pPr>
        <w:ind w:left="482" w:right="1060" w:hanging="482"/>
        <w:spacing w:after="0" w:line="256" w:lineRule="auto"/>
        <w:tabs>
          <w:tab w:leader="none" w:pos="4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these columns represent hypothetical gains that could be achieved for the options if exercised at the end of the option term. These gains are based on assumed rates of stock appreciation (based on a market value on the date of the grant)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pacing w:after="0" w:line="27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Potential</w:t>
            </w:r>
          </w:p>
        </w:tc>
        <w:tc>
          <w:tcPr>
            <w:tcW w:w="13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Realizable</w:t>
            </w:r>
          </w:p>
        </w:tc>
      </w:tr>
      <w:tr>
        <w:trPr>
          <w:trHeight w:val="183"/>
        </w:trPr>
        <w:tc>
          <w:tcPr>
            <w:tcW w:w="22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Value of Assumed</w:t>
            </w:r>
          </w:p>
        </w:tc>
      </w:tr>
      <w:tr>
        <w:trPr>
          <w:trHeight w:val="183"/>
        </w:trPr>
        <w:tc>
          <w:tcPr>
            <w:tcW w:w="900" w:type="dxa"/>
            <w:vAlign w:val="bottom"/>
          </w:tcPr>
          <w:p>
            <w:pPr>
              <w:ind w:left="280"/>
              <w:spacing w:after="0"/>
              <w:rPr>
                <w:sz w:val="20"/>
                <w:szCs w:val="20"/>
                <w:color w:val="auto"/>
              </w:rPr>
            </w:pPr>
            <w:r>
              <w:rPr>
                <w:rFonts w:ascii="Courier New" w:cs="Courier New" w:eastAsia="Courier New" w:hAnsi="Courier New"/>
                <w:sz w:val="16"/>
                <w:szCs w:val="16"/>
                <w:color w:val="auto"/>
              </w:rPr>
              <w:t>Annual</w:t>
            </w:r>
          </w:p>
        </w:tc>
        <w:tc>
          <w:tcPr>
            <w:tcW w:w="13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Rates of</w:t>
            </w:r>
          </w:p>
        </w:tc>
      </w:tr>
      <w:tr>
        <w:trPr>
          <w:trHeight w:val="183"/>
        </w:trPr>
        <w:tc>
          <w:tcPr>
            <w:tcW w:w="2200" w:type="dxa"/>
            <w:vAlign w:val="bottom"/>
            <w:gridSpan w:val="2"/>
          </w:tcPr>
          <w:p>
            <w:pPr>
              <w:jc w:val="right"/>
              <w:ind w:right="601"/>
              <w:spacing w:after="0"/>
              <w:rPr>
                <w:sz w:val="20"/>
                <w:szCs w:val="20"/>
                <w:color w:val="auto"/>
              </w:rPr>
            </w:pPr>
            <w:r>
              <w:rPr>
                <w:rFonts w:ascii="Courier New" w:cs="Courier New" w:eastAsia="Courier New" w:hAnsi="Courier New"/>
                <w:sz w:val="16"/>
                <w:szCs w:val="16"/>
                <w:color w:val="auto"/>
              </w:rPr>
              <w:t>Stock Price</w:t>
            </w:r>
          </w:p>
        </w:tc>
      </w:tr>
      <w:tr>
        <w:trPr>
          <w:trHeight w:val="183"/>
        </w:trPr>
        <w:tc>
          <w:tcPr>
            <w:tcW w:w="2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Appreciation for</w:t>
            </w:r>
          </w:p>
        </w:tc>
      </w:tr>
      <w:tr>
        <w:trPr>
          <w:trHeight w:val="183"/>
        </w:trPr>
        <w:tc>
          <w:tcPr>
            <w:tcW w:w="900" w:type="dxa"/>
            <w:vAlign w:val="bottom"/>
          </w:tcPr>
          <w:p>
            <w:pPr>
              <w:ind w:left="280"/>
              <w:spacing w:after="0"/>
              <w:rPr>
                <w:sz w:val="20"/>
                <w:szCs w:val="20"/>
                <w:color w:val="auto"/>
              </w:rPr>
            </w:pPr>
            <w:r>
              <w:rPr>
                <w:rFonts w:ascii="Courier New" w:cs="Courier New" w:eastAsia="Courier New" w:hAnsi="Courier New"/>
                <w:sz w:val="16"/>
                <w:szCs w:val="16"/>
                <w:color w:val="auto"/>
              </w:rPr>
              <w:t>Option</w:t>
            </w:r>
          </w:p>
        </w:tc>
        <w:tc>
          <w:tcPr>
            <w:tcW w:w="13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Term (2)</w:t>
            </w:r>
          </w:p>
        </w:tc>
      </w:tr>
      <w:tr>
        <w:trPr>
          <w:trHeight w:val="183"/>
        </w:trPr>
        <w:tc>
          <w:tcPr>
            <w:tcW w:w="90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13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w:t>
            </w:r>
          </w:p>
        </w:tc>
      </w:tr>
      <w:tr>
        <w:trPr>
          <w:trHeight w:val="266"/>
        </w:trPr>
        <w:tc>
          <w:tcPr>
            <w:tcW w:w="22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284"/>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$732,033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$1,855,116</w:t>
            </w:r>
          </w:p>
        </w:tc>
      </w:tr>
      <w:tr>
        <w:trPr>
          <w:trHeight w:val="183"/>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$305,014</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$772,965</w:t>
            </w:r>
          </w:p>
        </w:tc>
      </w:tr>
      <w:tr>
        <w:trPr>
          <w:trHeight w:val="183"/>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$244,011</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$618,372</w:t>
            </w:r>
          </w:p>
        </w:tc>
      </w:tr>
      <w:tr>
        <w:trPr>
          <w:trHeight w:val="266"/>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$86,473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$219,140</w:t>
            </w:r>
          </w:p>
        </w:tc>
      </w:tr>
    </w:tbl>
    <w:p>
      <w:pPr>
        <w:sectPr>
          <w:pgSz w:w="11900" w:h="16838" w:orient="portrait"/>
          <w:cols w:equalWidth="0" w:num="2">
            <w:col w:w="8682" w:space="280"/>
            <w:col w:w="2200"/>
          </w:cols>
          <w:pgMar w:left="238" w:top="639" w:right="499" w:bottom="1440" w:gutter="0" w:footer="0" w:header="0"/>
        </w:sectPr>
      </w:pPr>
    </w:p>
    <w:bookmarkStart w:id="9" w:name="page10"/>
    <w:bookmarkEnd w:id="9"/>
    <w:p>
      <w:pPr>
        <w:ind w:left="2" w:right="3540"/>
        <w:spacing w:after="0" w:line="280" w:lineRule="auto"/>
        <w:rPr>
          <w:sz w:val="20"/>
          <w:szCs w:val="20"/>
          <w:color w:val="auto"/>
        </w:rPr>
      </w:pPr>
      <w:r>
        <w:rPr>
          <w:rFonts w:ascii="Courier New" w:cs="Courier New" w:eastAsia="Courier New" w:hAnsi="Courier New"/>
          <w:sz w:val="16"/>
          <w:szCs w:val="16"/>
          <w:color w:val="auto"/>
        </w:rPr>
        <w:t>Aggregate Option Exercises and Fiscal Year-End Option Value Table. The following table sets forth information for the Named Executive Officers with respect to the exercise of stock options during fiscal 2002 and the year-end value of unexercised options.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266"/>
        </w:trPr>
        <w:tc>
          <w:tcPr>
            <w:tcW w:w="1800" w:type="dxa"/>
            <w:vAlign w:val="bottom"/>
          </w:tcPr>
          <w:p>
            <w:pPr>
              <w:spacing w:after="0"/>
              <w:rPr>
                <w:sz w:val="23"/>
                <w:szCs w:val="23"/>
                <w:color w:val="auto"/>
              </w:rPr>
            </w:pPr>
          </w:p>
        </w:tc>
        <w:tc>
          <w:tcPr>
            <w:tcW w:w="8260" w:type="dxa"/>
            <w:vAlign w:val="bottom"/>
            <w:gridSpan w:val="5"/>
          </w:tcPr>
          <w:p>
            <w:pPr>
              <w:jc w:val="right"/>
              <w:ind w:right="921"/>
              <w:spacing w:after="0"/>
              <w:rPr>
                <w:sz w:val="20"/>
                <w:szCs w:val="20"/>
                <w:color w:val="auto"/>
              </w:rPr>
            </w:pPr>
            <w:r>
              <w:rPr>
                <w:rFonts w:ascii="Courier New" w:cs="Courier New" w:eastAsia="Courier New" w:hAnsi="Courier New"/>
                <w:sz w:val="16"/>
                <w:szCs w:val="16"/>
                <w:color w:val="auto"/>
                <w:w w:val="99"/>
              </w:rPr>
              <w:t>Aggregated Option Exercises in Fiscal 2002 and Fiscal Year-End Option Values</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Number and Value of Securities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9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Underlying Exercisable/</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9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Unexercisable Shares (1)</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254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Shares</w:t>
            </w:r>
          </w:p>
        </w:tc>
        <w:tc>
          <w:tcPr>
            <w:tcW w:w="1520" w:type="dxa"/>
            <w:vAlign w:val="bottom"/>
          </w:tcPr>
          <w:p>
            <w:pPr>
              <w:spacing w:after="0"/>
              <w:rPr>
                <w:sz w:val="15"/>
                <w:szCs w:val="15"/>
                <w:color w:val="auto"/>
              </w:rPr>
            </w:pPr>
          </w:p>
        </w:tc>
        <w:tc>
          <w:tcPr>
            <w:tcW w:w="5300" w:type="dxa"/>
            <w:vAlign w:val="bottom"/>
            <w:gridSpan w:val="4"/>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180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2540" w:type="dxa"/>
            <w:vAlign w:val="bottom"/>
            <w:vMerge w:val="continue"/>
          </w:tcPr>
          <w:p>
            <w:pPr>
              <w:spacing w:after="0"/>
              <w:rPr>
                <w:sz w:val="15"/>
                <w:szCs w:val="15"/>
                <w:color w:val="auto"/>
              </w:rPr>
            </w:pPr>
          </w:p>
        </w:tc>
        <w:tc>
          <w:tcPr>
            <w:tcW w:w="152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Value</w:t>
            </w:r>
          </w:p>
        </w:tc>
        <w:tc>
          <w:tcPr>
            <w:tcW w:w="272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Exercisable</w:t>
            </w:r>
          </w:p>
        </w:tc>
        <w:tc>
          <w:tcPr>
            <w:tcW w:w="2580" w:type="dxa"/>
            <w:vAlign w:val="bottom"/>
            <w:gridSpan w:val="2"/>
          </w:tcPr>
          <w:p>
            <w:pPr>
              <w:jc w:val="right"/>
              <w:ind w:right="601"/>
              <w:spacing w:after="0"/>
              <w:rPr>
                <w:sz w:val="20"/>
                <w:szCs w:val="20"/>
                <w:color w:val="auto"/>
              </w:rPr>
            </w:pPr>
            <w:r>
              <w:rPr>
                <w:rFonts w:ascii="Courier New" w:cs="Courier New" w:eastAsia="Courier New" w:hAnsi="Courier New"/>
                <w:sz w:val="16"/>
                <w:szCs w:val="16"/>
                <w:color w:val="auto"/>
              </w:rPr>
              <w:t>Unexercisable</w:t>
            </w:r>
          </w:p>
        </w:tc>
        <w:tc>
          <w:tcPr>
            <w:tcW w:w="0" w:type="dxa"/>
            <w:vAlign w:val="bottom"/>
          </w:tcPr>
          <w:p>
            <w:pPr>
              <w:spacing w:after="0"/>
              <w:rPr>
                <w:sz w:val="1"/>
                <w:szCs w:val="1"/>
                <w:color w:val="auto"/>
              </w:rPr>
            </w:pPr>
          </w:p>
        </w:tc>
      </w:tr>
      <w:tr>
        <w:trPr>
          <w:trHeight w:val="183"/>
        </w:trPr>
        <w:tc>
          <w:tcPr>
            <w:tcW w:w="1800" w:type="dxa"/>
            <w:vAlign w:val="bottom"/>
            <w:vMerge w:val="continue"/>
          </w:tcPr>
          <w:p>
            <w:pPr>
              <w:spacing w:after="0"/>
              <w:rPr>
                <w:sz w:val="15"/>
                <w:szCs w:val="15"/>
                <w:color w:val="auto"/>
              </w:rPr>
            </w:pPr>
          </w:p>
        </w:tc>
        <w:tc>
          <w:tcPr>
            <w:tcW w:w="25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Acquired on</w:t>
            </w:r>
          </w:p>
        </w:tc>
        <w:tc>
          <w:tcPr>
            <w:tcW w:w="1520" w:type="dxa"/>
            <w:vAlign w:val="bottom"/>
            <w:vMerge w:val="continue"/>
          </w:tcPr>
          <w:p>
            <w:pPr>
              <w:spacing w:after="0"/>
              <w:rPr>
                <w:sz w:val="15"/>
                <w:szCs w:val="15"/>
                <w:color w:val="auto"/>
              </w:rPr>
            </w:pPr>
          </w:p>
        </w:tc>
        <w:tc>
          <w:tcPr>
            <w:tcW w:w="13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 of Shares</w:t>
            </w:r>
          </w:p>
        </w:tc>
        <w:tc>
          <w:tcPr>
            <w:tcW w:w="142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Value</w:t>
            </w:r>
          </w:p>
        </w:tc>
        <w:tc>
          <w:tcPr>
            <w:tcW w:w="14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 of shares</w:t>
            </w:r>
          </w:p>
        </w:tc>
        <w:tc>
          <w:tcPr>
            <w:tcW w:w="11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Value</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__________________</w:t>
            </w:r>
          </w:p>
        </w:tc>
        <w:tc>
          <w:tcPr>
            <w:tcW w:w="25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Exercise (#)</w:t>
            </w:r>
          </w:p>
        </w:tc>
        <w:tc>
          <w:tcPr>
            <w:tcW w:w="1520" w:type="dxa"/>
            <w:vAlign w:val="bottom"/>
          </w:tcPr>
          <w:p>
            <w:pPr>
              <w:ind w:left="240"/>
              <w:spacing w:after="0"/>
              <w:rPr>
                <w:sz w:val="20"/>
                <w:szCs w:val="20"/>
                <w:color w:val="auto"/>
              </w:rPr>
            </w:pPr>
            <w:r>
              <w:rPr>
                <w:rFonts w:ascii="Courier New" w:cs="Courier New" w:eastAsia="Courier New" w:hAnsi="Courier New"/>
                <w:sz w:val="16"/>
                <w:szCs w:val="16"/>
                <w:color w:val="auto"/>
              </w:rPr>
              <w:t>Realized ($)</w:t>
            </w:r>
          </w:p>
        </w:tc>
        <w:tc>
          <w:tcPr>
            <w:tcW w:w="13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800" w:type="dxa"/>
            <w:vAlign w:val="bottom"/>
          </w:tcPr>
          <w:p>
            <w:pPr>
              <w:spacing w:after="0"/>
              <w:rPr>
                <w:sz w:val="23"/>
                <w:szCs w:val="23"/>
                <w:color w:val="auto"/>
              </w:rPr>
            </w:pPr>
          </w:p>
        </w:tc>
        <w:tc>
          <w:tcPr>
            <w:tcW w:w="2540" w:type="dxa"/>
            <w:vAlign w:val="bottom"/>
          </w:tcPr>
          <w:p>
            <w:pPr>
              <w:jc w:val="center"/>
              <w:ind w:left="741"/>
              <w:spacing w:after="0"/>
              <w:rPr>
                <w:sz w:val="20"/>
                <w:szCs w:val="20"/>
                <w:color w:val="auto"/>
              </w:rPr>
            </w:pPr>
            <w:r>
              <w:rPr>
                <w:rFonts w:ascii="Courier New" w:cs="Courier New" w:eastAsia="Courier New" w:hAnsi="Courier New"/>
                <w:sz w:val="16"/>
                <w:szCs w:val="16"/>
                <w:color w:val="auto"/>
                <w:w w:val="99"/>
              </w:rPr>
              <w:t>-------------</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1800" w:type="dxa"/>
            <w:vAlign w:val="bottom"/>
          </w:tcPr>
          <w:p>
            <w:pPr>
              <w:spacing w:after="0"/>
              <w:rPr>
                <w:sz w:val="20"/>
                <w:szCs w:val="20"/>
                <w:color w:val="auto"/>
              </w:rPr>
            </w:pPr>
            <w:r>
              <w:rPr>
                <w:rFonts w:ascii="Courier New" w:cs="Courier New" w:eastAsia="Courier New" w:hAnsi="Courier New"/>
                <w:sz w:val="16"/>
                <w:szCs w:val="16"/>
                <w:color w:val="auto"/>
              </w:rPr>
              <w:t>Seymour Holtzman</w:t>
            </w:r>
          </w:p>
        </w:tc>
        <w:tc>
          <w:tcPr>
            <w:tcW w:w="2540" w:type="dxa"/>
            <w:vAlign w:val="bottom"/>
          </w:tcPr>
          <w:p>
            <w:pPr>
              <w:jc w:val="center"/>
              <w:ind w:left="741"/>
              <w:spacing w:after="0"/>
              <w:rPr>
                <w:sz w:val="20"/>
                <w:szCs w:val="20"/>
                <w:color w:val="auto"/>
              </w:rPr>
            </w:pPr>
            <w:r>
              <w:rPr>
                <w:rFonts w:ascii="Courier New" w:cs="Courier New" w:eastAsia="Courier New" w:hAnsi="Courier New"/>
                <w:sz w:val="16"/>
                <w:szCs w:val="16"/>
                <w:color w:val="auto"/>
                <w:w w:val="97"/>
              </w:rPr>
              <w:t>-0-</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w w:val="97"/>
              </w:rPr>
              <w:t>-0-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$40,938</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315,000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$77,563</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David A. Levin</w:t>
            </w:r>
          </w:p>
        </w:tc>
        <w:tc>
          <w:tcPr>
            <w:tcW w:w="2540" w:type="dxa"/>
            <w:vAlign w:val="bottom"/>
          </w:tcPr>
          <w:p>
            <w:pPr>
              <w:jc w:val="center"/>
              <w:ind w:left="741"/>
              <w:spacing w:after="0"/>
              <w:rPr>
                <w:sz w:val="20"/>
                <w:szCs w:val="20"/>
                <w:color w:val="auto"/>
              </w:rPr>
            </w:pPr>
            <w:r>
              <w:rPr>
                <w:rFonts w:ascii="Courier New" w:cs="Courier New" w:eastAsia="Courier New" w:hAnsi="Courier New"/>
                <w:sz w:val="16"/>
                <w:szCs w:val="16"/>
                <w:color w:val="auto"/>
                <w:w w:val="97"/>
              </w:rPr>
              <w:t>-0-</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w w:val="97"/>
              </w:rPr>
              <w:t>-0-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$281,250</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325,000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$577,500</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Dennis R. Hernreich</w:t>
            </w:r>
          </w:p>
        </w:tc>
        <w:tc>
          <w:tcPr>
            <w:tcW w:w="2540" w:type="dxa"/>
            <w:vAlign w:val="bottom"/>
          </w:tcPr>
          <w:p>
            <w:pPr>
              <w:jc w:val="center"/>
              <w:ind w:left="741"/>
              <w:spacing w:after="0"/>
              <w:rPr>
                <w:sz w:val="20"/>
                <w:szCs w:val="20"/>
                <w:color w:val="auto"/>
              </w:rPr>
            </w:pPr>
            <w:r>
              <w:rPr>
                <w:rFonts w:ascii="Courier New" w:cs="Courier New" w:eastAsia="Courier New" w:hAnsi="Courier New"/>
                <w:sz w:val="16"/>
                <w:szCs w:val="16"/>
                <w:color w:val="auto"/>
                <w:w w:val="97"/>
              </w:rPr>
              <w:t>-0-</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w w:val="97"/>
              </w:rPr>
              <w:t>-0-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28,334</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$52,293</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156,666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$16,582</w:t>
            </w:r>
          </w:p>
        </w:tc>
        <w:tc>
          <w:tcPr>
            <w:tcW w:w="0" w:type="dxa"/>
            <w:vAlign w:val="bottom"/>
          </w:tcPr>
          <w:p>
            <w:pPr>
              <w:spacing w:after="0"/>
              <w:rPr>
                <w:sz w:val="1"/>
                <w:szCs w:val="1"/>
                <w:color w:val="auto"/>
              </w:rPr>
            </w:pPr>
          </w:p>
        </w:tc>
      </w:tr>
      <w:tr>
        <w:trPr>
          <w:trHeight w:val="266"/>
        </w:trPr>
        <w:tc>
          <w:tcPr>
            <w:tcW w:w="1800" w:type="dxa"/>
            <w:vAlign w:val="bottom"/>
          </w:tcPr>
          <w:p>
            <w:pPr>
              <w:spacing w:after="0"/>
              <w:rPr>
                <w:sz w:val="20"/>
                <w:szCs w:val="20"/>
                <w:color w:val="auto"/>
              </w:rPr>
            </w:pPr>
            <w:r>
              <w:rPr>
                <w:rFonts w:ascii="Courier New" w:cs="Courier New" w:eastAsia="Courier New" w:hAnsi="Courier New"/>
                <w:sz w:val="16"/>
                <w:szCs w:val="16"/>
                <w:color w:val="auto"/>
              </w:rPr>
              <w:t>Ronald N. Batts</w:t>
            </w:r>
          </w:p>
        </w:tc>
        <w:tc>
          <w:tcPr>
            <w:tcW w:w="2540" w:type="dxa"/>
            <w:vAlign w:val="bottom"/>
          </w:tcPr>
          <w:p>
            <w:pPr>
              <w:jc w:val="center"/>
              <w:ind w:left="741"/>
              <w:spacing w:after="0"/>
              <w:rPr>
                <w:sz w:val="20"/>
                <w:szCs w:val="20"/>
                <w:color w:val="auto"/>
              </w:rPr>
            </w:pPr>
            <w:r>
              <w:rPr>
                <w:rFonts w:ascii="Courier New" w:cs="Courier New" w:eastAsia="Courier New" w:hAnsi="Courier New"/>
                <w:sz w:val="16"/>
                <w:szCs w:val="16"/>
                <w:color w:val="auto"/>
                <w:w w:val="97"/>
              </w:rPr>
              <w:t>-0-</w:t>
            </w: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w w:val="97"/>
              </w:rPr>
              <w:t>-0-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$62,500</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ind w:left="482" w:right="3620" w:hanging="482"/>
        <w:spacing w:after="0" w:line="388" w:lineRule="auto"/>
        <w:tabs>
          <w:tab w:leader="none" w:pos="48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amounts are based on the difference between the closing price of the Company's Common Stock on February 1, 2002 ($4.00) and the exercise price.</w:t>
      </w:r>
    </w:p>
    <w:p>
      <w:pPr>
        <w:spacing w:after="0" w:line="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401(k) Plan</w:t>
      </w:r>
    </w:p>
    <w:p>
      <w:pPr>
        <w:spacing w:after="0" w:line="186" w:lineRule="exact"/>
        <w:rPr>
          <w:sz w:val="20"/>
          <w:szCs w:val="20"/>
          <w:color w:val="auto"/>
        </w:rPr>
      </w:pPr>
    </w:p>
    <w:p>
      <w:pPr>
        <w:ind w:left="2" w:right="3620"/>
        <w:spacing w:after="0" w:line="255" w:lineRule="auto"/>
        <w:rPr>
          <w:sz w:val="20"/>
          <w:szCs w:val="20"/>
          <w:color w:val="auto"/>
        </w:rPr>
      </w:pPr>
      <w:r>
        <w:rPr>
          <w:rFonts w:ascii="Courier New" w:cs="Courier New" w:eastAsia="Courier New" w:hAnsi="Courier New"/>
          <w:sz w:val="16"/>
          <w:szCs w:val="16"/>
          <w:color w:val="auto"/>
        </w:rPr>
        <w:t>On January 27, 1993, the Board of Directors adopted the 401(k) Plan. All eligible employees of the Company are entitled to participate in such plan. The 401(k) Plan permits each participant to defer up to fifteen percent of such participant's annual salary up to a maximum annual amount ($11,000 in calendar year 2002 and $10,500 in calendar years 2001 and 2000). The Board of Directors of the Company may determine, from fiscal year to fiscal year, whether and to what extent the Company will contribute to the 401(k) Plan by matching contributions made to such plan by eligible employees. During fiscal 2002, the matching contribution by the Company continued to be 50% of contributions by eligible employees up to a maximum of six percent of salary.</w:t>
      </w:r>
    </w:p>
    <w:p>
      <w:pPr>
        <w:spacing w:after="0" w:line="9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Key Man Insurance</w:t>
      </w:r>
    </w:p>
    <w:p>
      <w:pPr>
        <w:spacing w:after="0" w:line="186" w:lineRule="exact"/>
        <w:rPr>
          <w:sz w:val="20"/>
          <w:szCs w:val="20"/>
          <w:color w:val="auto"/>
        </w:rPr>
      </w:pPr>
    </w:p>
    <w:p>
      <w:pPr>
        <w:jc w:val="both"/>
        <w:ind w:left="2" w:right="3720"/>
        <w:spacing w:after="0" w:line="280" w:lineRule="auto"/>
        <w:rPr>
          <w:sz w:val="20"/>
          <w:szCs w:val="20"/>
          <w:color w:val="auto"/>
        </w:rPr>
      </w:pPr>
      <w:r>
        <w:rPr>
          <w:rFonts w:ascii="Courier New" w:cs="Courier New" w:eastAsia="Courier New" w:hAnsi="Courier New"/>
          <w:sz w:val="16"/>
          <w:szCs w:val="16"/>
          <w:color w:val="auto"/>
        </w:rPr>
        <w:t>In fiscal 2001, the Company obtained a key man life insurance policy in the amount of $2,000,000 on the life of Mr. Levin. In fiscal 2002, the Company obtained a key man life insurance policy in the amount of $2,000,000 on the life of Mr. Hernreich.</w:t>
      </w:r>
    </w:p>
    <w:p>
      <w:pPr>
        <w:spacing w:after="0" w:line="7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Employment Agreements</w:t>
      </w:r>
    </w:p>
    <w:p>
      <w:pPr>
        <w:spacing w:after="0" w:line="186" w:lineRule="exact"/>
        <w:rPr>
          <w:sz w:val="20"/>
          <w:szCs w:val="20"/>
          <w:color w:val="auto"/>
        </w:rPr>
      </w:pPr>
    </w:p>
    <w:p>
      <w:pPr>
        <w:ind w:left="2" w:right="3540"/>
        <w:spacing w:after="0" w:line="280" w:lineRule="auto"/>
        <w:rPr>
          <w:sz w:val="20"/>
          <w:szCs w:val="20"/>
          <w:color w:val="auto"/>
        </w:rPr>
      </w:pPr>
      <w:r>
        <w:rPr>
          <w:rFonts w:ascii="Courier New" w:cs="Courier New" w:eastAsia="Courier New" w:hAnsi="Courier New"/>
          <w:sz w:val="16"/>
          <w:szCs w:val="16"/>
          <w:color w:val="auto"/>
        </w:rPr>
        <w:t>The Company entered into an employment agreement, effective as of March 31, 2000, with David A. Levin for a two-year term ending April 10, 2002. Mr. Levin's agreement was extended on April 10, 2001 by unanimous consent of the Board of Directors for an additional two-year term to end on April 10, 2004.</w:t>
      </w:r>
    </w:p>
    <w:p>
      <w:pPr>
        <w:spacing w:after="0" w:line="71" w:lineRule="exact"/>
        <w:rPr>
          <w:sz w:val="20"/>
          <w:szCs w:val="20"/>
          <w:color w:val="auto"/>
        </w:rPr>
      </w:pPr>
    </w:p>
    <w:p>
      <w:pPr>
        <w:ind w:left="2" w:right="3720"/>
        <w:spacing w:after="0" w:line="271" w:lineRule="auto"/>
        <w:rPr>
          <w:sz w:val="20"/>
          <w:szCs w:val="20"/>
          <w:color w:val="auto"/>
        </w:rPr>
      </w:pPr>
      <w:r>
        <w:rPr>
          <w:rFonts w:ascii="Courier New" w:cs="Courier New" w:eastAsia="Courier New" w:hAnsi="Courier New"/>
          <w:sz w:val="16"/>
          <w:szCs w:val="16"/>
          <w:color w:val="auto"/>
        </w:rPr>
        <w:t>As of September 4, 2000, the Company entered into an employment agreement with Dennis R. Hernreich for a one-year term ending September 1, 2001. Mr. Hernreich's agreement was also extended as of April 25, 2001 by unanimous consent of the Board of Directors for an additional one-year term to end on September 4, 2002.</w:t>
      </w:r>
    </w:p>
    <w:p>
      <w:pPr>
        <w:spacing w:after="0" w:line="77" w:lineRule="exact"/>
        <w:rPr>
          <w:sz w:val="20"/>
          <w:szCs w:val="20"/>
          <w:color w:val="auto"/>
        </w:rPr>
      </w:pPr>
    </w:p>
    <w:p>
      <w:pPr>
        <w:ind w:left="2" w:right="3820"/>
        <w:spacing w:after="0" w:line="355" w:lineRule="auto"/>
        <w:rPr>
          <w:sz w:val="20"/>
          <w:szCs w:val="20"/>
          <w:color w:val="auto"/>
        </w:rPr>
      </w:pPr>
      <w:r>
        <w:rPr>
          <w:rFonts w:ascii="Courier New" w:cs="Courier New" w:eastAsia="Courier New" w:hAnsi="Courier New"/>
          <w:sz w:val="16"/>
          <w:szCs w:val="16"/>
          <w:color w:val="auto"/>
        </w:rPr>
        <w:t>As of October 22, 2001, the Company entered into an employment agreement with Ronald N. Batts for a one-year term ending October 22, 2002.</w:t>
      </w:r>
    </w:p>
    <w:p>
      <w:pPr>
        <w:spacing w:after="0" w:line="14" w:lineRule="exact"/>
        <w:rPr>
          <w:sz w:val="20"/>
          <w:szCs w:val="20"/>
          <w:color w:val="auto"/>
        </w:rPr>
      </w:pPr>
    </w:p>
    <w:p>
      <w:pPr>
        <w:ind w:left="2" w:right="3540"/>
        <w:spacing w:after="0" w:line="271" w:lineRule="auto"/>
        <w:rPr>
          <w:sz w:val="20"/>
          <w:szCs w:val="20"/>
          <w:color w:val="auto"/>
        </w:rPr>
      </w:pPr>
      <w:r>
        <w:rPr>
          <w:rFonts w:ascii="Courier New" w:cs="Courier New" w:eastAsia="Courier New" w:hAnsi="Courier New"/>
          <w:sz w:val="16"/>
          <w:szCs w:val="16"/>
          <w:color w:val="auto"/>
        </w:rPr>
        <w:t>All three of these employment agreements with Messrs. Levin, Hernreich and Batts (collectively, the "Employment Agreements") automatically renew for successive one-year terms unless either party notifies the other to the contrary at least 90 days, or 60 days in the case of Mr. Batts, prior to expiration of the then current term.</w:t>
      </w:r>
    </w:p>
    <w:p>
      <w:pPr>
        <w:spacing w:after="0" w:line="200" w:lineRule="exact"/>
        <w:rPr>
          <w:sz w:val="20"/>
          <w:szCs w:val="20"/>
          <w:color w:val="auto"/>
        </w:rPr>
      </w:pPr>
    </w:p>
    <w:p>
      <w:pPr>
        <w:spacing w:after="0" w:line="24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162"/>
          </w:cols>
          <w:pgMar w:left="238" w:top="1006" w:right="499" w:bottom="1440" w:gutter="0" w:footer="0" w:header="0"/>
        </w:sectPr>
      </w:pPr>
    </w:p>
    <w:bookmarkStart w:id="10" w:name="page11"/>
    <w:bookmarkEnd w:id="10"/>
    <w:p>
      <w:pPr>
        <w:ind w:right="2599"/>
        <w:spacing w:after="0" w:line="248" w:lineRule="auto"/>
        <w:rPr>
          <w:sz w:val="20"/>
          <w:szCs w:val="20"/>
          <w:color w:val="auto"/>
        </w:rPr>
      </w:pPr>
      <w:r>
        <w:rPr>
          <w:rFonts w:ascii="Courier New" w:cs="Courier New" w:eastAsia="Courier New" w:hAnsi="Courier New"/>
          <w:sz w:val="16"/>
          <w:szCs w:val="16"/>
          <w:color w:val="auto"/>
        </w:rPr>
        <w:t>The Employment Agreements require each executive officer to devote substantially all of the executive officer's time and attention to the business of the Company as necessary to fulfill his respective duties. The Employment Agreements originally provided that Messrs. Levin, Hernreich and Batts would be paid base salaries at annual rates of $375,000, $225,000 and $240,000, respectively. The Employment Agreements with Messrs. Hernreich and Batts also contained a guaranteed discretionary prepayment of bonus in the annual amount of $15,000 and $24,000, respectively, which prepayments were eliminated in the case of Mr. Hernreich as of January 31, 2002. The Employment Agreements provide that the annual rate of base salary for the renewal term may be increased by the Compensation Committee of the Board of Directors in its sole discretion. The Employment Agreements also provide for the payment of bonuses in such amounts as may be determined by the Compensation Committee. While Messrs. Levin, Hernreich and Batts are employed by the Company, the Company will provide each executive an automobile allowance in the amount of $600 per month. Each executive is entitled to vacation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102" w:lineRule="exact"/>
        <w:rPr>
          <w:sz w:val="20"/>
          <w:szCs w:val="20"/>
          <w:color w:val="auto"/>
        </w:rPr>
      </w:pPr>
    </w:p>
    <w:p>
      <w:pPr>
        <w:jc w:val="both"/>
        <w:ind w:right="2779"/>
        <w:spacing w:after="0" w:line="261" w:lineRule="auto"/>
        <w:rPr>
          <w:sz w:val="20"/>
          <w:szCs w:val="20"/>
          <w:color w:val="auto"/>
        </w:rPr>
      </w:pPr>
      <w:r>
        <w:rPr>
          <w:rFonts w:ascii="Courier New" w:cs="Courier New" w:eastAsia="Courier New" w:hAnsi="Courier New"/>
          <w:sz w:val="16"/>
          <w:szCs w:val="16"/>
          <w:color w:val="auto"/>
        </w:rPr>
        <w:t>The Employment Agreements for Messrs. Hernreich and Batts also provide for reimbursement of expenses associated with their relocation to the Boston area. In accordance with their agreements, Messrs. Hernreich and Batts are entitled to receive a total amount of $85,000 for relocation costs. Mr. Hernreich received $85,000 less applicable taxes in fiscal 2001. In addition, Messrs. Hernreich and Batts are entitled to receive reimbursement for reasonable expenses associated with their temporary living arrangements.</w:t>
      </w:r>
    </w:p>
    <w:p>
      <w:pPr>
        <w:spacing w:after="0" w:line="87" w:lineRule="exact"/>
        <w:rPr>
          <w:sz w:val="20"/>
          <w:szCs w:val="20"/>
          <w:color w:val="auto"/>
        </w:rPr>
      </w:pPr>
    </w:p>
    <w:p>
      <w:pPr>
        <w:ind w:right="2599"/>
        <w:spacing w:after="0" w:line="271" w:lineRule="auto"/>
        <w:rPr>
          <w:sz w:val="20"/>
          <w:szCs w:val="20"/>
          <w:color w:val="auto"/>
        </w:rPr>
      </w:pPr>
      <w:r>
        <w:rPr>
          <w:rFonts w:ascii="Courier New" w:cs="Courier New" w:eastAsia="Courier New" w:hAnsi="Courier New"/>
          <w:sz w:val="15"/>
          <w:szCs w:val="15"/>
          <w:color w:val="auto"/>
        </w:rPr>
        <w:t>Mr. Levin is entitled to receive an annual bonus of up to 50%, Mr. Hernreich is entitled to receive an annual bonus of up to 45%, and Mr. Batts is entitled to receive an annual bonus of up to 40% of their respective annual base salaries depending on the performance of the Company. The Compensation Committee of the Board of Directors shall determine, in its sole discretion, the amount of bonus to be paid to the executive officers. Mr. Levin is entitled to receive an additional annual bonus of 10% if the Company meets its annual projections for its fiscal budget plan, as approved by the Board of Directors. Any bonus payable to Mr. Batts and, prior to fiscal 2003, Mr. Hernreich, would be first subject to reduction by the amount of the prepaid discretionary bonuses provided for in their Employment Agreements, as discussed above. No bonuses were paid, above the $15,000 paid to Mr. Hernreich and the $6,000 paid to Mr. Batts, in fiscal 2002.</w:t>
      </w:r>
    </w:p>
    <w:p>
      <w:pPr>
        <w:spacing w:after="0" w:line="82"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6"/>
          <w:szCs w:val="16"/>
          <w:color w:val="auto"/>
        </w:rPr>
        <w:t>On January 31, 2002, the Compensation Committee approved bonuses for Messrs. Levin and Hernreich for fiscal 2002 in the amount of $70,000 and $45,000, respectively. These bonuses were paid in fiscal 2003; however, the amount then paid to Mr. Hernreich was $30,000, which reflected the $15,000 prepayment paid in fiscal 2002.</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May 14, 2002, the Company acquired substantially all of the assets and</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assumed certain operating liabilities of Casual Male Corp. and certain of 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("Casual Male"). In connection with that acquisition,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approved increases in the base salaries of Messrs. Levin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Hernreich to $500,000 and $325,000, respectively. In addition, in connection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Company's acquisition of Casual Male, Messrs. Levin and Hernreich each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received an additional bonus of $200,000. Mr. Batts' base salary was increased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$275,000 and includes a guaranteed discretionary prepayment of bonus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 On May 1, 2002, each of Messrs. Levin and Hernreich was granted options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acquire 75,000 shares of Common Stock, subject to completion of the Casual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Male acquisition, at an exercise price of $4.58 per share, equal to the closing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of the Common Stock on that date, which options vest ratably over a three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period.</w:t>
      </w:r>
    </w:p>
    <w:p>
      <w:pPr>
        <w:spacing w:after="0" w:line="158"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The Employment Agreements provide that in the event the executive officer's employment is terminated by the Company at any time for any reason other than "justifiable cause" (as defined in the Employment Agreements), disability or death, the Company is required to pay executive the lesser of (1) the base salary for the remaining term of the related Employment Agreement or (2) an amount equal to one half of the executive's annual salary. If the remaining term of the related Employment Agreement on the date of termination is more than six months, the executive must make a good faith effort to find new employment and mitigate damages, costs and expenses to the Company. If he is terminated without justifiable cause within one year after a Change of Control of the Company (as defined in the Employment Agreements) has occurred, the executive shall receive a lump sum payment in the amount of (1) the base salary for the remaining term of the related Employment Agreement or (2) an amount equal to the current base salary for one year. The Employment Agreements contain confidentiality provisions pursuant to</w:t>
      </w: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39" w:right="1440" w:bottom="597" w:gutter="0" w:footer="0" w:header="0"/>
        </w:sectPr>
      </w:pPr>
    </w:p>
    <w:bookmarkStart w:id="11" w:name="page12"/>
    <w:bookmarkEnd w:id="11"/>
    <w:p>
      <w:pPr>
        <w:ind w:right="2679"/>
        <w:spacing w:after="0" w:line="271" w:lineRule="auto"/>
        <w:rPr>
          <w:sz w:val="20"/>
          <w:szCs w:val="20"/>
          <w:color w:val="auto"/>
        </w:rPr>
      </w:pPr>
      <w:r>
        <w:rPr>
          <w:rFonts w:ascii="Courier New" w:cs="Courier New" w:eastAsia="Courier New" w:hAnsi="Courier New"/>
          <w:sz w:val="16"/>
          <w:szCs w:val="16"/>
          <w:color w:val="auto"/>
        </w:rPr>
        <w:t>which each executive agrees not to disclose confidential information regarding the Company. The Employment Agreements also contain covenants pursuant to which each executive agrees, during the term of his employment and for a one-year period following the termination of his employment, not to have any connection with any business which competes with the business of the Company.</w:t>
      </w:r>
    </w:p>
    <w:p>
      <w:pPr>
        <w:spacing w:after="0" w:line="77"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For purposes of the Employment Agreements, a "Change in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02" w:lineRule="exact"/>
        <w:rPr>
          <w:sz w:val="20"/>
          <w:szCs w:val="20"/>
          <w:color w:val="auto"/>
        </w:rPr>
      </w:pPr>
    </w:p>
    <w:p>
      <w:pPr>
        <w:ind w:right="2599"/>
        <w:spacing w:after="0" w:line="267" w:lineRule="auto"/>
        <w:rPr>
          <w:sz w:val="20"/>
          <w:szCs w:val="20"/>
          <w:color w:val="auto"/>
        </w:rPr>
      </w:pPr>
      <w:r>
        <w:rPr>
          <w:rFonts w:ascii="Courier New" w:cs="Courier New" w:eastAsia="Courier New" w:hAnsi="Courier New"/>
          <w:sz w:val="15"/>
          <w:szCs w:val="15"/>
          <w:color w:val="auto"/>
        </w:rPr>
        <w:t>On May 25, 2001, the Board of Directors determined to hire Seymour Holtzman, who had served as the Company's non-employee Chairman of the Board, as an executive officer of the Company. In connection with his hiring, the Board awarded Mr. Holtzman an option to purchase an aggregate of 300,000 shares of the Company's Common Stock at an exercise price of $3.88 per share, equal to the closing price of the Common Stock on that date. The option vests at a rate of 100,000 shares per year over three years and expires ten years from date of grant. The option represents the principal portion of Mr. Holtzman's compensation as an employee of the Company to date. Mr. Holtzman received $18,616 in other compensation as an employee during fiscal 2002, and received $3,000 in directors' fees with respect to service as a non-employee director prior to May 25, 2001. On May 14, 2002, in connection with the Company's acquisition of Casual Male, Mr. Holtzman received a bonus of $200,000. On May 1, 2002, Mr. Holtzman was granted options to acquire 200,000 shares of Common Stock, subject to completion of the Casual Male acquisition, at an exercise price of $4.58 per share, equal to the closing price of the Common Stock on that date. Mr. Holtzman is otherwise subject to an employment agreement on terms substantially similar to those of the Employment Agreements described above.</w:t>
      </w:r>
    </w:p>
    <w:p>
      <w:pPr>
        <w:spacing w:after="0" w:line="200" w:lineRule="exact"/>
        <w:rPr>
          <w:sz w:val="20"/>
          <w:szCs w:val="20"/>
          <w:color w:val="auto"/>
        </w:rPr>
      </w:pPr>
    </w:p>
    <w:p>
      <w:pPr>
        <w:spacing w:after="0" w:line="2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39" w:right="1440" w:bottom="1440" w:gutter="0" w:footer="0" w:header="0"/>
        </w:sectPr>
      </w:pPr>
    </w:p>
    <w:bookmarkStart w:id="12" w:name="page13"/>
    <w:bookmarkEnd w:id="12"/>
    <w:p>
      <w:pPr>
        <w:ind w:left="762"/>
        <w:spacing w:after="0"/>
        <w:rPr>
          <w:sz w:val="20"/>
          <w:szCs w:val="20"/>
          <w:color w:val="auto"/>
        </w:rPr>
      </w:pPr>
      <w:r>
        <w:rPr>
          <w:rFonts w:ascii="Courier New" w:cs="Courier New" w:eastAsia="Courier New" w:hAnsi="Courier New"/>
          <w:sz w:val="16"/>
          <w:szCs w:val="16"/>
          <w:color w:val="auto"/>
        </w:rPr>
        <w:t>SECURITY OWNERSHIP OF CERTAIN BENEFICIAL OWNERS AND MANAGEMENT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186" w:lineRule="exact"/>
        <w:rPr>
          <w:sz w:val="20"/>
          <w:szCs w:val="20"/>
          <w:color w:val="auto"/>
        </w:rPr>
      </w:pPr>
    </w:p>
    <w:p>
      <w:pPr>
        <w:ind w:left="2" w:right="2599"/>
        <w:spacing w:after="0" w:line="271" w:lineRule="auto"/>
        <w:rPr>
          <w:sz w:val="20"/>
          <w:szCs w:val="20"/>
          <w:color w:val="auto"/>
        </w:rPr>
      </w:pPr>
      <w:r>
        <w:rPr>
          <w:rFonts w:ascii="Courier New" w:cs="Courier New" w:eastAsia="Courier New" w:hAnsi="Courier New"/>
          <w:sz w:val="16"/>
          <w:szCs w:val="16"/>
          <w:color w:val="auto"/>
        </w:rPr>
        <w:t>The following table sets forth certain information with respect to persons known to the Company to be the beneficial owners of more than five percent of the issued and outstanding shares of Common Stock as of May 17, 2002. This information has been updated from the information provided in the Company's Annual Report on Form 10-K filed with the Commission on May 1, 2002.</w:t>
      </w:r>
    </w:p>
    <w:p>
      <w:pPr>
        <w:spacing w:after="0" w:line="77" w:lineRule="exact"/>
        <w:rPr>
          <w:sz w:val="20"/>
          <w:szCs w:val="20"/>
          <w:color w:val="auto"/>
        </w:rPr>
      </w:pPr>
    </w:p>
    <w:p>
      <w:pPr>
        <w:ind w:left="2" w:right="2599"/>
        <w:spacing w:after="0" w:line="250" w:lineRule="auto"/>
        <w:rPr>
          <w:sz w:val="20"/>
          <w:szCs w:val="20"/>
          <w:color w:val="auto"/>
        </w:rPr>
      </w:pPr>
      <w:r>
        <w:rPr>
          <w:rFonts w:ascii="Courier New" w:cs="Courier New" w:eastAsia="Courier New" w:hAnsi="Courier New"/>
          <w:sz w:val="16"/>
          <w:szCs w:val="16"/>
          <w:color w:val="auto"/>
        </w:rPr>
        <w:t>This information includes shares of Common Stock issued in a private placement in connection with financing for the Company's May 2002 acquisition of substantially all of the assets and the assumption of certain operating liabilities of Casual Male (the "Casual Male Acquisition"). The information does not include shares of the Company's Series B Convertible Preferred Stock ("Series B Preferred Stock"), which are non-voting and are currently not convertible into shares of Common Stock, and certain warrants to acquire shares of Common Stock, as to which the issuance of Common Stock upon exercise of such warrants is subject to stockholder approval (the "Conditional Warrants"), all of which were issued in private placements in connection with financing for the Casual Male Acquisition. However, the Series B Preferred Stock will be automatically converted into shares of Common Stock and the Conditional Warrants will become exercisable for shares of Common Stock upon stockholders' approval of the issuance of such Common Stock. See "Proposal 4 - Issuance of Additional Common Stock" for more information.</w:t>
      </w:r>
    </w:p>
    <w:p>
      <w:pPr>
        <w:spacing w:after="0" w:line="102" w:lineRule="exact"/>
        <w:rPr>
          <w:sz w:val="20"/>
          <w:szCs w:val="20"/>
          <w:color w:val="auto"/>
        </w:rPr>
      </w:pPr>
    </w:p>
    <w:p>
      <w:pPr>
        <w:ind w:left="2" w:right="2779"/>
        <w:spacing w:after="0" w:line="280" w:lineRule="auto"/>
        <w:rPr>
          <w:sz w:val="20"/>
          <w:szCs w:val="20"/>
          <w:color w:val="auto"/>
        </w:rPr>
      </w:pPr>
      <w:r>
        <w:rPr>
          <w:rFonts w:ascii="Courier New" w:cs="Courier New" w:eastAsia="Courier New" w:hAnsi="Courier New"/>
          <w:sz w:val="16"/>
          <w:szCs w:val="16"/>
          <w:color w:val="auto"/>
        </w:rPr>
        <w:t>The Company is informed that, except as indicated, each person has sole voting and investment power with respect to all shares of Common Stock shown as beneficially owned by such person, subject to community property laws where applicable.</w:t>
      </w:r>
    </w:p>
    <w:p>
      <w:pPr>
        <w:spacing w:after="0" w:line="71"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3960" w:type="dxa"/>
            <w:vAlign w:val="bottom"/>
            <w:vMerge w:val="restart"/>
          </w:tcPr>
          <w:p>
            <w:pPr>
              <w:spacing w:after="0"/>
              <w:rPr>
                <w:sz w:val="20"/>
                <w:szCs w:val="20"/>
                <w:color w:val="auto"/>
              </w:rPr>
            </w:pPr>
            <w:r>
              <w:rPr>
                <w:rFonts w:ascii="Courier New" w:cs="Courier New" w:eastAsia="Courier New" w:hAnsi="Courier New"/>
                <w:sz w:val="16"/>
                <w:szCs w:val="16"/>
                <w:color w:val="auto"/>
              </w:rPr>
              <w:t>Name and Address of Beneficial Owner</w:t>
            </w:r>
          </w:p>
        </w:tc>
        <w:tc>
          <w:tcPr>
            <w:tcW w:w="224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rPr>
              <w:t>Number of Shares</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183"/>
        </w:trPr>
        <w:tc>
          <w:tcPr>
            <w:tcW w:w="3960" w:type="dxa"/>
            <w:vAlign w:val="bottom"/>
            <w:vMerge w:val="continue"/>
          </w:tcPr>
          <w:p>
            <w:pPr>
              <w:spacing w:after="0"/>
              <w:rPr>
                <w:sz w:val="15"/>
                <w:szCs w:val="15"/>
                <w:color w:val="auto"/>
              </w:rPr>
            </w:pPr>
          </w:p>
        </w:tc>
        <w:tc>
          <w:tcPr>
            <w:tcW w:w="2240" w:type="dxa"/>
            <w:vAlign w:val="bottom"/>
            <w:gridSpan w:val="2"/>
          </w:tcPr>
          <w:p>
            <w:pPr>
              <w:jc w:val="center"/>
              <w:ind w:left="41"/>
              <w:spacing w:after="0"/>
              <w:rPr>
                <w:sz w:val="20"/>
                <w:szCs w:val="20"/>
                <w:color w:val="auto"/>
              </w:rPr>
            </w:pPr>
            <w:r>
              <w:rPr>
                <w:rFonts w:ascii="Courier New" w:cs="Courier New" w:eastAsia="Courier New" w:hAnsi="Courier New"/>
                <w:sz w:val="16"/>
                <w:szCs w:val="16"/>
                <w:color w:val="auto"/>
                <w:w w:val="99"/>
              </w:rPr>
              <w:t>Beneficially Owned</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of Class (1)</w:t>
            </w:r>
          </w:p>
        </w:tc>
        <w:tc>
          <w:tcPr>
            <w:tcW w:w="0" w:type="dxa"/>
            <w:vAlign w:val="bottom"/>
          </w:tcPr>
          <w:p>
            <w:pPr>
              <w:spacing w:after="0"/>
              <w:rPr>
                <w:sz w:val="1"/>
                <w:szCs w:val="1"/>
                <w:color w:val="auto"/>
              </w:rPr>
            </w:pPr>
          </w:p>
        </w:tc>
      </w:tr>
      <w:tr>
        <w:trPr>
          <w:trHeight w:val="266"/>
        </w:trPr>
        <w:tc>
          <w:tcPr>
            <w:tcW w:w="39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40" w:type="dxa"/>
            <w:vAlign w:val="bottom"/>
            <w:gridSpan w:val="2"/>
          </w:tcPr>
          <w:p>
            <w:pPr>
              <w:ind w:left="520"/>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67"/>
        </w:trPr>
        <w:tc>
          <w:tcPr>
            <w:tcW w:w="3960" w:type="dxa"/>
            <w:vAlign w:val="bottom"/>
          </w:tcPr>
          <w:p>
            <w:pPr>
              <w:spacing w:after="0"/>
              <w:rPr>
                <w:sz w:val="20"/>
                <w:szCs w:val="20"/>
                <w:color w:val="auto"/>
              </w:rPr>
            </w:pPr>
            <w:r>
              <w:rPr>
                <w:rFonts w:ascii="Courier New" w:cs="Courier New" w:eastAsia="Courier New" w:hAnsi="Courier New"/>
                <w:sz w:val="16"/>
                <w:szCs w:val="16"/>
                <w:color w:val="auto"/>
              </w:rPr>
              <w:t>Jewelcor Management, Inc.</w:t>
            </w:r>
          </w:p>
        </w:tc>
        <w:tc>
          <w:tcPr>
            <w:tcW w:w="1420" w:type="dxa"/>
            <w:vAlign w:val="bottom"/>
          </w:tcPr>
          <w:p>
            <w:pPr>
              <w:ind w:left="520"/>
              <w:spacing w:after="0"/>
              <w:rPr>
                <w:sz w:val="20"/>
                <w:szCs w:val="20"/>
                <w:color w:val="auto"/>
              </w:rPr>
            </w:pPr>
            <w:r>
              <w:rPr>
                <w:rFonts w:ascii="Courier New" w:cs="Courier New" w:eastAsia="Courier New" w:hAnsi="Courier New"/>
                <w:sz w:val="16"/>
                <w:szCs w:val="16"/>
                <w:color w:val="auto"/>
              </w:rPr>
              <w:t>3,212,882</w:t>
            </w:r>
          </w:p>
        </w:tc>
        <w:tc>
          <w:tcPr>
            <w:tcW w:w="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w:t>
            </w:r>
          </w:p>
        </w:tc>
        <w:tc>
          <w:tcPr>
            <w:tcW w:w="13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19.64%</w:t>
            </w:r>
          </w:p>
        </w:tc>
        <w:tc>
          <w:tcPr>
            <w:tcW w:w="0" w:type="dxa"/>
            <w:vAlign w:val="bottom"/>
          </w:tcPr>
          <w:p>
            <w:pPr>
              <w:spacing w:after="0"/>
              <w:rPr>
                <w:sz w:val="1"/>
                <w:szCs w:val="1"/>
                <w:color w:val="auto"/>
              </w:rPr>
            </w:pP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100 N. Wilkes Barre Blvd.</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960" w:type="dxa"/>
            <w:vAlign w:val="bottom"/>
          </w:tcPr>
          <w:p>
            <w:pPr>
              <w:spacing w:after="0"/>
              <w:rPr>
                <w:sz w:val="20"/>
                <w:szCs w:val="20"/>
                <w:color w:val="auto"/>
              </w:rPr>
            </w:pPr>
            <w:r>
              <w:rPr>
                <w:rFonts w:ascii="Courier New" w:cs="Courier New" w:eastAsia="Courier New" w:hAnsi="Courier New"/>
                <w:sz w:val="16"/>
                <w:szCs w:val="16"/>
                <w:color w:val="auto"/>
              </w:rPr>
              <w:t>Wilkes Barre, Pennsylvania  18702</w:t>
            </w: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960" w:type="dxa"/>
            <w:vAlign w:val="bottom"/>
          </w:tcPr>
          <w:p>
            <w:pPr>
              <w:spacing w:after="0"/>
              <w:rPr>
                <w:sz w:val="20"/>
                <w:szCs w:val="20"/>
                <w:color w:val="auto"/>
              </w:rPr>
            </w:pPr>
            <w:r>
              <w:rPr>
                <w:rFonts w:ascii="Courier New" w:cs="Courier New" w:eastAsia="Courier New" w:hAnsi="Courier New"/>
                <w:sz w:val="16"/>
                <w:szCs w:val="16"/>
                <w:color w:val="auto"/>
              </w:rPr>
              <w:t>Putnam Investments</w:t>
            </w:r>
          </w:p>
        </w:tc>
        <w:tc>
          <w:tcPr>
            <w:tcW w:w="1420" w:type="dxa"/>
            <w:vAlign w:val="bottom"/>
          </w:tcPr>
          <w:p>
            <w:pPr>
              <w:ind w:left="520"/>
              <w:spacing w:after="0"/>
              <w:rPr>
                <w:sz w:val="20"/>
                <w:szCs w:val="20"/>
                <w:color w:val="auto"/>
              </w:rPr>
            </w:pPr>
            <w:r>
              <w:rPr>
                <w:rFonts w:ascii="Courier New" w:cs="Courier New" w:eastAsia="Courier New" w:hAnsi="Courier New"/>
                <w:sz w:val="16"/>
                <w:szCs w:val="16"/>
                <w:color w:val="auto"/>
              </w:rPr>
              <w:t>1,379,300</w:t>
            </w:r>
          </w:p>
        </w:tc>
        <w:tc>
          <w:tcPr>
            <w:tcW w:w="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w:t>
            </w:r>
          </w:p>
        </w:tc>
        <w:tc>
          <w:tcPr>
            <w:tcW w:w="13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8.64%</w:t>
            </w:r>
          </w:p>
        </w:tc>
        <w:tc>
          <w:tcPr>
            <w:tcW w:w="0" w:type="dxa"/>
            <w:vAlign w:val="bottom"/>
          </w:tcPr>
          <w:p>
            <w:pPr>
              <w:spacing w:after="0"/>
              <w:rPr>
                <w:sz w:val="1"/>
                <w:szCs w:val="1"/>
                <w:color w:val="auto"/>
              </w:rPr>
            </w:pP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One Post Office Square</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960" w:type="dxa"/>
            <w:vAlign w:val="bottom"/>
          </w:tcPr>
          <w:p>
            <w:pPr>
              <w:spacing w:after="0"/>
              <w:rPr>
                <w:sz w:val="20"/>
                <w:szCs w:val="20"/>
                <w:color w:val="auto"/>
              </w:rPr>
            </w:pPr>
            <w:r>
              <w:rPr>
                <w:rFonts w:ascii="Courier New" w:cs="Courier New" w:eastAsia="Courier New" w:hAnsi="Courier New"/>
                <w:sz w:val="16"/>
                <w:szCs w:val="16"/>
                <w:color w:val="auto"/>
              </w:rPr>
              <w:t>Boston, Massachusetts 02109</w:t>
            </w: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960" w:type="dxa"/>
            <w:vAlign w:val="bottom"/>
          </w:tcPr>
          <w:p>
            <w:pPr>
              <w:spacing w:after="0"/>
              <w:rPr>
                <w:sz w:val="20"/>
                <w:szCs w:val="20"/>
                <w:color w:val="auto"/>
              </w:rPr>
            </w:pPr>
            <w:r>
              <w:rPr>
                <w:rFonts w:ascii="Courier New" w:cs="Courier New" w:eastAsia="Courier New" w:hAnsi="Courier New"/>
                <w:sz w:val="16"/>
                <w:szCs w:val="16"/>
                <w:color w:val="auto"/>
              </w:rPr>
              <w:t>Franklin Resources, Inc.</w:t>
            </w:r>
          </w:p>
        </w:tc>
        <w:tc>
          <w:tcPr>
            <w:tcW w:w="1420" w:type="dxa"/>
            <w:vAlign w:val="bottom"/>
          </w:tcPr>
          <w:p>
            <w:pPr>
              <w:ind w:left="520"/>
              <w:spacing w:after="0"/>
              <w:rPr>
                <w:sz w:val="20"/>
                <w:szCs w:val="20"/>
                <w:color w:val="auto"/>
              </w:rPr>
            </w:pPr>
            <w:r>
              <w:rPr>
                <w:rFonts w:ascii="Courier New" w:cs="Courier New" w:eastAsia="Courier New" w:hAnsi="Courier New"/>
                <w:sz w:val="16"/>
                <w:szCs w:val="16"/>
                <w:color w:val="auto"/>
              </w:rPr>
              <w:t>1,030,000</w:t>
            </w:r>
          </w:p>
        </w:tc>
        <w:tc>
          <w:tcPr>
            <w:tcW w:w="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w:t>
            </w:r>
          </w:p>
        </w:tc>
        <w:tc>
          <w:tcPr>
            <w:tcW w:w="13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6.45%</w:t>
            </w:r>
          </w:p>
        </w:tc>
        <w:tc>
          <w:tcPr>
            <w:tcW w:w="0" w:type="dxa"/>
            <w:vAlign w:val="bottom"/>
          </w:tcPr>
          <w:p>
            <w:pPr>
              <w:spacing w:after="0"/>
              <w:rPr>
                <w:sz w:val="1"/>
                <w:szCs w:val="1"/>
                <w:color w:val="auto"/>
              </w:rPr>
            </w:pP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One Franklin Parkway</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960" w:type="dxa"/>
            <w:vAlign w:val="bottom"/>
          </w:tcPr>
          <w:p>
            <w:pPr>
              <w:spacing w:after="0"/>
              <w:rPr>
                <w:sz w:val="20"/>
                <w:szCs w:val="20"/>
                <w:color w:val="auto"/>
              </w:rPr>
            </w:pPr>
            <w:r>
              <w:rPr>
                <w:rFonts w:ascii="Courier New" w:cs="Courier New" w:eastAsia="Courier New" w:hAnsi="Courier New"/>
                <w:sz w:val="16"/>
                <w:szCs w:val="16"/>
                <w:color w:val="auto"/>
              </w:rPr>
              <w:t>San Mateo, California  94403</w:t>
            </w: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960" w:type="dxa"/>
            <w:vAlign w:val="bottom"/>
          </w:tcPr>
          <w:p>
            <w:pPr>
              <w:spacing w:after="0"/>
              <w:rPr>
                <w:sz w:val="20"/>
                <w:szCs w:val="20"/>
                <w:color w:val="auto"/>
              </w:rPr>
            </w:pPr>
            <w:r>
              <w:rPr>
                <w:rFonts w:ascii="Courier New" w:cs="Courier New" w:eastAsia="Courier New" w:hAnsi="Courier New"/>
                <w:sz w:val="16"/>
                <w:szCs w:val="16"/>
                <w:color w:val="auto"/>
              </w:rPr>
              <w:t>Stanley I. Berger</w:t>
            </w:r>
          </w:p>
        </w:tc>
        <w:tc>
          <w:tcPr>
            <w:tcW w:w="1420" w:type="dxa"/>
            <w:vAlign w:val="bottom"/>
          </w:tcPr>
          <w:p>
            <w:pPr>
              <w:ind w:left="520"/>
              <w:spacing w:after="0"/>
              <w:rPr>
                <w:sz w:val="20"/>
                <w:szCs w:val="20"/>
                <w:color w:val="auto"/>
              </w:rPr>
            </w:pPr>
            <w:r>
              <w:rPr>
                <w:rFonts w:ascii="Courier New" w:cs="Courier New" w:eastAsia="Courier New" w:hAnsi="Courier New"/>
                <w:sz w:val="16"/>
                <w:szCs w:val="16"/>
                <w:color w:val="auto"/>
              </w:rPr>
              <w:t>1,019,002</w:t>
            </w:r>
          </w:p>
        </w:tc>
        <w:tc>
          <w:tcPr>
            <w:tcW w:w="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w:t>
            </w:r>
          </w:p>
        </w:tc>
        <w:tc>
          <w:tcPr>
            <w:tcW w:w="13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6.37%</w:t>
            </w:r>
          </w:p>
        </w:tc>
        <w:tc>
          <w:tcPr>
            <w:tcW w:w="0" w:type="dxa"/>
            <w:vAlign w:val="bottom"/>
          </w:tcPr>
          <w:p>
            <w:pPr>
              <w:spacing w:after="0"/>
              <w:rPr>
                <w:sz w:val="1"/>
                <w:szCs w:val="1"/>
                <w:color w:val="auto"/>
              </w:rPr>
            </w:pP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100 Essex Road</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960" w:type="dxa"/>
            <w:vAlign w:val="bottom"/>
          </w:tcPr>
          <w:p>
            <w:pPr>
              <w:spacing w:after="0"/>
              <w:rPr>
                <w:sz w:val="20"/>
                <w:szCs w:val="20"/>
                <w:color w:val="auto"/>
              </w:rPr>
            </w:pPr>
            <w:r>
              <w:rPr>
                <w:rFonts w:ascii="Courier New" w:cs="Courier New" w:eastAsia="Courier New" w:hAnsi="Courier New"/>
                <w:sz w:val="16"/>
                <w:szCs w:val="16"/>
                <w:color w:val="auto"/>
              </w:rPr>
              <w:t>Chestnut Hill, Massachusetts 02467</w:t>
            </w: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82" w:right="3159" w:hanging="482"/>
        <w:spacing w:after="0" w:line="355" w:lineRule="auto"/>
        <w:tabs>
          <w:tab w:leader="none" w:pos="4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May 17, 2002, 15,961,343 shares of Common Stock were issued and outstanding.</w:t>
      </w:r>
    </w:p>
    <w:p>
      <w:pPr>
        <w:spacing w:after="0" w:line="14" w:lineRule="exact"/>
        <w:rPr>
          <w:rFonts w:ascii="Courier New" w:cs="Courier New" w:eastAsia="Courier New" w:hAnsi="Courier New"/>
          <w:sz w:val="16"/>
          <w:szCs w:val="16"/>
          <w:color w:val="auto"/>
        </w:rPr>
      </w:pPr>
    </w:p>
    <w:p>
      <w:pPr>
        <w:ind w:left="482" w:right="2599" w:hanging="482"/>
        <w:spacing w:after="0" w:line="253" w:lineRule="auto"/>
        <w:tabs>
          <w:tab w:leader="none" w:pos="4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received Amendment No. 41 to Schedule 13D dated May 24, 2002, stating that Jewelcor Management, Inc. ("JMI") was the beneficial owner of the number of shares of Common Stock set forth opposite its name in the table. Includes options to acquire 400,000 shares of Common Stock. Excludes 137,765 shares, including options to acquire 125,000 shares, owned individually by Seymour Holtzman and 30,000 shares owned by Mr. Holtzman's grandchildren. Includes 60,659 shares of Common Stock issued to JMI pursuant to a consulting agreement with the Company, which agreement was extended effective April 29, 2002. Excludes an aggregate of 549,559 shares of Common Stock subject to Conditional Warrants issued to JMI which will become exercisable upon stockholder approval thereof pursuant to Proposal 4, but which are not currently exercisable.</w:t>
      </w:r>
    </w:p>
    <w:p>
      <w:pPr>
        <w:spacing w:after="0" w:line="200" w:lineRule="exact"/>
        <w:rPr>
          <w:sz w:val="20"/>
          <w:szCs w:val="20"/>
          <w:color w:val="auto"/>
        </w:rPr>
      </w:pPr>
    </w:p>
    <w:p>
      <w:pPr>
        <w:spacing w:after="0" w:line="25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8" w:top="823" w:right="1440" w:bottom="1440" w:gutter="0" w:footer="0" w:header="0"/>
        </w:sectPr>
      </w:pPr>
    </w:p>
    <w:bookmarkStart w:id="13" w:name="page14"/>
    <w:bookmarkEnd w:id="13"/>
    <w:p>
      <w:pPr>
        <w:ind w:left="482" w:right="2860" w:hanging="482"/>
        <w:spacing w:after="0" w:line="280" w:lineRule="auto"/>
        <w:tabs>
          <w:tab w:leader="none" w:pos="4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understands that Putnam Investments was the beneficial owner of the number of shares of Common Stock set forth opposite its name in the table. These shares were acquired in a private placement in connection with financing for the Company's acquisition of Casual Male.</w:t>
      </w:r>
    </w:p>
    <w:p>
      <w:pPr>
        <w:spacing w:after="0" w:line="71" w:lineRule="exact"/>
        <w:rPr>
          <w:rFonts w:ascii="Courier New" w:cs="Courier New" w:eastAsia="Courier New" w:hAnsi="Courier New"/>
          <w:sz w:val="16"/>
          <w:szCs w:val="16"/>
          <w:color w:val="auto"/>
        </w:rPr>
      </w:pPr>
    </w:p>
    <w:p>
      <w:pPr>
        <w:ind w:left="482" w:right="3140" w:hanging="482"/>
        <w:spacing w:after="0" w:line="327" w:lineRule="auto"/>
        <w:tabs>
          <w:tab w:leader="none" w:pos="48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received a Schedule 13G dated February 14, 2002, stating that Franklin Resources, Inc. was the beneficial owner of the number of shares of Common Stock set forth opposite its name in the table.</w:t>
      </w:r>
    </w:p>
    <w:p>
      <w:pPr>
        <w:spacing w:after="0" w:line="39" w:lineRule="exact"/>
        <w:rPr>
          <w:rFonts w:ascii="Courier New" w:cs="Courier New" w:eastAsia="Courier New" w:hAnsi="Courier New"/>
          <w:sz w:val="15"/>
          <w:szCs w:val="15"/>
          <w:color w:val="auto"/>
        </w:rPr>
      </w:pPr>
    </w:p>
    <w:p>
      <w:pPr>
        <w:ind w:left="482" w:right="3420" w:hanging="482"/>
        <w:spacing w:after="0" w:line="304" w:lineRule="auto"/>
        <w:tabs>
          <w:tab w:leader="none" w:pos="48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acquire 30,000 shares of Common Stock exercisable within 60 days. Also includes options to acquire an additional 15,000 shares of Common Stock which became exercisable upon Mr. Berger's resignation from the Board of Directors on June 10, 2002.</w:t>
      </w:r>
    </w:p>
    <w:p>
      <w:pPr>
        <w:spacing w:after="0" w:line="24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86" w:lineRule="exact"/>
        <w:rPr>
          <w:sz w:val="20"/>
          <w:szCs w:val="20"/>
          <w:color w:val="auto"/>
        </w:rPr>
      </w:pPr>
    </w:p>
    <w:p>
      <w:pPr>
        <w:ind w:left="2" w:right="3040"/>
        <w:spacing w:after="0" w:line="251" w:lineRule="auto"/>
        <w:rPr>
          <w:sz w:val="20"/>
          <w:szCs w:val="20"/>
          <w:color w:val="auto"/>
        </w:rPr>
      </w:pPr>
      <w:r>
        <w:rPr>
          <w:rFonts w:ascii="Courier New" w:cs="Courier New" w:eastAsia="Courier New" w:hAnsi="Courier New"/>
          <w:sz w:val="16"/>
          <w:szCs w:val="16"/>
          <w:color w:val="auto"/>
        </w:rPr>
        <w:t>The following table sets forth certain information as of May 17, 2002, with respect to the directors of the Company, the Named Executive Officers and the directors and the Named Executive Officers of the Company as a group. This information has been updated from the information provided in the Company's Annual Report on Form 10-K filed with the Commission on May 1, 2002. The information does not include shares of the Series B Preferred Stock or the Conditional Warrants. The Series B Preferred Stock will be automatically converted into shares of Common Stock and the Conditional Warrants will become exercisable for shares of Common Stock only if the stockholders approve the issuance of such Common Stock. See "Proposal 4 - Issuance of Additional Common Stock" for more information. Except as indicated, each person has sole voting and investment power with respect to all shares of Common Stock shown as beneficially owned by such person, subject to community property laws where applicable.</w:t>
      </w:r>
    </w:p>
    <w:p>
      <w:pPr>
        <w:spacing w:after="0" w:line="200" w:lineRule="exact"/>
        <w:rPr>
          <w:sz w:val="20"/>
          <w:szCs w:val="20"/>
          <w:color w:val="auto"/>
        </w:rPr>
      </w:pPr>
    </w:p>
    <w:p>
      <w:pPr>
        <w:spacing w:after="0" w:line="264"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6540" w:type="dxa"/>
            <w:vAlign w:val="bottom"/>
            <w:vMerge w:val="restart"/>
          </w:tcPr>
          <w:p>
            <w:pPr>
              <w:spacing w:after="0"/>
              <w:rPr>
                <w:sz w:val="20"/>
                <w:szCs w:val="20"/>
                <w:color w:val="auto"/>
              </w:rPr>
            </w:pPr>
            <w:r>
              <w:rPr>
                <w:rFonts w:ascii="Courier New" w:cs="Courier New" w:eastAsia="Courier New" w:hAnsi="Courier New"/>
                <w:sz w:val="16"/>
                <w:szCs w:val="16"/>
                <w:color w:val="auto"/>
              </w:rPr>
              <w:t>Name and Title</w:t>
            </w:r>
          </w:p>
        </w:tc>
        <w:tc>
          <w:tcPr>
            <w:tcW w:w="24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Number of Shares</w:t>
            </w:r>
          </w:p>
        </w:tc>
        <w:tc>
          <w:tcPr>
            <w:tcW w:w="14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24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Beneficially Owned</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w w:val="98"/>
              </w:rPr>
              <w:t>of Class (1)</w:t>
            </w:r>
          </w:p>
        </w:tc>
        <w:tc>
          <w:tcPr>
            <w:tcW w:w="0" w:type="dxa"/>
            <w:vAlign w:val="bottom"/>
          </w:tcPr>
          <w:p>
            <w:pPr>
              <w:spacing w:after="0"/>
              <w:rPr>
                <w:sz w:val="1"/>
                <w:szCs w:val="1"/>
                <w:color w:val="auto"/>
              </w:rPr>
            </w:pPr>
          </w:p>
        </w:tc>
      </w:tr>
      <w:tr>
        <w:trPr>
          <w:trHeight w:val="266"/>
        </w:trPr>
        <w:tc>
          <w:tcPr>
            <w:tcW w:w="65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6540" w:type="dxa"/>
            <w:vAlign w:val="bottom"/>
          </w:tcPr>
          <w:p>
            <w:pPr>
              <w:spacing w:after="0"/>
              <w:rPr>
                <w:sz w:val="20"/>
                <w:szCs w:val="20"/>
                <w:color w:val="auto"/>
              </w:rPr>
            </w:pPr>
            <w:r>
              <w:rPr>
                <w:rFonts w:ascii="Courier New" w:cs="Courier New" w:eastAsia="Courier New" w:hAnsi="Courier New"/>
                <w:sz w:val="16"/>
                <w:szCs w:val="16"/>
                <w:color w:val="auto"/>
              </w:rPr>
              <w:t>Seymour Holtzman</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3,380,647</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(2)</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20.51%</w:t>
            </w:r>
          </w:p>
        </w:tc>
        <w:tc>
          <w:tcPr>
            <w:tcW w:w="0" w:type="dxa"/>
            <w:vAlign w:val="bottom"/>
          </w:tcPr>
          <w:p>
            <w:pPr>
              <w:spacing w:after="0"/>
              <w:rPr>
                <w:sz w:val="1"/>
                <w:szCs w:val="1"/>
                <w:color w:val="auto"/>
              </w:rPr>
            </w:pPr>
          </w:p>
        </w:tc>
      </w:tr>
      <w:tr>
        <w:trPr>
          <w:trHeight w:val="183"/>
        </w:trPr>
        <w:tc>
          <w:tcPr>
            <w:tcW w:w="6540" w:type="dxa"/>
            <w:vAlign w:val="bottom"/>
          </w:tcPr>
          <w:p>
            <w:pPr>
              <w:ind w:left="380"/>
              <w:spacing w:after="0"/>
              <w:rPr>
                <w:sz w:val="20"/>
                <w:szCs w:val="20"/>
                <w:color w:val="auto"/>
              </w:rPr>
            </w:pPr>
            <w:r>
              <w:rPr>
                <w:rFonts w:ascii="Courier New" w:cs="Courier New" w:eastAsia="Courier New" w:hAnsi="Courier New"/>
                <w:sz w:val="16"/>
                <w:szCs w:val="16"/>
                <w:color w:val="auto"/>
              </w:rPr>
              <w:t>Chairman of the Board and Director</w:t>
            </w:r>
          </w:p>
        </w:tc>
        <w:tc>
          <w:tcPr>
            <w:tcW w:w="14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457,167</w:t>
            </w:r>
          </w:p>
        </w:tc>
        <w:tc>
          <w:tcPr>
            <w:tcW w:w="10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(3)</w:t>
            </w:r>
          </w:p>
        </w:tc>
        <w:tc>
          <w:tcPr>
            <w:tcW w:w="146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9"/>
              </w:rPr>
              <w:t>2.82%</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David A. Levin</w:t>
            </w:r>
          </w:p>
        </w:tc>
        <w:tc>
          <w:tcPr>
            <w:tcW w:w="14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40" w:type="dxa"/>
            <w:vAlign w:val="bottom"/>
          </w:tcPr>
          <w:p>
            <w:pPr>
              <w:ind w:left="380"/>
              <w:spacing w:after="0"/>
              <w:rPr>
                <w:sz w:val="20"/>
                <w:szCs w:val="20"/>
                <w:color w:val="auto"/>
              </w:rPr>
            </w:pPr>
            <w:r>
              <w:rPr>
                <w:rFonts w:ascii="Courier New" w:cs="Courier New" w:eastAsia="Courier New" w:hAnsi="Courier New"/>
                <w:sz w:val="16"/>
                <w:szCs w:val="16"/>
                <w:color w:val="auto"/>
              </w:rPr>
              <w:t>Chief Executive Officer, President and Director</w:t>
            </w:r>
          </w:p>
        </w:tc>
        <w:tc>
          <w:tcPr>
            <w:tcW w:w="14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84,268</w:t>
            </w:r>
          </w:p>
        </w:tc>
        <w:tc>
          <w:tcPr>
            <w:tcW w:w="10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(4)</w:t>
            </w:r>
          </w:p>
        </w:tc>
        <w:tc>
          <w:tcPr>
            <w:tcW w:w="146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Dennis R. Hernreich</w:t>
            </w:r>
          </w:p>
        </w:tc>
        <w:tc>
          <w:tcPr>
            <w:tcW w:w="14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40" w:type="dxa"/>
            <w:vAlign w:val="bottom"/>
          </w:tcPr>
          <w:p>
            <w:pPr>
              <w:ind w:left="380"/>
              <w:spacing w:after="0"/>
              <w:rPr>
                <w:sz w:val="20"/>
                <w:szCs w:val="20"/>
                <w:color w:val="auto"/>
              </w:rPr>
            </w:pPr>
            <w:r>
              <w:rPr>
                <w:rFonts w:ascii="Courier New" w:cs="Courier New" w:eastAsia="Courier New" w:hAnsi="Courier New"/>
                <w:sz w:val="16"/>
                <w:szCs w:val="16"/>
                <w:color w:val="auto"/>
              </w:rPr>
              <w:t>Chief Financial Officer, Senior Vice President and Treasurer</w:t>
            </w:r>
          </w:p>
        </w:tc>
        <w:tc>
          <w:tcPr>
            <w:tcW w:w="14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Ronald N. Batts</w:t>
            </w:r>
          </w:p>
        </w:tc>
        <w:tc>
          <w:tcPr>
            <w:tcW w:w="14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40" w:type="dxa"/>
            <w:vAlign w:val="bottom"/>
          </w:tcPr>
          <w:p>
            <w:pPr>
              <w:ind w:left="380"/>
              <w:spacing w:after="0"/>
              <w:rPr>
                <w:sz w:val="20"/>
                <w:szCs w:val="20"/>
                <w:color w:val="auto"/>
              </w:rPr>
            </w:pPr>
            <w:r>
              <w:rPr>
                <w:rFonts w:ascii="Courier New" w:cs="Courier New" w:eastAsia="Courier New" w:hAnsi="Courier New"/>
                <w:sz w:val="16"/>
                <w:szCs w:val="16"/>
                <w:color w:val="auto"/>
              </w:rPr>
              <w:t>President of Levi's(R)and Dockers(R)Outlet stores</w:t>
            </w:r>
          </w:p>
        </w:tc>
        <w:tc>
          <w:tcPr>
            <w:tcW w:w="14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1,019,002</w:t>
            </w:r>
          </w:p>
        </w:tc>
        <w:tc>
          <w:tcPr>
            <w:tcW w:w="10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(5)</w:t>
            </w:r>
          </w:p>
        </w:tc>
        <w:tc>
          <w:tcPr>
            <w:tcW w:w="146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9"/>
              </w:rPr>
              <w:t>6.37%</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Stanley I. Berger, Director</w:t>
            </w:r>
          </w:p>
        </w:tc>
        <w:tc>
          <w:tcPr>
            <w:tcW w:w="14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Jesse Choper, Director</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73,016</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(6)</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Alan Cohen, Director</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47,545</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(6)</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Stephen M. Duff, Director</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5,000</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(7)</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Jeremiah P. Murphy, Jr., Director</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69,326</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Joseph Pennacchio, Director</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66,212</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(9)</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George T. Porter, Jr., Director</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87,906</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(10)</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Directors and Named Executive Officers as a group (11 persons)(12)</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5,290,089</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(2),(11)</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31.18%</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6540" w:type="dxa"/>
            <w:vAlign w:val="bottom"/>
          </w:tcPr>
          <w:p>
            <w:pPr>
              <w:spacing w:after="0"/>
              <w:rPr>
                <w:sz w:val="20"/>
                <w:szCs w:val="20"/>
                <w:color w:val="auto"/>
              </w:rPr>
            </w:pPr>
            <w:r>
              <w:rPr>
                <w:rFonts w:ascii="Courier New" w:cs="Courier New" w:eastAsia="Courier New" w:hAnsi="Courier New"/>
                <w:sz w:val="16"/>
                <w:szCs w:val="16"/>
                <w:color w:val="auto"/>
              </w:rPr>
              <w:t>*  Less than 1%</w:t>
            </w:r>
          </w:p>
        </w:tc>
        <w:tc>
          <w:tcPr>
            <w:tcW w:w="1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482" w:right="2940" w:hanging="482"/>
        <w:spacing w:after="0" w:line="258" w:lineRule="auto"/>
        <w:tabs>
          <w:tab w:leader="none" w:pos="4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is determined in accordance with the rules of the Commission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 Such shares, however, are not deemed outstanding for the purpose of computing the percentage ownership of</w:t>
      </w:r>
    </w:p>
    <w:p>
      <w:pPr>
        <w:spacing w:after="0" w:line="200" w:lineRule="exact"/>
        <w:rPr>
          <w:sz w:val="20"/>
          <w:szCs w:val="20"/>
          <w:color w:val="auto"/>
        </w:rPr>
      </w:pPr>
    </w:p>
    <w:p>
      <w:pPr>
        <w:spacing w:after="0" w:line="25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482"/>
          </w:cols>
          <w:pgMar w:left="238" w:top="639" w:right="1179" w:bottom="1440" w:gutter="0" w:footer="0" w:header="0"/>
        </w:sectPr>
      </w:pPr>
    </w:p>
    <w:bookmarkStart w:id="14" w:name="page15"/>
    <w:bookmarkEnd w:id="14"/>
    <w:p>
      <w:pPr>
        <w:ind w:left="482" w:right="2779"/>
        <w:spacing w:after="0" w:line="280" w:lineRule="auto"/>
        <w:rPr>
          <w:sz w:val="20"/>
          <w:szCs w:val="20"/>
          <w:color w:val="auto"/>
        </w:rPr>
      </w:pPr>
      <w:r>
        <w:rPr>
          <w:rFonts w:ascii="Courier New" w:cs="Courier New" w:eastAsia="Courier New" w:hAnsi="Courier New"/>
          <w:sz w:val="16"/>
          <w:szCs w:val="16"/>
          <w:color w:val="auto"/>
        </w:rPr>
        <w:t>any other person. Percentage ownership is based on 15,961,343 shares of Common Stock outstanding as of May 17, 2002, plus securities deemed to be outstanding with respect to individual stockholders pursuant to Rule 13d-3(d)(1) under the Exchange Act.</w:t>
      </w:r>
    </w:p>
    <w:p>
      <w:pPr>
        <w:spacing w:after="0" w:line="71" w:lineRule="exact"/>
        <w:rPr>
          <w:sz w:val="20"/>
          <w:szCs w:val="20"/>
          <w:color w:val="auto"/>
        </w:rPr>
      </w:pPr>
    </w:p>
    <w:p>
      <w:pPr>
        <w:ind w:left="482" w:right="2599" w:hanging="482"/>
        <w:spacing w:after="0" w:line="251" w:lineRule="auto"/>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Holtzman may be deemed to have shared voting and investment power over 3,380,647 shares of Common Stock, which includes 3,212,882 shares (including options to acquire 400,000 shares) beneficially owned by JMI, of which Mr. Holtzman is the Chairman, President and Chief Executive Officer and indirectly, with his wife, the primary shareholder; 137,765 shares owned individually, which includes 125,000 shares subject to stock options exercisable within 60 days; and 30,000 shares owned by Mr. Holtzman's grandchildren as to which he disclaims beneficial ownership. Includes 60,659 shares of Common Stock issued to JMI pursuant to a consulting agreement with the Company, which agreement was extended effective April 29, 2002. Excludes an aggregate of 549,559 shares of Common Stock subject to Conditional Warrants issued to JMI which will become exercisable upon stockholder approval thereof pursuant to Proposal 4, but which are not currently exercisable.</w:t>
      </w:r>
    </w:p>
    <w:p>
      <w:pPr>
        <w:spacing w:after="0" w:line="97" w:lineRule="exact"/>
        <w:rPr>
          <w:rFonts w:ascii="Courier New" w:cs="Courier New" w:eastAsia="Courier New" w:hAnsi="Courier New"/>
          <w:sz w:val="16"/>
          <w:szCs w:val="16"/>
          <w:color w:val="auto"/>
        </w:rPr>
      </w:pPr>
    </w:p>
    <w:p>
      <w:pPr>
        <w:ind w:left="482" w:right="2599" w:hanging="482"/>
        <w:spacing w:after="0" w:line="271" w:lineRule="auto"/>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241,667 shares subject to stock options exercisable within 60 days. Excludes 405 shares of Series B Preferred Stock, which will be automatically converted into 40,500 shares of Common Stock upon stockholder approval thereof pursuant to Proposal 4, but which are not currently convertible.</w:t>
      </w:r>
    </w:p>
    <w:p>
      <w:pPr>
        <w:spacing w:after="0" w:line="77" w:lineRule="exact"/>
        <w:rPr>
          <w:rFonts w:ascii="Courier New" w:cs="Courier New" w:eastAsia="Courier New" w:hAnsi="Courier New"/>
          <w:sz w:val="16"/>
          <w:szCs w:val="16"/>
          <w:color w:val="auto"/>
        </w:rPr>
      </w:pPr>
    </w:p>
    <w:p>
      <w:pPr>
        <w:ind w:left="482" w:right="2599" w:hanging="482"/>
        <w:spacing w:after="0" w:line="271" w:lineRule="auto"/>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61,668 shares subject to stock options exercisable within 60 days. Excludes 250 shares of Series B Preferred Stock, which will be automatically converted into 25,000 shares of Common Stock upon stockholder approval thereof pursuant to Proposal 4, but which are not currently convertible.</w:t>
      </w:r>
    </w:p>
    <w:p>
      <w:pPr>
        <w:spacing w:after="0" w:line="77" w:lineRule="exact"/>
        <w:rPr>
          <w:rFonts w:ascii="Courier New" w:cs="Courier New" w:eastAsia="Courier New" w:hAnsi="Courier New"/>
          <w:sz w:val="16"/>
          <w:szCs w:val="16"/>
          <w:color w:val="auto"/>
        </w:rPr>
      </w:pPr>
    </w:p>
    <w:p>
      <w:pPr>
        <w:ind w:left="482" w:right="2599" w:hanging="482"/>
        <w:spacing w:after="0" w:line="280" w:lineRule="auto"/>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30,000 shares subject to stock options exercisable within 60 days. Also includes options to acquire an additional 15,000 shares of Common Stock which became exercisable upon Mr. Berger's resignation from the Board of Directors on June 10, 2002.</w:t>
      </w:r>
    </w:p>
    <w:p>
      <w:pPr>
        <w:spacing w:after="0" w:line="71"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30,000 shares subject to stock options exercisable within 60 days.</w:t>
      </w:r>
    </w:p>
    <w:p>
      <w:pPr>
        <w:spacing w:after="0" w:line="196" w:lineRule="exact"/>
        <w:rPr>
          <w:rFonts w:ascii="Courier New" w:cs="Courier New" w:eastAsia="Courier New" w:hAnsi="Courier New"/>
          <w:sz w:val="15"/>
          <w:szCs w:val="15"/>
          <w:color w:val="auto"/>
        </w:rPr>
      </w:pPr>
    </w:p>
    <w:p>
      <w:pPr>
        <w:ind w:left="482" w:hanging="482"/>
        <w:spacing w:after="0"/>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5,000 shares subject to stock options exercisable within 60 days.</w:t>
      </w:r>
    </w:p>
    <w:p>
      <w:pPr>
        <w:spacing w:after="0" w:line="185" w:lineRule="exact"/>
        <w:rPr>
          <w:rFonts w:ascii="Courier New" w:cs="Courier New" w:eastAsia="Courier New" w:hAnsi="Courier New"/>
          <w:sz w:val="16"/>
          <w:szCs w:val="16"/>
          <w:color w:val="auto"/>
        </w:rPr>
      </w:pPr>
    </w:p>
    <w:p>
      <w:pPr>
        <w:ind w:left="482" w:right="2599" w:hanging="482"/>
        <w:spacing w:after="0" w:line="271" w:lineRule="auto"/>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30,000 shares subject to stock options exercisable within 60 days. Excludes 250 shares of Series B Preferred Stock, which will be automatically converted into 25,000 shares of Common Stock upon stockholder approval thereof pursuant to Proposal 4, but which are currently not currently convertible.</w:t>
      </w:r>
    </w:p>
    <w:p>
      <w:pPr>
        <w:spacing w:after="0" w:line="77" w:lineRule="exact"/>
        <w:rPr>
          <w:rFonts w:ascii="Courier New" w:cs="Courier New" w:eastAsia="Courier New" w:hAnsi="Courier New"/>
          <w:sz w:val="16"/>
          <w:szCs w:val="16"/>
          <w:color w:val="auto"/>
        </w:rPr>
      </w:pPr>
    </w:p>
    <w:p>
      <w:pPr>
        <w:ind w:left="482" w:right="2599" w:hanging="482"/>
        <w:spacing w:after="0" w:line="271" w:lineRule="auto"/>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30,000 shares subject to stock options exercisable within 60 days. Excludes 500 shares of Series B Preferred Stock, which will be automatically converted into 50,000 shares of Common Stock upon stockholder approval thereof pursuant to Proposal 4, but which are not currently convertible.</w:t>
      </w:r>
    </w:p>
    <w:p>
      <w:pPr>
        <w:spacing w:after="0" w:line="77" w:lineRule="exact"/>
        <w:rPr>
          <w:rFonts w:ascii="Courier New" w:cs="Courier New" w:eastAsia="Courier New" w:hAnsi="Courier New"/>
          <w:sz w:val="16"/>
          <w:szCs w:val="16"/>
          <w:color w:val="auto"/>
        </w:rPr>
      </w:pPr>
    </w:p>
    <w:p>
      <w:pPr>
        <w:ind w:left="482" w:right="2599" w:hanging="482"/>
        <w:spacing w:after="0" w:line="271" w:lineRule="auto"/>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60,000 shares subject to stock options exercisable within 60 days. Excludes 250 shares of Series B Preferred Stock, which will be automatically converted into 25,000 shares of Common Stock upon stockholder approval thereof pursuant to Proposal 4, but which are not currently convertible.</w:t>
      </w:r>
    </w:p>
    <w:p>
      <w:pPr>
        <w:spacing w:after="0" w:line="77" w:lineRule="exact"/>
        <w:rPr>
          <w:rFonts w:ascii="Courier New" w:cs="Courier New" w:eastAsia="Courier New" w:hAnsi="Courier New"/>
          <w:sz w:val="16"/>
          <w:szCs w:val="16"/>
          <w:color w:val="auto"/>
        </w:rPr>
      </w:pPr>
    </w:p>
    <w:p>
      <w:pPr>
        <w:ind w:left="482" w:right="2879" w:hanging="482"/>
        <w:spacing w:after="0" w:line="271" w:lineRule="auto"/>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1,058,335 shares subject to stock options exercisable within 60 days. Excludes 1,655 shares of Series B Preferred Stock, which will be automatically converted into 165,500 shares of Common Stock upon stockholder approval thereof pursuant to Proposal 4, but which are currently not convertible.</w:t>
      </w:r>
    </w:p>
    <w:p>
      <w:pPr>
        <w:spacing w:after="0" w:line="77" w:lineRule="exact"/>
        <w:rPr>
          <w:rFonts w:ascii="Courier New" w:cs="Courier New" w:eastAsia="Courier New" w:hAnsi="Courier New"/>
          <w:sz w:val="16"/>
          <w:szCs w:val="16"/>
          <w:color w:val="auto"/>
        </w:rPr>
      </w:pPr>
    </w:p>
    <w:p>
      <w:pPr>
        <w:ind w:left="482" w:right="2599" w:hanging="482"/>
        <w:spacing w:after="0" w:line="355" w:lineRule="auto"/>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560,790 shares owned by Robert Patron, who ceased to be a director of the Company during March 2002.</w:t>
      </w:r>
    </w:p>
    <w:p>
      <w:pPr>
        <w:spacing w:after="0" w:line="19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8" w:top="63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Director Compensation</w:t>
      </w:r>
    </w:p>
    <w:p>
      <w:pPr>
        <w:spacing w:after="0" w:line="186" w:lineRule="exact"/>
        <w:rPr>
          <w:sz w:val="20"/>
          <w:szCs w:val="20"/>
          <w:color w:val="auto"/>
        </w:rPr>
      </w:pPr>
    </w:p>
    <w:p>
      <w:pPr>
        <w:ind w:right="2599"/>
        <w:spacing w:after="0" w:line="264" w:lineRule="auto"/>
        <w:rPr>
          <w:sz w:val="20"/>
          <w:szCs w:val="20"/>
          <w:color w:val="auto"/>
        </w:rPr>
      </w:pPr>
      <w:r>
        <w:rPr>
          <w:rFonts w:ascii="Courier New" w:cs="Courier New" w:eastAsia="Courier New" w:hAnsi="Courier New"/>
          <w:sz w:val="15"/>
          <w:szCs w:val="15"/>
          <w:color w:val="auto"/>
        </w:rPr>
        <w:t>During fiscal 2002, non-employee directors of the Company were paid $3,000 plus expenses for each meeting of the Board of Directors in which they participated. During fiscal 2002, non-employee directors of the Company were paid, in addition to reimbursement of expenses, for meetings of committees of the Board in which they participated as follows: $3,000 for each Compensation Committee meeting; $1,500 for each Audit Committee meeting; and $1,500 for each Corporate Governance Committee meeting. Directors receive $500 for telephonic meetings of the Board of Directors and telephonic committee meetings. During fiscal 2002, non-employee directors of the Company were also eligible to participate in the Company's 1992 Stock Incentive Plan, as amended (the "1992 Stock Incentive Plan"). Prior to January 20, 2000, under the provisions of the 1992 Stock Incentive Plan, each non-employee director of the Company who was elected by the stockholders to the Board would automatically be granted, upon such election, a stock option to purchase 10,000 shares of Common Stock at the fair market value of Common Stock on the date of grant. Each non-employee director of the Company who was re-elected by the stockholders to the Board would be granted, upon such re-election, a stock option to purchase 3,000 shares of Common Stock at the then fair market value of Common Stock. On January 20, 2000, the Board of Directors amended the plan to provide for the grant to each non-employee director of the Company a stock option to purchase 15,000 shares of Common Stock upon such director's election and a stock option to purchase 15,000 shares of Common Stock upon such director's re-election. On June 26, 2001, the plan was further amended by the Board of Directors to provide that each of such stock options would become exercisable in three equal annual installments commencing with the date of grant. All options are granted with a term of ten years.</w:t>
      </w:r>
    </w:p>
    <w:p>
      <w:pPr>
        <w:spacing w:after="0" w:line="283"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6"/>
          <w:szCs w:val="16"/>
          <w:color w:val="auto"/>
        </w:rPr>
        <w:t>The 1992 Stock Incentive Plan also provides that non-employee directors of the Company may elect to receive all or a portion of their directors' fees, on a current or deferred basis, in shares of Common Stock that are free of any restrictions under the 1992 Stock Incentive Plan by entering into an irrevocable agreement with the Company in advance of the beginning of a calendar year. During fiscal 2002, all non-employee directors elected to receive their directors' fee in Common Stock.</w:t>
      </w:r>
    </w:p>
    <w:p>
      <w:pPr>
        <w:spacing w:after="0" w:line="200" w:lineRule="exact"/>
        <w:rPr>
          <w:sz w:val="20"/>
          <w:szCs w:val="20"/>
          <w:color w:val="auto"/>
        </w:rPr>
      </w:pPr>
    </w:p>
    <w:p>
      <w:pPr>
        <w:spacing w:after="0" w:line="25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23" w:right="1440" w:bottom="1440" w:gutter="0" w:footer="0" w:header="0"/>
        </w:sectPr>
      </w:pPr>
    </w:p>
    <w:bookmarkStart w:id="16" w:name="page17"/>
    <w:bookmarkEnd w:id="16"/>
    <w:p>
      <w:pPr>
        <w:ind w:left="2480"/>
        <w:spacing w:after="0"/>
        <w:rPr>
          <w:sz w:val="20"/>
          <w:szCs w:val="20"/>
          <w:color w:val="auto"/>
        </w:rPr>
      </w:pPr>
      <w:r>
        <w:rPr>
          <w:rFonts w:ascii="Courier New" w:cs="Courier New" w:eastAsia="Courier New" w:hAnsi="Courier New"/>
          <w:sz w:val="16"/>
          <w:szCs w:val="16"/>
          <w:color w:val="auto"/>
        </w:rPr>
        <w:t>COMPENSATION COMMITTEE REPORT</w:t>
      </w:r>
    </w:p>
    <w:p>
      <w:pPr>
        <w:spacing w:after="0" w:line="186"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6"/>
          <w:szCs w:val="16"/>
          <w:color w:val="auto"/>
        </w:rPr>
        <w:t>Decisions concerning the compensation of the Company's executive officers generally are made by the two-member Compensation Committee of the Board of Directors. Each member of the Compensation Committee is a non-employee director of the Company. This Compensation Committee Report summarizes the Company's executive officer compensation practices and policies for fiscal year 2002. The Compensation Committee consists of two members, Joseph Pennacchio and Jesse Choper.</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Policies</w:t>
      </w:r>
    </w:p>
    <w:p>
      <w:pPr>
        <w:spacing w:after="0" w:line="186" w:lineRule="exact"/>
        <w:rPr>
          <w:sz w:val="20"/>
          <w:szCs w:val="20"/>
          <w:color w:val="auto"/>
        </w:rPr>
      </w:pPr>
    </w:p>
    <w:p>
      <w:pPr>
        <w:ind w:right="2679"/>
        <w:spacing w:after="0" w:line="265" w:lineRule="auto"/>
        <w:rPr>
          <w:sz w:val="20"/>
          <w:szCs w:val="20"/>
          <w:color w:val="auto"/>
        </w:rPr>
      </w:pPr>
      <w:r>
        <w:rPr>
          <w:rFonts w:ascii="Courier New" w:cs="Courier New" w:eastAsia="Courier New" w:hAnsi="Courier New"/>
          <w:sz w:val="16"/>
          <w:szCs w:val="16"/>
          <w:color w:val="auto"/>
        </w:rPr>
        <w:t>The Company's compensation policies are designed to link executive officer compensation to the annual and long-term performance of the Company and to provide industry-competitive compensation for such officers. The Company's executive officer compensation consists of two key components: (1) an annual component, consisting of annual base salary and annual incentive bonus, if any, and (2) a long-term component consisting of the grant of stock options.</w:t>
      </w:r>
    </w:p>
    <w:p>
      <w:pPr>
        <w:spacing w:after="0" w:line="83" w:lineRule="exact"/>
        <w:rPr>
          <w:sz w:val="20"/>
          <w:szCs w:val="20"/>
          <w:color w:val="auto"/>
        </w:rPr>
      </w:pPr>
    </w:p>
    <w:p>
      <w:pPr>
        <w:ind w:right="2779"/>
        <w:spacing w:after="0" w:line="388" w:lineRule="auto"/>
        <w:rPr>
          <w:sz w:val="20"/>
          <w:szCs w:val="20"/>
          <w:color w:val="auto"/>
        </w:rPr>
      </w:pPr>
      <w:r>
        <w:rPr>
          <w:rFonts w:ascii="Courier New" w:cs="Courier New" w:eastAsia="Courier New" w:hAnsi="Courier New"/>
          <w:sz w:val="15"/>
          <w:szCs w:val="15"/>
          <w:color w:val="auto"/>
        </w:rPr>
        <w:t>The policies with respect to each of these elements, as well as the bases for determining the compensation of the Company's executives, are described below.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Annual Component: Base Salary and Annual Incentive Bonus</w:t>
      </w:r>
    </w:p>
    <w:p>
      <w:pPr>
        <w:spacing w:after="0" w:line="186" w:lineRule="exact"/>
        <w:rPr>
          <w:sz w:val="20"/>
          <w:szCs w:val="20"/>
          <w:color w:val="auto"/>
        </w:rPr>
      </w:pPr>
    </w:p>
    <w:p>
      <w:pPr>
        <w:ind w:right="2679"/>
        <w:spacing w:after="0" w:line="267" w:lineRule="auto"/>
        <w:rPr>
          <w:sz w:val="20"/>
          <w:szCs w:val="20"/>
          <w:color w:val="auto"/>
        </w:rPr>
      </w:pPr>
      <w:r>
        <w:rPr>
          <w:rFonts w:ascii="Courier New" w:cs="Courier New" w:eastAsia="Courier New" w:hAnsi="Courier New"/>
          <w:sz w:val="15"/>
          <w:szCs w:val="15"/>
          <w:color w:val="auto"/>
        </w:rPr>
        <w:t>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 Under the Company's employment agreements with Messrs. Levin, Hernreich and Batts, compensation for such executive officers had a base salary element and annual cost of living increases for fiscal 2002. As discussed previously, on May 14, 2002, the Compensation Committee increased the base salaries of Messrs. Levin, Hernreich and Batts.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Long-Term Component: Stock Options</w:t>
      </w:r>
    </w:p>
    <w:p>
      <w:pPr>
        <w:spacing w:after="0" w:line="186" w:lineRule="exact"/>
        <w:rPr>
          <w:sz w:val="20"/>
          <w:szCs w:val="20"/>
          <w:color w:val="auto"/>
        </w:rPr>
      </w:pPr>
    </w:p>
    <w:p>
      <w:pPr>
        <w:ind w:right="2599"/>
        <w:spacing w:after="0" w:line="254" w:lineRule="auto"/>
        <w:rPr>
          <w:sz w:val="20"/>
          <w:szCs w:val="20"/>
          <w:color w:val="auto"/>
        </w:rPr>
      </w:pPr>
      <w:r>
        <w:rPr>
          <w:rFonts w:ascii="Courier New" w:cs="Courier New" w:eastAsia="Courier New" w:hAnsi="Courier New"/>
          <w:sz w:val="16"/>
          <w:szCs w:val="16"/>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w:t>
      </w:r>
    </w:p>
    <w:p>
      <w:pPr>
        <w:spacing w:after="0" w:line="91" w:lineRule="exact"/>
        <w:rPr>
          <w:sz w:val="20"/>
          <w:szCs w:val="20"/>
          <w:color w:val="auto"/>
        </w:rPr>
      </w:pPr>
    </w:p>
    <w:p>
      <w:pPr>
        <w:ind w:right="2599"/>
        <w:spacing w:after="0" w:line="293" w:lineRule="auto"/>
        <w:rPr>
          <w:sz w:val="20"/>
          <w:szCs w:val="20"/>
          <w:color w:val="auto"/>
        </w:rPr>
      </w:pPr>
      <w:r>
        <w:rPr>
          <w:rFonts w:ascii="Courier New" w:cs="Courier New" w:eastAsia="Courier New" w:hAnsi="Courier New"/>
          <w:sz w:val="15"/>
          <w:szCs w:val="15"/>
          <w:color w:val="auto"/>
        </w:rPr>
        <w:t>In addition to the foregoing,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pacing w:after="0" w:line="63" w:lineRule="exact"/>
        <w:rPr>
          <w:sz w:val="20"/>
          <w:szCs w:val="20"/>
          <w:color w:val="auto"/>
        </w:rPr>
      </w:pPr>
    </w:p>
    <w:p>
      <w:pPr>
        <w:ind w:right="2599"/>
        <w:spacing w:after="0" w:line="258" w:lineRule="auto"/>
        <w:rPr>
          <w:sz w:val="20"/>
          <w:szCs w:val="20"/>
          <w:color w:val="auto"/>
        </w:rPr>
      </w:pPr>
      <w:r>
        <w:rPr>
          <w:rFonts w:ascii="Courier New" w:cs="Courier New" w:eastAsia="Courier New" w:hAnsi="Courier New"/>
          <w:sz w:val="16"/>
          <w:szCs w:val="16"/>
          <w:color w:val="auto"/>
        </w:rPr>
        <w:t>The Commission requires that this Compensation Committee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w:t>
      </w:r>
    </w:p>
    <w:p>
      <w:pPr>
        <w:spacing w:after="0" w:line="200" w:lineRule="exact"/>
        <w:rPr>
          <w:sz w:val="20"/>
          <w:szCs w:val="20"/>
          <w:color w:val="auto"/>
        </w:rPr>
      </w:pPr>
    </w:p>
    <w:p>
      <w:pPr>
        <w:spacing w:after="0" w:line="25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823" w:right="1440" w:bottom="1440" w:gutter="0" w:footer="0" w:header="0"/>
        </w:sectPr>
      </w:pPr>
    </w:p>
    <w:bookmarkStart w:id="17" w:name="page18"/>
    <w:bookmarkEnd w:id="17"/>
    <w:p>
      <w:pPr>
        <w:ind w:right="2599"/>
        <w:spacing w:after="0" w:line="299" w:lineRule="auto"/>
        <w:rPr>
          <w:sz w:val="20"/>
          <w:szCs w:val="20"/>
          <w:color w:val="auto"/>
        </w:rPr>
      </w:pPr>
      <w:r>
        <w:rPr>
          <w:rFonts w:ascii="Courier New" w:cs="Courier New" w:eastAsia="Courier New" w:hAnsi="Courier New"/>
          <w:sz w:val="16"/>
          <w:szCs w:val="16"/>
          <w:color w:val="auto"/>
        </w:rPr>
        <w:t>to Section 162(m) is to make every reasonable effort to cause compensation to be deductible by the Company while simultaneously providing executive officers of the Company with appropriate rewards for their performance.</w:t>
      </w:r>
    </w:p>
    <w:p>
      <w:pPr>
        <w:spacing w:after="0" w:line="5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THE COMPENSATION COMMITTEE</w:t>
      </w:r>
    </w:p>
    <w:p>
      <w:pPr>
        <w:spacing w:after="0" w:line="30"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Joseph Pennacchio</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Jesse Choper</w:t>
      </w: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39" w:right="1440" w:bottom="1440" w:gutter="0" w:footer="0" w:header="0"/>
        </w:sectPr>
      </w:pPr>
    </w:p>
    <w:bookmarkStart w:id="18" w:name="page19"/>
    <w:bookmarkEnd w:id="18"/>
    <w:p>
      <w:pPr>
        <w:jc w:val="center"/>
        <w:ind w:right="2599"/>
        <w:spacing w:after="0"/>
        <w:rPr>
          <w:sz w:val="20"/>
          <w:szCs w:val="20"/>
          <w:color w:val="auto"/>
        </w:rPr>
      </w:pPr>
      <w:r>
        <w:rPr>
          <w:rFonts w:ascii="Courier New" w:cs="Courier New" w:eastAsia="Courier New" w:hAnsi="Courier New"/>
          <w:sz w:val="16"/>
          <w:szCs w:val="16"/>
          <w:color w:val="auto"/>
        </w:rPr>
        <w:t>PROPOSAL 2</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AMENDMENT TO THE COMPANY'S CERTIFICATE OF INCORPORATION TO CHANGE THE NAME</w:t>
      </w:r>
    </w:p>
    <w:p>
      <w:pPr>
        <w:spacing w:after="0" w:line="3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OF THE COMPANY TO "CASUAL MALE RETAIL GROUP, INC."</w:t>
      </w:r>
    </w:p>
    <w:p>
      <w:pPr>
        <w:spacing w:after="0" w:line="158" w:lineRule="exact"/>
        <w:rPr>
          <w:sz w:val="20"/>
          <w:szCs w:val="20"/>
          <w:color w:val="auto"/>
        </w:rPr>
      </w:pPr>
    </w:p>
    <w:p>
      <w:pPr>
        <w:ind w:right="2599"/>
        <w:spacing w:after="0" w:line="258" w:lineRule="auto"/>
        <w:rPr>
          <w:sz w:val="20"/>
          <w:szCs w:val="20"/>
          <w:color w:val="auto"/>
        </w:rPr>
      </w:pPr>
      <w:r>
        <w:rPr>
          <w:rFonts w:ascii="Courier New" w:cs="Courier New" w:eastAsia="Courier New" w:hAnsi="Courier New"/>
          <w:sz w:val="16"/>
          <w:szCs w:val="16"/>
          <w:color w:val="auto"/>
        </w:rPr>
        <w:t>The Company's Restated Certificate of Incorporation, as amended (the "Certificate of Incorporation"), currently provides that the Company's name is "Designs, Inc." The Company's business has recently undergone a significant expansion and transformation through its recent acquisition of substantially all of the assets of Casual Male in the Casual Male Acquisition. In an effort to more clearly identify the Company going forward, the Company's Board of Directors is recommending to its stockholders that the Company change its name to "Casual Male Retail Group, Inc."</w:t>
      </w:r>
    </w:p>
    <w:p>
      <w:pPr>
        <w:spacing w:after="0" w:line="92" w:lineRule="exact"/>
        <w:rPr>
          <w:sz w:val="20"/>
          <w:szCs w:val="20"/>
          <w:color w:val="auto"/>
        </w:rPr>
      </w:pPr>
    </w:p>
    <w:p>
      <w:pPr>
        <w:ind w:right="2599"/>
        <w:spacing w:after="0" w:line="258" w:lineRule="auto"/>
        <w:rPr>
          <w:sz w:val="20"/>
          <w:szCs w:val="20"/>
          <w:color w:val="auto"/>
        </w:rPr>
      </w:pPr>
      <w:r>
        <w:rPr>
          <w:rFonts w:ascii="Courier New" w:cs="Courier New" w:eastAsia="Courier New" w:hAnsi="Courier New"/>
          <w:sz w:val="16"/>
          <w:szCs w:val="16"/>
          <w:color w:val="auto"/>
        </w:rPr>
        <w:t>As of May 14, 2002, pursuant to an Asset Purchase Agreement entered into as of May 2, 2002, by and among the Company and Casual Male, the Company completed the acquisition of substantially all of the assets of Casual Male for a purchase price of approximately $170 million, plus the assumption of certain operating liabilities. The Company was selected as the highest and best bidder for the Casual Male assets at a bankruptcy court ordered auction commencing on May 1, 2002 and concluding on May 2, 2002 and the acquisition of Casual Male by the Company was approved by the court on May 7, 2002.</w:t>
      </w:r>
    </w:p>
    <w:p>
      <w:pPr>
        <w:spacing w:after="0" w:line="92" w:lineRule="exact"/>
        <w:rPr>
          <w:sz w:val="20"/>
          <w:szCs w:val="20"/>
          <w:color w:val="auto"/>
        </w:rPr>
      </w:pPr>
    </w:p>
    <w:p>
      <w:pPr>
        <w:ind w:right="2679"/>
        <w:spacing w:after="0" w:line="265" w:lineRule="auto"/>
        <w:rPr>
          <w:sz w:val="20"/>
          <w:szCs w:val="20"/>
          <w:color w:val="auto"/>
        </w:rPr>
      </w:pPr>
      <w:r>
        <w:rPr>
          <w:rFonts w:ascii="Courier New" w:cs="Courier New" w:eastAsia="Courier New" w:hAnsi="Courier New"/>
          <w:sz w:val="16"/>
          <w:szCs w:val="16"/>
          <w:color w:val="auto"/>
        </w:rPr>
        <w:t>Casual Male is a leading independent specialty retailer of fashion, casual and dress apparel for big and tall men, with annual sales that exceed $350 million. Casual Male sells its branded merchandise through various channels of distribution including full price and outlet retail stores, direct mail and the internet. Casual Male had been operating under the protection of the U.S. Bankruptcy Court since May 2001.</w:t>
      </w:r>
    </w:p>
    <w:p>
      <w:pPr>
        <w:spacing w:after="0" w:line="83" w:lineRule="exact"/>
        <w:rPr>
          <w:sz w:val="20"/>
          <w:szCs w:val="20"/>
          <w:color w:val="auto"/>
        </w:rPr>
      </w:pPr>
    </w:p>
    <w:p>
      <w:pPr>
        <w:ind w:right="2879"/>
        <w:spacing w:after="0" w:line="261" w:lineRule="auto"/>
        <w:rPr>
          <w:sz w:val="20"/>
          <w:szCs w:val="20"/>
          <w:color w:val="auto"/>
        </w:rPr>
      </w:pPr>
      <w:r>
        <w:rPr>
          <w:rFonts w:ascii="Courier New" w:cs="Courier New" w:eastAsia="Courier New" w:hAnsi="Courier New"/>
          <w:sz w:val="16"/>
          <w:szCs w:val="16"/>
          <w:color w:val="auto"/>
        </w:rPr>
        <w:t>In view of the significance of the Casual Male Acquisition to the growth and future identity of the Company, the Board of Directors is recommending to its stockholders that the Certificate of Incorporation be amended to change the Company's name to "Casual Male Retail Group, Inc." The Company believes that Casual Male will be a significant future contributor to the Company's overall business and that it will be important to align the customer and investor identification of the Company with the Casual Male store concept.</w:t>
      </w:r>
    </w:p>
    <w:p>
      <w:pPr>
        <w:spacing w:after="0" w:line="87" w:lineRule="exact"/>
        <w:rPr>
          <w:sz w:val="20"/>
          <w:szCs w:val="20"/>
          <w:color w:val="auto"/>
        </w:rPr>
      </w:pPr>
    </w:p>
    <w:p>
      <w:pPr>
        <w:ind w:right="2779"/>
        <w:spacing w:after="0" w:line="299" w:lineRule="auto"/>
        <w:rPr>
          <w:sz w:val="20"/>
          <w:szCs w:val="20"/>
          <w:color w:val="auto"/>
        </w:rPr>
      </w:pPr>
      <w:r>
        <w:rPr>
          <w:rFonts w:ascii="Courier New" w:cs="Courier New" w:eastAsia="Courier New" w:hAnsi="Courier New"/>
          <w:sz w:val="16"/>
          <w:szCs w:val="16"/>
          <w:color w:val="auto"/>
        </w:rPr>
        <w:t>If stockholder approval is obtained for the change of the Company's name, then the Company intends to change the symbol (currently "DESI") under which the Common Stock trades on the Nasdaq National Market.</w:t>
      </w:r>
    </w:p>
    <w:p>
      <w:pPr>
        <w:spacing w:after="0" w:line="56" w:lineRule="exact"/>
        <w:rPr>
          <w:sz w:val="20"/>
          <w:szCs w:val="20"/>
          <w:color w:val="auto"/>
        </w:rPr>
      </w:pPr>
    </w:p>
    <w:p>
      <w:pPr>
        <w:ind w:right="2599"/>
        <w:spacing w:after="0" w:line="271" w:lineRule="auto"/>
        <w:rPr>
          <w:sz w:val="20"/>
          <w:szCs w:val="20"/>
          <w:color w:val="auto"/>
        </w:rPr>
      </w:pPr>
      <w:r>
        <w:rPr>
          <w:rFonts w:ascii="Courier New" w:cs="Courier New" w:eastAsia="Courier New" w:hAnsi="Courier New"/>
          <w:sz w:val="16"/>
          <w:szCs w:val="16"/>
          <w:color w:val="auto"/>
        </w:rPr>
        <w:t>If stockholder approval is obtained for the change of the Company's name and for "Proposal 5--Reincorporation of the Company to Change the Company's State of Incorporation from Delaware to Nevada" and the Company proceeds with the reincorporation, then the Company intends to effect the name change in connection with the Company's reincorporation.</w:t>
      </w:r>
    </w:p>
    <w:p>
      <w:pPr>
        <w:spacing w:after="0" w:line="77" w:lineRule="exact"/>
        <w:rPr>
          <w:sz w:val="20"/>
          <w:szCs w:val="20"/>
          <w:color w:val="auto"/>
        </w:rPr>
      </w:pPr>
    </w:p>
    <w:p>
      <w:pPr>
        <w:jc w:val="center"/>
        <w:ind w:right="2679"/>
        <w:spacing w:after="0" w:line="299" w:lineRule="auto"/>
        <w:rPr>
          <w:sz w:val="20"/>
          <w:szCs w:val="20"/>
          <w:color w:val="auto"/>
        </w:rPr>
      </w:pPr>
      <w:r>
        <w:rPr>
          <w:rFonts w:ascii="Courier New" w:cs="Courier New" w:eastAsia="Courier New" w:hAnsi="Courier New"/>
          <w:sz w:val="16"/>
          <w:szCs w:val="16"/>
          <w:color w:val="auto"/>
        </w:rPr>
        <w:t>The Board of Directors unanimously recommends that you vote FOR the amendment to the Company's Certificate of Incorporation to change the name of the Company to "Casual Male Retail Group, Inc."</w:t>
      </w:r>
    </w:p>
    <w:p>
      <w:pPr>
        <w:spacing w:after="0" w:line="200" w:lineRule="exact"/>
        <w:rPr>
          <w:sz w:val="20"/>
          <w:szCs w:val="20"/>
          <w:color w:val="auto"/>
        </w:rPr>
      </w:pPr>
    </w:p>
    <w:p>
      <w:pPr>
        <w:spacing w:after="0" w:line="2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39" w:right="1440" w:bottom="1440" w:gutter="0" w:footer="0" w:header="0"/>
        </w:sectPr>
      </w:pPr>
    </w:p>
    <w:bookmarkStart w:id="19" w:name="page20"/>
    <w:bookmarkEnd w:id="19"/>
    <w:p>
      <w:pPr>
        <w:jc w:val="center"/>
        <w:ind w:right="2597"/>
        <w:spacing w:after="0"/>
        <w:rPr>
          <w:sz w:val="20"/>
          <w:szCs w:val="20"/>
          <w:color w:val="auto"/>
        </w:rPr>
      </w:pPr>
      <w:r>
        <w:rPr>
          <w:rFonts w:ascii="Courier New" w:cs="Courier New" w:eastAsia="Courier New" w:hAnsi="Courier New"/>
          <w:sz w:val="16"/>
          <w:szCs w:val="16"/>
          <w:color w:val="auto"/>
        </w:rPr>
        <w:t>PROPOSAL 3</w:t>
      </w:r>
    </w:p>
    <w:p>
      <w:pPr>
        <w:spacing w:after="0" w:line="186" w:lineRule="exact"/>
        <w:rPr>
          <w:sz w:val="20"/>
          <w:szCs w:val="20"/>
          <w:color w:val="auto"/>
        </w:rPr>
      </w:pPr>
    </w:p>
    <w:p>
      <w:pPr>
        <w:jc w:val="center"/>
        <w:ind w:right="2877"/>
        <w:spacing w:after="0"/>
        <w:rPr>
          <w:sz w:val="20"/>
          <w:szCs w:val="20"/>
          <w:color w:val="auto"/>
        </w:rPr>
      </w:pPr>
      <w:r>
        <w:rPr>
          <w:rFonts w:ascii="Courier New" w:cs="Courier New" w:eastAsia="Courier New" w:hAnsi="Courier New"/>
          <w:sz w:val="16"/>
          <w:szCs w:val="16"/>
          <w:color w:val="auto"/>
        </w:rPr>
        <w:t>AMENDMENT TO THE COMPANY'S CERTIFICATE OF INCORPORATION TO INCREASE THE</w:t>
      </w:r>
    </w:p>
    <w:p>
      <w:pPr>
        <w:spacing w:after="0" w:line="30" w:lineRule="exact"/>
        <w:rPr>
          <w:sz w:val="20"/>
          <w:szCs w:val="20"/>
          <w:color w:val="auto"/>
        </w:rPr>
      </w:pPr>
    </w:p>
    <w:p>
      <w:pPr>
        <w:jc w:val="center"/>
        <w:ind w:right="2877"/>
        <w:spacing w:after="0"/>
        <w:rPr>
          <w:sz w:val="20"/>
          <w:szCs w:val="20"/>
          <w:color w:val="auto"/>
        </w:rPr>
      </w:pPr>
      <w:r>
        <w:rPr>
          <w:rFonts w:ascii="Courier New" w:cs="Courier New" w:eastAsia="Courier New" w:hAnsi="Courier New"/>
          <w:sz w:val="16"/>
          <w:szCs w:val="16"/>
          <w:color w:val="auto"/>
        </w:rPr>
        <w:t>AUTHORIZED NUMBER OF SHARES OF COMMON STOCK</w:t>
      </w:r>
    </w:p>
    <w:p>
      <w:pPr>
        <w:spacing w:after="0" w:line="158" w:lineRule="exact"/>
        <w:rPr>
          <w:sz w:val="20"/>
          <w:szCs w:val="20"/>
          <w:color w:val="auto"/>
        </w:rPr>
      </w:pPr>
    </w:p>
    <w:p>
      <w:pPr>
        <w:ind w:left="2" w:right="2599"/>
        <w:spacing w:after="0" w:line="271" w:lineRule="auto"/>
        <w:rPr>
          <w:sz w:val="20"/>
          <w:szCs w:val="20"/>
          <w:color w:val="auto"/>
        </w:rPr>
      </w:pPr>
      <w:r>
        <w:rPr>
          <w:rFonts w:ascii="Courier New" w:cs="Courier New" w:eastAsia="Courier New" w:hAnsi="Courier New"/>
          <w:sz w:val="16"/>
          <w:szCs w:val="16"/>
          <w:color w:val="auto"/>
        </w:rPr>
        <w:t>The Company's Board of Directors has unanimously approved an amendment to the Certificate of Incorporation which would increase the total authorized number of shares of Common Stock from 50,000,000 shares to 75,000,000 shares, thereby increasing the total authorized capital stock of the Company from 51,000,000 shares to 76,000,000 shares.</w:t>
      </w:r>
    </w:p>
    <w:p>
      <w:pPr>
        <w:spacing w:after="0" w:line="77" w:lineRule="exact"/>
        <w:rPr>
          <w:sz w:val="20"/>
          <w:szCs w:val="20"/>
          <w:color w:val="auto"/>
        </w:rPr>
      </w:pPr>
    </w:p>
    <w:p>
      <w:pPr>
        <w:ind w:left="2" w:right="2679"/>
        <w:spacing w:after="0" w:line="280" w:lineRule="auto"/>
        <w:rPr>
          <w:sz w:val="20"/>
          <w:szCs w:val="20"/>
          <w:color w:val="auto"/>
        </w:rPr>
      </w:pPr>
      <w:r>
        <w:rPr>
          <w:rFonts w:ascii="Courier New" w:cs="Courier New" w:eastAsia="Courier New" w:hAnsi="Courier New"/>
          <w:sz w:val="16"/>
          <w:szCs w:val="16"/>
          <w:color w:val="auto"/>
        </w:rPr>
        <w:t>The amendment to the Certificate of Incorporation will increase the authorized Common Stock by amending and restating the first sentence of Article FOURTH of the Certificate of Incorporation so that, as amended and restated, it will read as follows:</w:t>
      </w:r>
    </w:p>
    <w:p>
      <w:pPr>
        <w:spacing w:after="0" w:line="71" w:lineRule="exact"/>
        <w:rPr>
          <w:sz w:val="20"/>
          <w:szCs w:val="20"/>
          <w:color w:val="auto"/>
        </w:rPr>
      </w:pPr>
    </w:p>
    <w:p>
      <w:pPr>
        <w:ind w:left="582" w:right="2599"/>
        <w:spacing w:after="0" w:line="271" w:lineRule="auto"/>
        <w:rPr>
          <w:sz w:val="20"/>
          <w:szCs w:val="20"/>
          <w:color w:val="auto"/>
        </w:rPr>
      </w:pPr>
      <w:r>
        <w:rPr>
          <w:rFonts w:ascii="Courier New" w:cs="Courier New" w:eastAsia="Courier New" w:hAnsi="Courier New"/>
          <w:sz w:val="16"/>
          <w:szCs w:val="16"/>
          <w:color w:val="auto"/>
        </w:rPr>
        <w:t>"The total number of shares of capital stock which the Corporation shall have the authority to issue shall be 75,000,000 shares of Common Stock having a par value of $.01 per share, amounting to an aggregate par value of $750,000, and 1,000,000 shares of Preferred Stock having a par value of $.01 per share, amounting to an aggregate par value of $10,000."</w:t>
      </w:r>
    </w:p>
    <w:p>
      <w:pPr>
        <w:spacing w:after="0" w:line="7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As of June 20, 2002, the authorized capital stock of the Company consisted of</w:t>
      </w:r>
    </w:p>
    <w:p>
      <w:pPr>
        <w:spacing w:after="0" w:line="30" w:lineRule="exact"/>
        <w:rPr>
          <w:sz w:val="20"/>
          <w:szCs w:val="20"/>
          <w:color w:val="auto"/>
        </w:rPr>
      </w:pPr>
    </w:p>
    <w:p>
      <w:pPr>
        <w:ind w:left="2" w:right="2599" w:hanging="2"/>
        <w:spacing w:after="0" w:line="261" w:lineRule="auto"/>
        <w:tabs>
          <w:tab w:leader="none" w:pos="3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50,000,000 shares of Common Stock and (b) 1,000,000 shares of preferred stock of the Company, of which 300,000 were previously designated as Series A Junior Participating Cumulative Preferred Stock ("Series A Preferred Stock") and 200,000 were previously designated as Series B Preferred Stock. As of June 20, 2002:</w:t>
      </w:r>
    </w:p>
    <w:p>
      <w:pPr>
        <w:spacing w:after="0" w:line="87" w:lineRule="exact"/>
        <w:rPr>
          <w:sz w:val="20"/>
          <w:szCs w:val="20"/>
          <w:color w:val="auto"/>
        </w:rPr>
      </w:pPr>
    </w:p>
    <w:p>
      <w:pPr>
        <w:ind w:left="962" w:hanging="485"/>
        <w:spacing w:after="0"/>
        <w:tabs>
          <w:tab w:leader="none" w:pos="96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15,999,010 shares of Common Stock were issued and outstanding,</w:t>
      </w:r>
    </w:p>
    <w:p>
      <w:pPr>
        <w:spacing w:after="0" w:line="185" w:lineRule="exact"/>
        <w:rPr>
          <w:rFonts w:ascii="Courier New" w:cs="Courier New" w:eastAsia="Courier New" w:hAnsi="Courier New"/>
          <w:sz w:val="16"/>
          <w:szCs w:val="16"/>
          <w:color w:val="auto"/>
        </w:rPr>
      </w:pPr>
    </w:p>
    <w:p>
      <w:pPr>
        <w:ind w:left="962" w:hanging="485"/>
        <w:spacing w:after="0"/>
        <w:tabs>
          <w:tab w:leader="none" w:pos="96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shares of Series A Preferred Stock were issued and outstanding,</w:t>
      </w:r>
    </w:p>
    <w:p>
      <w:pPr>
        <w:spacing w:after="0" w:line="185" w:lineRule="exact"/>
        <w:rPr>
          <w:rFonts w:ascii="Courier New" w:cs="Courier New" w:eastAsia="Courier New" w:hAnsi="Courier New"/>
          <w:sz w:val="16"/>
          <w:szCs w:val="16"/>
          <w:color w:val="auto"/>
        </w:rPr>
      </w:pPr>
    </w:p>
    <w:p>
      <w:pPr>
        <w:ind w:left="962" w:right="2679" w:hanging="485"/>
        <w:spacing w:after="0" w:line="293" w:lineRule="auto"/>
        <w:tabs>
          <w:tab w:leader="none" w:pos="96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180,162 shares of Series B Preferred Stock were issued and outstanding, which shares will be converted into an aggregate of 18,016,200 shares of Common Stock only if stockholder approval of the Proposed Issuance (as defined in Proposal 4 below) pursuant to "Proposal 4 - Issuance of Additional Common Stock" below is obtained,</w:t>
      </w:r>
    </w:p>
    <w:p>
      <w:pPr>
        <w:spacing w:after="0" w:line="63" w:lineRule="exact"/>
        <w:rPr>
          <w:rFonts w:ascii="Courier New" w:cs="Courier New" w:eastAsia="Courier New" w:hAnsi="Courier New"/>
          <w:sz w:val="15"/>
          <w:szCs w:val="15"/>
          <w:color w:val="auto"/>
        </w:rPr>
      </w:pPr>
    </w:p>
    <w:p>
      <w:pPr>
        <w:ind w:left="962" w:right="2779" w:hanging="485"/>
        <w:spacing w:after="0" w:line="355" w:lineRule="auto"/>
        <w:tabs>
          <w:tab w:leader="none" w:pos="96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3,039,769 shares of Common Stock and no shares of preferred stock of the Company were held in the treasury of the Company,</w:t>
      </w:r>
    </w:p>
    <w:p>
      <w:pPr>
        <w:spacing w:after="0" w:line="14" w:lineRule="exact"/>
        <w:rPr>
          <w:rFonts w:ascii="Courier New" w:cs="Courier New" w:eastAsia="Courier New" w:hAnsi="Courier New"/>
          <w:sz w:val="16"/>
          <w:szCs w:val="16"/>
          <w:color w:val="auto"/>
        </w:rPr>
      </w:pPr>
    </w:p>
    <w:p>
      <w:pPr>
        <w:ind w:left="962" w:right="2599" w:hanging="485"/>
        <w:spacing w:after="0" w:line="280" w:lineRule="auto"/>
        <w:tabs>
          <w:tab w:leader="none" w:pos="96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1,556,086 shares of Common Stock were reserved for issuance upon exercise of issued and outstanding options and 2,276,017 shares were reserved for future issuance of options under the Company's 1992 Stock Incentive Plan,</w:t>
      </w:r>
    </w:p>
    <w:p>
      <w:pPr>
        <w:spacing w:after="0" w:line="71" w:lineRule="exact"/>
        <w:rPr>
          <w:rFonts w:ascii="Courier New" w:cs="Courier New" w:eastAsia="Courier New" w:hAnsi="Courier New"/>
          <w:sz w:val="16"/>
          <w:szCs w:val="16"/>
          <w:color w:val="auto"/>
        </w:rPr>
      </w:pPr>
    </w:p>
    <w:p>
      <w:pPr>
        <w:ind w:left="962" w:right="2979" w:hanging="485"/>
        <w:spacing w:after="0" w:line="355" w:lineRule="auto"/>
        <w:tabs>
          <w:tab w:leader="none" w:pos="96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1,140,000 shares of Common Stock were reserved for future issuance upon exercise of other outstanding options, and</w:t>
      </w:r>
    </w:p>
    <w:p>
      <w:pPr>
        <w:spacing w:after="0" w:line="14" w:lineRule="exact"/>
        <w:rPr>
          <w:rFonts w:ascii="Courier New" w:cs="Courier New" w:eastAsia="Courier New" w:hAnsi="Courier New"/>
          <w:sz w:val="16"/>
          <w:szCs w:val="16"/>
          <w:color w:val="auto"/>
        </w:rPr>
      </w:pPr>
    </w:p>
    <w:p>
      <w:pPr>
        <w:ind w:left="962" w:right="2679" w:hanging="485"/>
        <w:spacing w:after="0" w:line="265" w:lineRule="auto"/>
        <w:tabs>
          <w:tab w:leader="none" w:pos="96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2,603,971 shares of Common Stock were reserved for future issuance upon exercise of the Conditional Warrants, which warrants will become exercisable only upon stockholder approval thereof pursuant to Proposal 4, and 787,500 shares of Common Stock were reserved for future issuance upon exercise of the Non-conditional Warrants (as defined in Proposal 4 below).</w:t>
      </w:r>
    </w:p>
    <w:p>
      <w:pPr>
        <w:spacing w:after="0" w:line="83" w:lineRule="exact"/>
        <w:rPr>
          <w:sz w:val="20"/>
          <w:szCs w:val="20"/>
          <w:color w:val="auto"/>
        </w:rPr>
      </w:pPr>
    </w:p>
    <w:p>
      <w:pPr>
        <w:ind w:left="2" w:right="2779"/>
        <w:spacing w:after="0" w:line="299" w:lineRule="auto"/>
        <w:rPr>
          <w:sz w:val="20"/>
          <w:szCs w:val="20"/>
          <w:color w:val="auto"/>
        </w:rPr>
      </w:pPr>
      <w:r>
        <w:rPr>
          <w:rFonts w:ascii="Courier New" w:cs="Courier New" w:eastAsia="Courier New" w:hAnsi="Courier New"/>
          <w:sz w:val="16"/>
          <w:szCs w:val="16"/>
          <w:color w:val="auto"/>
        </w:rPr>
        <w:t>Therefore, as of June 20, 2002, an aggregate of 45,418,553 shares of Common Stock, out of 50,000,000 shares authorized, were issued or reserved for future issuance.</w:t>
      </w:r>
    </w:p>
    <w:p>
      <w:pPr>
        <w:spacing w:after="0" w:line="56" w:lineRule="exact"/>
        <w:rPr>
          <w:sz w:val="20"/>
          <w:szCs w:val="20"/>
          <w:color w:val="auto"/>
        </w:rPr>
      </w:pPr>
    </w:p>
    <w:p>
      <w:pPr>
        <w:ind w:left="2" w:right="2599"/>
        <w:spacing w:after="0" w:line="265" w:lineRule="auto"/>
        <w:rPr>
          <w:sz w:val="20"/>
          <w:szCs w:val="20"/>
          <w:color w:val="auto"/>
        </w:rPr>
      </w:pPr>
      <w:r>
        <w:rPr>
          <w:rFonts w:ascii="Courier New" w:cs="Courier New" w:eastAsia="Courier New" w:hAnsi="Courier New"/>
          <w:sz w:val="16"/>
          <w:szCs w:val="16"/>
          <w:color w:val="auto"/>
        </w:rPr>
        <w:t>The increase in the authorized shares of Common Stock is intended to provide the Company's Board of Directors with authority, without further action of the stockholders, to issue the additional shares of Common Stock from time to time as the Board deems necessary. The Board of Directors believes it is desirable to have the ability to issue such additional shares of Common Stock from time to time to provide flexibility in addressing the financing needs</w:t>
      </w:r>
    </w:p>
    <w:p>
      <w:pPr>
        <w:spacing w:after="0" w:line="200" w:lineRule="exact"/>
        <w:rPr>
          <w:sz w:val="20"/>
          <w:szCs w:val="20"/>
          <w:color w:val="auto"/>
        </w:rPr>
      </w:pPr>
    </w:p>
    <w:p>
      <w:pPr>
        <w:spacing w:after="0" w:line="25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8" w:top="823" w:right="1440" w:bottom="1440" w:gutter="0" w:footer="0" w:header="0"/>
        </w:sectPr>
      </w:pPr>
    </w:p>
    <w:bookmarkStart w:id="20" w:name="page21"/>
    <w:bookmarkEnd w:id="20"/>
    <w:p>
      <w:pPr>
        <w:ind w:right="2599"/>
        <w:spacing w:after="0" w:line="256" w:lineRule="auto"/>
        <w:rPr>
          <w:sz w:val="20"/>
          <w:szCs w:val="20"/>
          <w:color w:val="auto"/>
        </w:rPr>
      </w:pPr>
      <w:r>
        <w:rPr>
          <w:rFonts w:ascii="Courier New" w:cs="Courier New" w:eastAsia="Courier New" w:hAnsi="Courier New"/>
          <w:sz w:val="16"/>
          <w:szCs w:val="16"/>
          <w:color w:val="auto"/>
        </w:rPr>
        <w:t>of the Company and for general corporate purposes. Potential uses of the additional authorized shares include equity financings, stock dividends or distributions, acquisitions of businesses, and issuance of Common Stock upon the exercise of warrants, options and other convertible securities of the Company. The Company does not have any current plans or proposals to issue any portion of the additional shares of Common Stock, other than potential issuances of Common Stock in connection with the conversion of the Series B Preferred Stock or the exercise of the Conditional Warrants and the Non-conditional Warrants issued in recent private placements.</w:t>
      </w:r>
    </w:p>
    <w:p>
      <w:pPr>
        <w:spacing w:after="0" w:line="94" w:lineRule="exact"/>
        <w:rPr>
          <w:sz w:val="20"/>
          <w:szCs w:val="20"/>
          <w:color w:val="auto"/>
        </w:rPr>
      </w:pPr>
    </w:p>
    <w:p>
      <w:pPr>
        <w:ind w:right="2599"/>
        <w:spacing w:after="0" w:line="271" w:lineRule="auto"/>
        <w:rPr>
          <w:sz w:val="20"/>
          <w:szCs w:val="20"/>
          <w:color w:val="auto"/>
        </w:rPr>
      </w:pPr>
      <w:r>
        <w:rPr>
          <w:rFonts w:ascii="Courier New" w:cs="Courier New" w:eastAsia="Courier New" w:hAnsi="Courier New"/>
          <w:sz w:val="15"/>
          <w:szCs w:val="15"/>
          <w:color w:val="auto"/>
        </w:rPr>
        <w:t>The increase in the authorized number of shares of Common Stock could have certain beneficial effects on the Company's principal stockholders depending upon the exact nature and circumstances of any actual issuances of authorized but unissued shares. The increase could deter takeovers, in that additional shares could be issued (within the limits imposed by applicable law) in one or more transactions that could make a change in control or takeover of the Company more difficult. For example, additional shares could be issued by the Company so as to dilute the stock ownership or voting rights of persons seeking to obtain control of the Company. Similarly, the issuance of additional shares to certain persons allied with the Company's management could have the effect of making it more difficult to remove the Company's current management by diluting the stock ownership or voting rights of persons seeking to cause such removal.</w:t>
      </w:r>
    </w:p>
    <w:p>
      <w:pPr>
        <w:spacing w:after="0" w:line="82"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6"/>
          <w:szCs w:val="16"/>
          <w:color w:val="auto"/>
        </w:rPr>
        <w:t>If stockholder approval is obtained for the increase of the authorized number of shares of Common Stock and for "Proposal 5--Reincorporation of the Company to Change the Company's State of Incorporation from Delaware to Nevada" and the Company proceeds with the reincorporation, then the Company intends to increase the authorized number of shares of Designs - Nevada Common Stock (as defined in Proposal 5 below) in connection with the reincorporation to reflect the increase of the authorized number of shares of Common Stock.</w:t>
      </w:r>
    </w:p>
    <w:p>
      <w:pPr>
        <w:spacing w:after="0" w:line="87" w:lineRule="exact"/>
        <w:rPr>
          <w:sz w:val="20"/>
          <w:szCs w:val="20"/>
          <w:color w:val="auto"/>
        </w:rPr>
      </w:pPr>
    </w:p>
    <w:p>
      <w:pPr>
        <w:ind w:left="280" w:right="2599" w:hanging="285"/>
        <w:spacing w:after="0" w:line="261" w:lineRule="auto"/>
        <w:rPr>
          <w:sz w:val="20"/>
          <w:szCs w:val="20"/>
          <w:color w:val="auto"/>
        </w:rPr>
      </w:pPr>
      <w:r>
        <w:rPr>
          <w:rFonts w:ascii="Courier New" w:cs="Courier New" w:eastAsia="Courier New" w:hAnsi="Courier New"/>
          <w:sz w:val="16"/>
          <w:szCs w:val="16"/>
          <w:color w:val="auto"/>
        </w:rPr>
        <w:t>The Board of Directors unanimously recommends that you vote FOR the amendment to the Company's Certificate of Incorporation to increase the authorized</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number of shares of Common Stock.</w:t>
      </w: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39" w:right="1440" w:bottom="1440" w:gutter="0" w:footer="0" w:header="0"/>
        </w:sectPr>
      </w:pPr>
    </w:p>
    <w:bookmarkStart w:id="21" w:name="page22"/>
    <w:bookmarkEnd w:id="21"/>
    <w:p>
      <w:pPr>
        <w:jc w:val="center"/>
        <w:ind w:right="2599"/>
        <w:spacing w:after="0"/>
        <w:rPr>
          <w:sz w:val="20"/>
          <w:szCs w:val="20"/>
          <w:color w:val="auto"/>
        </w:rPr>
      </w:pPr>
      <w:r>
        <w:rPr>
          <w:rFonts w:ascii="Courier New" w:cs="Courier New" w:eastAsia="Courier New" w:hAnsi="Courier New"/>
          <w:sz w:val="16"/>
          <w:szCs w:val="16"/>
          <w:color w:val="auto"/>
        </w:rPr>
        <w:t>PROPOSAL 4</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ISSUANCE OF ADDITIONAL COMMON STOCK</w:t>
      </w:r>
    </w:p>
    <w:p>
      <w:pPr>
        <w:spacing w:after="0" w:line="186"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6"/>
          <w:szCs w:val="16"/>
          <w:color w:val="auto"/>
        </w:rPr>
        <w:t>The Company's Board of Directors has unanimously approved the issuance by the Company of up to 20,620,171 shares of Common Stock, subject to adjustment pursuant to anti-dilution provisions, upon the conversion of the Series B Preferred Stock and the exercise of the Conditional Warrants. We refer to this as the "Proposed Issuance".</w:t>
      </w:r>
    </w:p>
    <w:p>
      <w:pPr>
        <w:spacing w:after="0" w:line="77"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The Series B Preferred Stock and the Conditional Warrants were issued in private placement transactions in connection with financing for the Casual Male Acquisition. During the same period, the Company issued shares of Common Stock and certain warrants as to which the issuance of Common Stock upon exercise of such warrants is not subject to stockholder approval (the "Non-conditional Warrants").</w:t>
      </w:r>
    </w:p>
    <w:p>
      <w:pPr>
        <w:spacing w:after="0" w:line="83"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Stockholder approval of the Proposed Issuance is not required either under governing Delaware law or under the Certificate of Incorporation or By-Laws of the Company. The Company is seeking stockholder approval pursuant to agreements with the holders of the Series B Preferred Stock and the Conditional Warrants and to take account of certain rules of the Nasdaq Stock Market. Pursuant to these rules, an issuer whose securities are listed on Nasdaq may be required to obtain the approval of a majority of stockholders voting on the proposal in person or by proxy if the issuer intends to issue an aggregate number of shares which exceeds 20% of the common stock outstanding prior to such issuance, subject to certain exceptions. The number of shares of Common Stock and the number of shares of Common Stock underlying the Non-conditional Warrants issued in connection with financing for the Casual Male Acquisition did not exceed 20% of the Common Stock outstanding as of the date such securities were issued. If the Proposed Issuance is approved, however, then the aggregate issuance of Common Stock and warrants to purchase Common Stock from May 1, 2002 to the time of the Proposed Issuance will exceed 20% of the Common Stock outstanding prior to May 1, 2002. Therefore, the Board of Directors determined to seek stockholder approval of the Proposed Issuance.</w:t>
      </w:r>
    </w:p>
    <w:p>
      <w:pPr>
        <w:spacing w:after="0" w:line="100" w:lineRule="exact"/>
        <w:rPr>
          <w:sz w:val="20"/>
          <w:szCs w:val="20"/>
          <w:color w:val="auto"/>
        </w:rPr>
      </w:pPr>
    </w:p>
    <w:p>
      <w:pPr>
        <w:ind w:right="2599"/>
        <w:spacing w:after="0" w:line="255" w:lineRule="auto"/>
        <w:rPr>
          <w:sz w:val="20"/>
          <w:szCs w:val="20"/>
          <w:color w:val="auto"/>
        </w:rPr>
      </w:pPr>
      <w:r>
        <w:rPr>
          <w:rFonts w:ascii="Courier New" w:cs="Courier New" w:eastAsia="Courier New" w:hAnsi="Courier New"/>
          <w:sz w:val="16"/>
          <w:szCs w:val="16"/>
          <w:color w:val="auto"/>
        </w:rPr>
        <w:t>In connection with the private placements, the Company agreed with the holders of Series B Preferred Stock to file a Registration Statement with the Commission with respect to the shares of Common Stock that would be issued upon conversion, after stockholder approval is obtained for the Proposed Issuance and also agreed, if the Proposed Issuance is approved, to register the shares of Common Stock subject to issuance upon exercise of the Conditional Warrants and the Non-conditional Warrants upon irrevocable notice of exercise by the holders. If the Proposed Issuance is approved, then up to 20,620,171 additional shares of Common Stock (subject to anti-dilution adjustment) will be registered or subject to registration.</w:t>
      </w:r>
    </w:p>
    <w:p>
      <w:pPr>
        <w:spacing w:after="0" w:line="92" w:lineRule="exact"/>
        <w:rPr>
          <w:sz w:val="20"/>
          <w:szCs w:val="20"/>
          <w:color w:val="auto"/>
        </w:rPr>
      </w:pPr>
    </w:p>
    <w:p>
      <w:pPr>
        <w:ind w:right="2599"/>
        <w:spacing w:after="0" w:line="254" w:lineRule="auto"/>
        <w:rPr>
          <w:sz w:val="20"/>
          <w:szCs w:val="20"/>
          <w:color w:val="auto"/>
        </w:rPr>
      </w:pPr>
      <w:r>
        <w:rPr>
          <w:rFonts w:ascii="Courier New" w:cs="Courier New" w:eastAsia="Courier New" w:hAnsi="Courier New"/>
          <w:sz w:val="16"/>
          <w:szCs w:val="16"/>
          <w:color w:val="auto"/>
        </w:rPr>
        <w:t>If stockholder approval for the Proposed Issuance is not received, then the Series B Preferred Stock will remain outstanding. The terms of the Series B Preferred Stock obligate the Company to pay to holders of the Series B Preferred Stock cumulative dividends at a rate of 15% per annum, which rate will increase to 20% per annum if the Company fails to obtain stockholder approval of the issuance of the required number of shares of Common Stock within 150 days from the date of issuance of the Series B Preferred Stock. For the complete terms of the Series B Preferred Stock, please see the Certificate of Designation for the Series B Preferred Stock attached as an exhibit to the Current Report on Form 8-K filed by the Company on May 23, 2002, which is incorporated herein by reference.</w:t>
      </w:r>
    </w:p>
    <w:p>
      <w:pPr>
        <w:spacing w:after="0" w:line="91" w:lineRule="exact"/>
        <w:rPr>
          <w:sz w:val="20"/>
          <w:szCs w:val="20"/>
          <w:color w:val="auto"/>
        </w:rPr>
      </w:pPr>
    </w:p>
    <w:p>
      <w:pPr>
        <w:ind w:right="2679"/>
        <w:spacing w:after="0" w:line="265" w:lineRule="auto"/>
        <w:rPr>
          <w:sz w:val="20"/>
          <w:szCs w:val="20"/>
          <w:color w:val="auto"/>
        </w:rPr>
      </w:pPr>
      <w:r>
        <w:rPr>
          <w:rFonts w:ascii="Courier New" w:cs="Courier New" w:eastAsia="Courier New" w:hAnsi="Courier New"/>
          <w:sz w:val="16"/>
          <w:szCs w:val="16"/>
          <w:color w:val="auto"/>
        </w:rPr>
        <w:t>Upon obtaining stockholder approval of the Proposed Issuance, each of the 180,162 shares of Series B Preferred Stock will be automatically converted into 100 shares of Common Stock, subject to adjustment in accordance with the terms of the Certificate of Designation, and the Conditional Warrants will become exercisable for a total of 2,603,971 shares of Common Stock, subject to adjustment pursuant to anti-dilution provisions.</w:t>
      </w:r>
    </w:p>
    <w:p>
      <w:pPr>
        <w:spacing w:after="0" w:line="83"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The terms of the Conditional Warrants do not specify the consequences if the Proposed Issuance is not approved. Although the Board of Directors does not intend to proceed with the Proposed Issuance if stockholder approval is not obtained, there is no assurance that the holders of the Conditional Warrants might not attempt to effect exercisability of the Conditional Warrants or obtain an equivalent economic benefit through other means.</w:t>
      </w:r>
    </w:p>
    <w:p>
      <w:pPr>
        <w:spacing w:after="0" w:line="200" w:lineRule="exact"/>
        <w:rPr>
          <w:sz w:val="20"/>
          <w:szCs w:val="20"/>
          <w:color w:val="auto"/>
        </w:rPr>
      </w:pPr>
    </w:p>
    <w:p>
      <w:pPr>
        <w:spacing w:after="0" w:line="25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1006" w:right="1440" w:bottom="1440" w:gutter="0" w:footer="0" w:header="0"/>
        </w:sectPr>
      </w:pPr>
    </w:p>
    <w:bookmarkStart w:id="22" w:name="page23"/>
    <w:bookmarkEnd w:id="22"/>
    <w:p>
      <w:pPr>
        <w:ind w:right="2599"/>
        <w:spacing w:after="0" w:line="280" w:lineRule="auto"/>
        <w:rPr>
          <w:sz w:val="20"/>
          <w:szCs w:val="20"/>
          <w:color w:val="auto"/>
        </w:rPr>
      </w:pPr>
      <w:r>
        <w:rPr>
          <w:rFonts w:ascii="Courier New" w:cs="Courier New" w:eastAsia="Courier New" w:hAnsi="Courier New"/>
          <w:sz w:val="16"/>
          <w:szCs w:val="16"/>
          <w:color w:val="auto"/>
        </w:rPr>
        <w:t>Although the Company is not a party to any such arrangements, the Company understands that ten holders of approximately 7,330,280 shares of Common Stock agreed with the purchasers of the Series B Preferred Stock, at the time of their investment, to vote in favor of the Proposed Issuance.</w:t>
      </w:r>
    </w:p>
    <w:p>
      <w:pPr>
        <w:spacing w:after="0" w:line="71" w:lineRule="exact"/>
        <w:rPr>
          <w:sz w:val="20"/>
          <w:szCs w:val="20"/>
          <w:color w:val="auto"/>
        </w:rPr>
      </w:pPr>
    </w:p>
    <w:p>
      <w:pPr>
        <w:ind w:right="2679"/>
        <w:spacing w:after="0" w:line="271" w:lineRule="auto"/>
        <w:rPr>
          <w:sz w:val="20"/>
          <w:szCs w:val="20"/>
          <w:color w:val="auto"/>
        </w:rPr>
      </w:pPr>
      <w:r>
        <w:rPr>
          <w:rFonts w:ascii="Courier New" w:cs="Courier New" w:eastAsia="Courier New" w:hAnsi="Courier New"/>
          <w:sz w:val="16"/>
          <w:szCs w:val="16"/>
          <w:color w:val="auto"/>
        </w:rPr>
        <w:t>If a majority of stockholders present in person or by proxy at the Annual Meeting vote in favor of the Proposed Issuance, then an aggregate of 20,620,171 shares of Common Stock, subject to adjustment pursuant to anti-dilution provisions, could be issued upon conversion of the Series B Preferred Stock and upon exercise of all of the Conditional Warrants.</w:t>
      </w:r>
    </w:p>
    <w:p>
      <w:pPr>
        <w:spacing w:after="0" w:line="77" w:lineRule="exact"/>
        <w:rPr>
          <w:sz w:val="20"/>
          <w:szCs w:val="20"/>
          <w:color w:val="auto"/>
        </w:rPr>
      </w:pPr>
    </w:p>
    <w:p>
      <w:pPr>
        <w:jc w:val="center"/>
        <w:ind w:left="340"/>
        <w:spacing w:after="0" w:line="299" w:lineRule="auto"/>
        <w:rPr>
          <w:sz w:val="20"/>
          <w:szCs w:val="20"/>
          <w:color w:val="auto"/>
        </w:rPr>
      </w:pPr>
      <w:r>
        <w:rPr>
          <w:rFonts w:ascii="Courier New" w:cs="Courier New" w:eastAsia="Courier New" w:hAnsi="Courier New"/>
          <w:sz w:val="16"/>
          <w:szCs w:val="16"/>
          <w:color w:val="auto"/>
        </w:rPr>
        <w:t>The Board of Directors unanimously recommends that you vote FOR the issuance of Common Stock upon conversion of the Series B Preferred Stock and exercise of the Conditional Warrants.</w:t>
      </w:r>
    </w:p>
    <w:p>
      <w:pPr>
        <w:spacing w:after="0" w:line="200" w:lineRule="exact"/>
        <w:rPr>
          <w:sz w:val="20"/>
          <w:szCs w:val="20"/>
          <w:color w:val="auto"/>
        </w:rPr>
      </w:pPr>
    </w:p>
    <w:p>
      <w:pPr>
        <w:spacing w:after="0" w:line="2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39" w:right="1440" w:bottom="1440" w:gutter="0" w:footer="0" w:header="0"/>
        </w:sectPr>
      </w:pPr>
    </w:p>
    <w:bookmarkStart w:id="23" w:name="page24"/>
    <w:bookmarkEnd w:id="23"/>
    <w:p>
      <w:pPr>
        <w:jc w:val="center"/>
        <w:ind w:right="2597"/>
        <w:spacing w:after="0"/>
        <w:rPr>
          <w:sz w:val="20"/>
          <w:szCs w:val="20"/>
          <w:color w:val="auto"/>
        </w:rPr>
      </w:pPr>
      <w:r>
        <w:rPr>
          <w:rFonts w:ascii="Courier New" w:cs="Courier New" w:eastAsia="Courier New" w:hAnsi="Courier New"/>
          <w:sz w:val="16"/>
          <w:szCs w:val="16"/>
          <w:color w:val="auto"/>
        </w:rPr>
        <w:t>PROPOSAL 5</w:t>
      </w:r>
    </w:p>
    <w:p>
      <w:pPr>
        <w:spacing w:after="0" w:line="186" w:lineRule="exact"/>
        <w:rPr>
          <w:sz w:val="20"/>
          <w:szCs w:val="20"/>
          <w:color w:val="auto"/>
        </w:rPr>
      </w:pPr>
    </w:p>
    <w:p>
      <w:pPr>
        <w:ind w:left="2762" w:right="2879" w:hanging="2765"/>
        <w:spacing w:after="0" w:line="355" w:lineRule="auto"/>
        <w:rPr>
          <w:sz w:val="20"/>
          <w:szCs w:val="20"/>
          <w:color w:val="auto"/>
        </w:rPr>
      </w:pPr>
      <w:r>
        <w:rPr>
          <w:rFonts w:ascii="Courier New" w:cs="Courier New" w:eastAsia="Courier New" w:hAnsi="Courier New"/>
          <w:sz w:val="16"/>
          <w:szCs w:val="16"/>
          <w:color w:val="auto"/>
        </w:rPr>
        <w:t>REINCORPORATION OF THE COMPANY TO CHANGE THE COMPANY'S STATE OF INCORPORATION FROM DELAWARE TO NEVADA</w:t>
      </w:r>
    </w:p>
    <w:p>
      <w:pPr>
        <w:spacing w:after="0" w:line="14" w:lineRule="exact"/>
        <w:rPr>
          <w:sz w:val="20"/>
          <w:szCs w:val="20"/>
          <w:color w:val="auto"/>
        </w:rPr>
      </w:pPr>
    </w:p>
    <w:p>
      <w:pPr>
        <w:ind w:left="2" w:right="2679"/>
        <w:spacing w:after="0" w:line="265" w:lineRule="auto"/>
        <w:rPr>
          <w:sz w:val="20"/>
          <w:szCs w:val="20"/>
          <w:color w:val="auto"/>
        </w:rPr>
      </w:pPr>
      <w:r>
        <w:rPr>
          <w:rFonts w:ascii="Courier New" w:cs="Courier New" w:eastAsia="Courier New" w:hAnsi="Courier New"/>
          <w:sz w:val="16"/>
          <w:szCs w:val="16"/>
          <w:color w:val="auto"/>
        </w:rPr>
        <w:t>The Company's Board of Directors has unanimously approved a proposal (the "Reincorporation Proposal") to change the Company's state of incorporation from Delaware to Nevada, by means of a merger (the "Merger") of the Company with and into Designs, Inc., a wholly owned subsidiary of the Company to be formed in Nevada ("Designs - Nevada"), which will be the surviving corporation in the Merger.</w:t>
      </w:r>
    </w:p>
    <w:p>
      <w:pPr>
        <w:spacing w:after="0" w:line="83" w:lineRule="exact"/>
        <w:rPr>
          <w:sz w:val="20"/>
          <w:szCs w:val="20"/>
          <w:color w:val="auto"/>
        </w:rPr>
      </w:pPr>
    </w:p>
    <w:p>
      <w:pPr>
        <w:ind w:left="2" w:right="2679"/>
        <w:spacing w:after="0" w:line="265" w:lineRule="auto"/>
        <w:rPr>
          <w:sz w:val="20"/>
          <w:szCs w:val="20"/>
          <w:color w:val="auto"/>
        </w:rPr>
      </w:pPr>
      <w:r>
        <w:rPr>
          <w:rFonts w:ascii="Courier New" w:cs="Courier New" w:eastAsia="Courier New" w:hAnsi="Courier New"/>
          <w:sz w:val="16"/>
          <w:szCs w:val="16"/>
          <w:color w:val="auto"/>
        </w:rPr>
        <w:t>The following discussion summarizes certain aspects of the Reincorporation Proposal, including certain material differences between Delaware corporate law and Nevada corporate law. This summary is not intended to be a complete description of the Reincorporation Proposal or the differences between stockholders' rights under Delaware corporate law and Nevada corporate law, and is qualified in its entirety by reference to the following documents:</w:t>
      </w:r>
    </w:p>
    <w:p>
      <w:pPr>
        <w:spacing w:after="0" w:line="83" w:lineRule="exact"/>
        <w:rPr>
          <w:sz w:val="20"/>
          <w:szCs w:val="20"/>
          <w:color w:val="auto"/>
        </w:rPr>
      </w:pPr>
    </w:p>
    <w:p>
      <w:pPr>
        <w:ind w:left="962" w:right="2599" w:hanging="485"/>
        <w:spacing w:after="0" w:line="355" w:lineRule="auto"/>
        <w:tabs>
          <w:tab w:leader="none" w:pos="96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Agreement and Plan of Merger between the Company and Designs - Nevada (the "Merger Agreement") attached hereto as Exhibit A;</w:t>
      </w:r>
    </w:p>
    <w:p>
      <w:pPr>
        <w:spacing w:after="0" w:line="14" w:lineRule="exact"/>
        <w:rPr>
          <w:rFonts w:ascii="Courier New" w:cs="Courier New" w:eastAsia="Courier New" w:hAnsi="Courier New"/>
          <w:sz w:val="16"/>
          <w:szCs w:val="16"/>
          <w:color w:val="auto"/>
        </w:rPr>
      </w:pPr>
    </w:p>
    <w:p>
      <w:pPr>
        <w:ind w:left="962" w:right="3259" w:hanging="485"/>
        <w:spacing w:after="0" w:line="355" w:lineRule="auto"/>
        <w:tabs>
          <w:tab w:leader="none" w:pos="96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Articles of Incorporation of Designs - Nevada (the "New Charter") attached hereto as Exhibit B; and</w:t>
      </w:r>
    </w:p>
    <w:p>
      <w:pPr>
        <w:spacing w:after="0" w:line="14" w:lineRule="exact"/>
        <w:rPr>
          <w:rFonts w:ascii="Courier New" w:cs="Courier New" w:eastAsia="Courier New" w:hAnsi="Courier New"/>
          <w:sz w:val="16"/>
          <w:szCs w:val="16"/>
          <w:color w:val="auto"/>
        </w:rPr>
      </w:pPr>
    </w:p>
    <w:p>
      <w:pPr>
        <w:ind w:left="962" w:right="3159" w:hanging="485"/>
        <w:spacing w:after="0" w:line="355" w:lineRule="auto"/>
        <w:tabs>
          <w:tab w:leader="none" w:pos="96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By-laws of Designs - Nevada (the "New By-laws") attached hereto as Exhibit C.</w:t>
      </w:r>
    </w:p>
    <w:p>
      <w:pPr>
        <w:spacing w:after="0" w:line="14" w:lineRule="exact"/>
        <w:rPr>
          <w:sz w:val="20"/>
          <w:szCs w:val="20"/>
          <w:color w:val="auto"/>
        </w:rPr>
      </w:pPr>
    </w:p>
    <w:p>
      <w:pPr>
        <w:ind w:left="2" w:right="2679"/>
        <w:spacing w:after="0" w:line="293" w:lineRule="auto"/>
        <w:rPr>
          <w:sz w:val="20"/>
          <w:szCs w:val="20"/>
          <w:color w:val="auto"/>
        </w:rPr>
      </w:pPr>
      <w:r>
        <w:rPr>
          <w:rFonts w:ascii="Courier New" w:cs="Courier New" w:eastAsia="Courier New" w:hAnsi="Courier New"/>
          <w:sz w:val="15"/>
          <w:szCs w:val="15"/>
          <w:color w:val="auto"/>
        </w:rPr>
        <w:t>Approval of the Reincorporation Proposal requires the affirmative vote of a majority of the issued and outstanding shares of Common Stock entitled to vote thereon. The approval of the Reincorporation Proposal by the Company's stockholders will constitute an adoption of the Merger Agreement, the New Charter and the New By-laws and will affect certain rights of the stockholders.</w:t>
      </w:r>
    </w:p>
    <w:p>
      <w:pPr>
        <w:spacing w:after="0" w:line="63" w:lineRule="exact"/>
        <w:rPr>
          <w:sz w:val="20"/>
          <w:szCs w:val="20"/>
          <w:color w:val="auto"/>
        </w:rPr>
      </w:pPr>
    </w:p>
    <w:p>
      <w:pPr>
        <w:ind w:left="2" w:right="2599"/>
        <w:spacing w:after="0" w:line="388" w:lineRule="auto"/>
        <w:rPr>
          <w:sz w:val="20"/>
          <w:szCs w:val="20"/>
          <w:color w:val="auto"/>
        </w:rPr>
      </w:pPr>
      <w:r>
        <w:rPr>
          <w:rFonts w:ascii="Courier New" w:cs="Courier New" w:eastAsia="Courier New" w:hAnsi="Courier New"/>
          <w:sz w:val="15"/>
          <w:szCs w:val="15"/>
          <w:color w:val="auto"/>
        </w:rPr>
        <w:t>Stockholders are urged to read carefully this Proxy Statement and the exhibits attached hereto in their entirety before voting on the Reincorporation Proposal.</w:t>
      </w:r>
    </w:p>
    <w:p>
      <w:pPr>
        <w:spacing w:after="0" w:line="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Principal Reasons for the Reincorporation</w:t>
      </w:r>
    </w:p>
    <w:p>
      <w:pPr>
        <w:spacing w:after="0" w:line="186" w:lineRule="exact"/>
        <w:rPr>
          <w:sz w:val="20"/>
          <w:szCs w:val="20"/>
          <w:color w:val="auto"/>
        </w:rPr>
      </w:pPr>
    </w:p>
    <w:p>
      <w:pPr>
        <w:ind w:left="2" w:right="2599"/>
        <w:spacing w:after="0" w:line="265" w:lineRule="auto"/>
        <w:rPr>
          <w:sz w:val="20"/>
          <w:szCs w:val="20"/>
          <w:color w:val="auto"/>
        </w:rPr>
      </w:pPr>
      <w:r>
        <w:rPr>
          <w:rFonts w:ascii="Courier New" w:cs="Courier New" w:eastAsia="Courier New" w:hAnsi="Courier New"/>
          <w:sz w:val="16"/>
          <w:szCs w:val="16"/>
          <w:color w:val="auto"/>
        </w:rPr>
        <w:t>The Board of Directors of the Company believes that the best interests of the Company and its stockholders will be served by changing the Company's state of incorporation from Delaware to Nevada. The principal reason for the reincorporation is that the franchise tax and related fees that the Company pays as a Delaware corporation are significantly higher than the comparable fees for a Nevada corporation.</w:t>
      </w:r>
    </w:p>
    <w:p>
      <w:pPr>
        <w:spacing w:after="0" w:line="83"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Principal Features of the Reincorporation Proposal</w:t>
      </w:r>
    </w:p>
    <w:p>
      <w:pPr>
        <w:spacing w:after="0" w:line="186" w:lineRule="exact"/>
        <w:rPr>
          <w:sz w:val="20"/>
          <w:szCs w:val="20"/>
          <w:color w:val="auto"/>
        </w:rPr>
      </w:pPr>
    </w:p>
    <w:p>
      <w:pPr>
        <w:ind w:left="2" w:right="2679"/>
        <w:spacing w:after="0" w:line="264" w:lineRule="auto"/>
        <w:rPr>
          <w:sz w:val="20"/>
          <w:szCs w:val="20"/>
          <w:color w:val="auto"/>
        </w:rPr>
      </w:pPr>
      <w:r>
        <w:rPr>
          <w:rFonts w:ascii="Courier New" w:cs="Courier New" w:eastAsia="Courier New" w:hAnsi="Courier New"/>
          <w:sz w:val="15"/>
          <w:szCs w:val="15"/>
          <w:color w:val="auto"/>
        </w:rPr>
        <w:t>At the Effective Date of the Merger (as defined in the Merger Agreement), the separate existence of the Company will cease and Designs - Nevada, as the surviving corporation, will succeed to all business, properties, assets and liabilities of the Company. Upon the Effective Date of the Merger, (i) each outstanding share of Common Stock of the Company immediately prior to the Effective Date will be converted into one (1) share of common stock, par value $0.01 per share, of Designs - Nevada (the "Designs - Nevada Common Stock"); and</w:t>
      </w:r>
    </w:p>
    <w:p>
      <w:pPr>
        <w:spacing w:after="0" w:line="3" w:lineRule="exact"/>
        <w:rPr>
          <w:sz w:val="20"/>
          <w:szCs w:val="20"/>
          <w:color w:val="auto"/>
        </w:rPr>
      </w:pPr>
    </w:p>
    <w:p>
      <w:pPr>
        <w:ind w:left="2" w:right="2779" w:hanging="2"/>
        <w:spacing w:after="0" w:line="252" w:lineRule="auto"/>
        <w:tabs>
          <w:tab w:leader="none" w:pos="47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outstanding option, warrant or other security convertible into or exercisable for shares of the Company's Common Stock will be automatically assumed by Designs - Nevada and will be converted into the right to acquire an equal number of shares of Designs - Nevada Common Stock, under the same terms and conditions as the original options, warrants and convertible securities of the Company. If stockholder approval is obtained for "Proposal 4--Issuance of Additional Common Stock," then no shares of Series B Preferred Stock of the Company will remain outstanding on the Effective Date of the Merger. No shares of Series A Preferred Stock of the Company are outstanding.</w:t>
      </w:r>
    </w:p>
    <w:p>
      <w:pPr>
        <w:spacing w:after="0" w:line="200" w:lineRule="exact"/>
        <w:rPr>
          <w:sz w:val="20"/>
          <w:szCs w:val="20"/>
          <w:color w:val="auto"/>
        </w:rPr>
      </w:pPr>
    </w:p>
    <w:p>
      <w:pPr>
        <w:spacing w:after="0" w:line="26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1"/>
          </w:cols>
          <w:pgMar w:left="238" w:top="823" w:right="1440" w:bottom="1440" w:gutter="0" w:footer="0" w:header="0"/>
        </w:sectPr>
      </w:pPr>
    </w:p>
    <w:bookmarkStart w:id="24" w:name="page25"/>
    <w:bookmarkEnd w:id="24"/>
    <w:p>
      <w:pPr>
        <w:ind w:left="2" w:right="2599"/>
        <w:spacing w:after="0" w:line="280" w:lineRule="auto"/>
        <w:rPr>
          <w:sz w:val="20"/>
          <w:szCs w:val="20"/>
          <w:color w:val="auto"/>
        </w:rPr>
      </w:pPr>
      <w:r>
        <w:rPr>
          <w:rFonts w:ascii="Courier New" w:cs="Courier New" w:eastAsia="Courier New" w:hAnsi="Courier New"/>
          <w:sz w:val="16"/>
          <w:szCs w:val="16"/>
          <w:color w:val="auto"/>
        </w:rPr>
        <w:t>No action need be taken by the Company's stockholders to exchange their stock certificates as a result of the Merger. Certificates for shares of the Company's Common Stock will automatically represent an equal number of shares of Designs - Nevada Common Stock.</w:t>
      </w:r>
    </w:p>
    <w:p>
      <w:pPr>
        <w:spacing w:after="0" w:line="71" w:lineRule="exact"/>
        <w:rPr>
          <w:sz w:val="20"/>
          <w:szCs w:val="20"/>
          <w:color w:val="auto"/>
        </w:rPr>
      </w:pPr>
    </w:p>
    <w:p>
      <w:pPr>
        <w:ind w:left="2" w:right="2599"/>
        <w:spacing w:after="0" w:line="255" w:lineRule="auto"/>
        <w:rPr>
          <w:sz w:val="20"/>
          <w:szCs w:val="20"/>
          <w:color w:val="auto"/>
        </w:rPr>
      </w:pPr>
      <w:r>
        <w:rPr>
          <w:rFonts w:ascii="Courier New" w:cs="Courier New" w:eastAsia="Courier New" w:hAnsi="Courier New"/>
          <w:sz w:val="16"/>
          <w:szCs w:val="16"/>
          <w:color w:val="auto"/>
        </w:rPr>
        <w:t>Approval of the Reincorporation Proposal will effect a change in the legal domicile of the Company and certain other changes of a legal nature, as described in this Proxy Statement. Reincorporation of the Company will not, in and of itself, result in any change in the business, management, location of the principal executive offices, assets, liabilities or stockholders' equity of the Company. Reincorporation of the Company will not change the state of incorporation of any subsidiary of the Company. The number of directors comprising the Board of Directors of Designs - Nevada will be eight initially, each of whom is currently a director of the Company, and each of the executive officers of the Company will serve as executive officers of Designs - Nevada.</w:t>
      </w:r>
    </w:p>
    <w:p>
      <w:pPr>
        <w:spacing w:after="0" w:line="92" w:lineRule="exact"/>
        <w:rPr>
          <w:sz w:val="20"/>
          <w:szCs w:val="20"/>
          <w:color w:val="auto"/>
        </w:rPr>
      </w:pPr>
    </w:p>
    <w:p>
      <w:pPr>
        <w:ind w:left="2" w:right="2599"/>
        <w:spacing w:after="0" w:line="262" w:lineRule="auto"/>
        <w:rPr>
          <w:sz w:val="20"/>
          <w:szCs w:val="20"/>
          <w:color w:val="auto"/>
        </w:rPr>
      </w:pPr>
      <w:r>
        <w:rPr>
          <w:rFonts w:ascii="Courier New" w:cs="Courier New" w:eastAsia="Courier New" w:hAnsi="Courier New"/>
          <w:sz w:val="15"/>
          <w:szCs w:val="15"/>
          <w:color w:val="auto"/>
        </w:rPr>
        <w:t>Upon approval of the Reincorporation Proposal by the Company's stockholders, the proposed reincorporation will be consummated at such time as the Boards of Directors of the Company and Designs - Nevada determine is advisable. The Merger Agreement provides, however, that the Merger may be deferred or abandoned by the Board of Directors of the Company prior to the Effective Date, either before or after stockholder approval. The Board of Directors of the Company anticipates that it may determine to defer or abandon the reincorporation in the event that any third-party consent therefor deemed material by the Board of Directors shall not have been obtained. After approval by the stockholders of the Company of the Merger Agreement, no amendment shall be made which (a) alters or changes the amount or kind of shares of Designs - Nevada to be received on conversion of shares of the Company as provided, (b) alters or changes any term of the Articles of Incorporation of Designs - Nevada to be effected by the Merger, or</w:t>
      </w:r>
    </w:p>
    <w:p>
      <w:pPr>
        <w:spacing w:after="0" w:line="1" w:lineRule="exact"/>
        <w:rPr>
          <w:sz w:val="20"/>
          <w:szCs w:val="20"/>
          <w:color w:val="auto"/>
        </w:rPr>
      </w:pPr>
    </w:p>
    <w:p>
      <w:pPr>
        <w:ind w:left="2" w:right="2599" w:hanging="2"/>
        <w:spacing w:after="0" w:line="280" w:lineRule="auto"/>
        <w:tabs>
          <w:tab w:leader="none" w:pos="3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alters or changes any of the terms and conditions of the Merger Agreement if such alteration or change would adversely affect the rights of stockholders of the Company, without the further approval of such stockholders.</w:t>
      </w:r>
    </w:p>
    <w:p>
      <w:pPr>
        <w:spacing w:after="0" w:line="71" w:lineRule="exact"/>
        <w:rPr>
          <w:sz w:val="20"/>
          <w:szCs w:val="20"/>
          <w:color w:val="auto"/>
        </w:rPr>
      </w:pPr>
    </w:p>
    <w:p>
      <w:pPr>
        <w:ind w:left="2" w:right="2879"/>
        <w:spacing w:after="0" w:line="280" w:lineRule="auto"/>
        <w:rPr>
          <w:sz w:val="20"/>
          <w:szCs w:val="20"/>
          <w:color w:val="auto"/>
        </w:rPr>
      </w:pPr>
      <w:r>
        <w:rPr>
          <w:rFonts w:ascii="Courier New" w:cs="Courier New" w:eastAsia="Courier New" w:hAnsi="Courier New"/>
          <w:sz w:val="16"/>
          <w:szCs w:val="16"/>
          <w:color w:val="auto"/>
        </w:rPr>
        <w:t>The Common Stock is currently listed on the Nasdaq National Market, and following consummation of the Merger, the Company intends to have shares of Designs - Nevada Common Stock continue to trade on the Nasdaq National Market without interruption.</w:t>
      </w:r>
    </w:p>
    <w:p>
      <w:pPr>
        <w:spacing w:after="0" w:line="71" w:lineRule="exact"/>
        <w:rPr>
          <w:sz w:val="20"/>
          <w:szCs w:val="20"/>
          <w:color w:val="auto"/>
        </w:rPr>
      </w:pPr>
    </w:p>
    <w:p>
      <w:pPr>
        <w:ind w:left="2" w:right="2599"/>
        <w:spacing w:after="0" w:line="258" w:lineRule="auto"/>
        <w:rPr>
          <w:sz w:val="20"/>
          <w:szCs w:val="20"/>
          <w:color w:val="auto"/>
        </w:rPr>
      </w:pPr>
      <w:r>
        <w:rPr>
          <w:rFonts w:ascii="Courier New" w:cs="Courier New" w:eastAsia="Courier New" w:hAnsi="Courier New"/>
          <w:sz w:val="16"/>
          <w:szCs w:val="16"/>
          <w:color w:val="auto"/>
        </w:rPr>
        <w:t>If stockholder approval is obtained for "Proposal 2--Amendment to the Company's Certificate of Incorporation to Change the Name of the Company to "Casual Male Retail Group, Inc."," and for the Reincorporation Proposal, then the Company intends to effect the name change in connection with the reincorporation and to change the symbol under which the Designs - Nevada Common Stock trades on the Nasdaq National Market to a symbol reflecting the Company's new name. Otherwise, the Designs - Nevada Common Stock will continue to trade under the same ticker symbol "DESI".</w:t>
      </w:r>
    </w:p>
    <w:p>
      <w:pPr>
        <w:spacing w:after="0" w:line="92" w:lineRule="exact"/>
        <w:rPr>
          <w:sz w:val="20"/>
          <w:szCs w:val="20"/>
          <w:color w:val="auto"/>
        </w:rPr>
      </w:pPr>
    </w:p>
    <w:p>
      <w:pPr>
        <w:ind w:left="2" w:right="2599"/>
        <w:spacing w:after="0" w:line="265" w:lineRule="auto"/>
        <w:rPr>
          <w:sz w:val="20"/>
          <w:szCs w:val="20"/>
          <w:color w:val="auto"/>
        </w:rPr>
      </w:pPr>
      <w:r>
        <w:rPr>
          <w:rFonts w:ascii="Courier New" w:cs="Courier New" w:eastAsia="Courier New" w:hAnsi="Courier New"/>
          <w:sz w:val="16"/>
          <w:szCs w:val="16"/>
          <w:color w:val="auto"/>
        </w:rPr>
        <w:t>If stockholder approval is obtained for "Proposal 3--Amendment to the Company's Certificate of Incorporation to Increase the Authorized Number of Shares of Common Stock," and for the Reincorporation Proposal, then the Company intends to increase the authorized number of shares of Designs - Nevada Common Stock in connection with the reincorporation to reflect the increase of the authorized number of shares of Common Stock of the Company.</w:t>
      </w:r>
    </w:p>
    <w:p>
      <w:pPr>
        <w:spacing w:after="0" w:line="83"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Rights of Stockholders to Dissent</w:t>
      </w:r>
    </w:p>
    <w:p>
      <w:pPr>
        <w:spacing w:after="0" w:line="186" w:lineRule="exact"/>
        <w:rPr>
          <w:sz w:val="20"/>
          <w:szCs w:val="20"/>
          <w:color w:val="auto"/>
        </w:rPr>
      </w:pPr>
    </w:p>
    <w:p>
      <w:pPr>
        <w:ind w:left="2" w:right="2679"/>
        <w:spacing w:after="0" w:line="271" w:lineRule="auto"/>
        <w:rPr>
          <w:sz w:val="20"/>
          <w:szCs w:val="20"/>
          <w:color w:val="auto"/>
        </w:rPr>
      </w:pPr>
      <w:r>
        <w:rPr>
          <w:rFonts w:ascii="Courier New" w:cs="Courier New" w:eastAsia="Courier New" w:hAnsi="Courier New"/>
          <w:sz w:val="16"/>
          <w:szCs w:val="16"/>
          <w:color w:val="auto"/>
        </w:rPr>
        <w:t>Since the Reincorporation Proposal will be conducted through a merger of the Company into its wholly owned subsidiary, Designs - Nevada, the Company's stockholders will not have a right to dissent from the reincorporation and seek to receive the fair market value of their shares in cash under the Delaware General Corporation Law.</w:t>
      </w:r>
    </w:p>
    <w:p>
      <w:pPr>
        <w:spacing w:after="0" w:line="7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Comparison of Stockholders' Rights</w:t>
      </w:r>
    </w:p>
    <w:p>
      <w:pPr>
        <w:spacing w:after="0" w:line="186" w:lineRule="exact"/>
        <w:rPr>
          <w:sz w:val="20"/>
          <w:szCs w:val="20"/>
          <w:color w:val="auto"/>
        </w:rPr>
      </w:pPr>
    </w:p>
    <w:p>
      <w:pPr>
        <w:ind w:left="2" w:right="2599"/>
        <w:spacing w:after="0" w:line="293" w:lineRule="auto"/>
        <w:rPr>
          <w:sz w:val="20"/>
          <w:szCs w:val="20"/>
          <w:color w:val="auto"/>
        </w:rPr>
      </w:pPr>
      <w:r>
        <w:rPr>
          <w:rFonts w:ascii="Courier New" w:cs="Courier New" w:eastAsia="Courier New" w:hAnsi="Courier New"/>
          <w:sz w:val="15"/>
          <w:szCs w:val="15"/>
          <w:color w:val="auto"/>
        </w:rPr>
        <w:t>Although the corporate statutes of Nevada and Delaware are substantially similar, certain differences exist. This summary is not intended to be complete, and stockholders should refer to the Delaware General Corporation Law (the "Delaware Law") and the Nevada Revised Statutes, as amended (the "Nevada Law"), to understand how these laws will apply to the Company and Designs - Nevada.</w:t>
      </w:r>
    </w:p>
    <w:p>
      <w:pPr>
        <w:spacing w:after="0" w:line="200" w:lineRule="exact"/>
        <w:rPr>
          <w:sz w:val="20"/>
          <w:szCs w:val="20"/>
          <w:color w:val="auto"/>
        </w:rPr>
      </w:pPr>
    </w:p>
    <w:p>
      <w:pPr>
        <w:spacing w:after="0" w:line="23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1"/>
          </w:cols>
          <w:pgMar w:left="238" w:top="639"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Classified Board of Directors</w:t>
      </w:r>
    </w:p>
    <w:p>
      <w:pPr>
        <w:spacing w:after="0" w:line="186" w:lineRule="exact"/>
        <w:rPr>
          <w:sz w:val="20"/>
          <w:szCs w:val="20"/>
          <w:color w:val="auto"/>
        </w:rPr>
      </w:pPr>
    </w:p>
    <w:p>
      <w:pPr>
        <w:ind w:right="2679"/>
        <w:spacing w:after="0" w:line="256" w:lineRule="auto"/>
        <w:rPr>
          <w:sz w:val="20"/>
          <w:szCs w:val="20"/>
          <w:color w:val="auto"/>
        </w:rPr>
      </w:pPr>
      <w:r>
        <w:rPr>
          <w:rFonts w:ascii="Courier New" w:cs="Courier New" w:eastAsia="Courier New" w:hAnsi="Courier New"/>
          <w:sz w:val="16"/>
          <w:szCs w:val="16"/>
          <w:color w:val="auto"/>
        </w:rPr>
        <w:t>The Delaware Law permits any Delaware corporation to classify its board of directors into as many as three classes with staggered terms of office. After initial implementation of a classified board, one class will be elected at each annual meeting of the stockholders to serve for a term of three years or until their successors are elected to take office. The Nevada Law also permits corporations to classify boards of directors provided that at least one-fourth of the total number of directors is elected annually. Since neither the Company nor Designs - Nevada has a classified board, there will be no difference in stockholders' rights with respect to this issue.</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Cumulative Voting</w:t>
      </w:r>
    </w:p>
    <w:p>
      <w:pPr>
        <w:spacing w:after="0" w:line="186" w:lineRule="exact"/>
        <w:rPr>
          <w:sz w:val="20"/>
          <w:szCs w:val="20"/>
          <w:color w:val="auto"/>
        </w:rPr>
      </w:pPr>
    </w:p>
    <w:p>
      <w:pPr>
        <w:ind w:right="2599"/>
        <w:spacing w:after="0" w:line="271" w:lineRule="auto"/>
        <w:rPr>
          <w:sz w:val="20"/>
          <w:szCs w:val="20"/>
          <w:color w:val="auto"/>
        </w:rPr>
      </w:pPr>
      <w:r>
        <w:rPr>
          <w:rFonts w:ascii="Courier New" w:cs="Courier New" w:eastAsia="Courier New" w:hAnsi="Courier New"/>
          <w:sz w:val="15"/>
          <w:szCs w:val="15"/>
          <w:color w:val="auto"/>
        </w:rPr>
        <w:t>Cumulative voting for directors entitles stockholders to cast a number of votes that is equal to the number of voting shares held multiplied by the number of directors to be elected. Stockholders may cast all such votes either for one nominee or distribute such votes among up to as many candidates as there are positions to be filled. Cumulative voting may enable a minority stockholder or group of stockholders to elect at least one representative to the board of directors where such stockholders would not otherwise be able to elect any directors. The Nevada Law permits cumulative voting in the election of directors as long as certain procedures are followed. A Delaware corporation may provide for cumulative voting in the corporation's certificate of incorporation. Since neither the Company nor Designs - Nevada utilizes cumulative voting, there will be no significant difference in stockholders' rights with respect to this issue.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Vacancies on the Board of Directors</w:t>
      </w:r>
    </w:p>
    <w:p>
      <w:pPr>
        <w:spacing w:after="0" w:line="186" w:lineRule="exact"/>
        <w:rPr>
          <w:sz w:val="20"/>
          <w:szCs w:val="20"/>
          <w:color w:val="auto"/>
        </w:rPr>
      </w:pPr>
    </w:p>
    <w:p>
      <w:pPr>
        <w:ind w:right="2779"/>
        <w:spacing w:after="0" w:line="254" w:lineRule="auto"/>
        <w:rPr>
          <w:sz w:val="20"/>
          <w:szCs w:val="20"/>
          <w:color w:val="auto"/>
        </w:rPr>
      </w:pPr>
      <w:r>
        <w:rPr>
          <w:rFonts w:ascii="Courier New" w:cs="Courier New" w:eastAsia="Courier New" w:hAnsi="Courier New"/>
          <w:sz w:val="16"/>
          <w:szCs w:val="16"/>
          <w:color w:val="auto"/>
        </w:rPr>
        <w:t>Under the Delaware Law, vacancies on the board of directors will be filled by the affirmative vote of a majority of the remaining directors then in office, even if less than a quorum unless otherwise provided in the certificate of incorporation or by-laws. Any director so appointed will hold office for the remainder of the full term of the class of directors in which the vacancy occurred. Similarly, the Nevada Law provides that vacancies may be filled by a majority of the remaining directors, though less than a quorum, unless the articles of incorporation provide otherwise. The By-Laws of the Company and Designs - Nevada address the issue of director vacancies in the same manner. Therefore, the change from Delaware law to Nevada law will not alter stockholders' rights with respect to filling vacancies.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Removal of Directors</w:t>
      </w:r>
    </w:p>
    <w:p>
      <w:pPr>
        <w:spacing w:after="0" w:line="186"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Under both the Delaware Law and the Nevada Law, any director or the entire board of directors may be removed, with or without cause, upon the vote of the shares entitled to vote in the election of directors. Under the Delaware Law, a majority vote is required to remove a director. Under the Nevada Law, a director may be removed only by the vote of stockholders casting not less than two-thirds of the outstanding voting rights.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of Officers and Directors and Advancement of Expenses</w:t>
      </w:r>
    </w:p>
    <w:p>
      <w:pPr>
        <w:spacing w:after="0" w:line="186" w:lineRule="exact"/>
        <w:rPr>
          <w:sz w:val="20"/>
          <w:szCs w:val="20"/>
          <w:color w:val="auto"/>
        </w:rPr>
      </w:pPr>
    </w:p>
    <w:p>
      <w:pPr>
        <w:ind w:right="2599"/>
        <w:spacing w:after="0" w:line="248" w:lineRule="auto"/>
        <w:rPr>
          <w:sz w:val="20"/>
          <w:szCs w:val="20"/>
          <w:color w:val="auto"/>
        </w:rPr>
      </w:pPr>
      <w:r>
        <w:rPr>
          <w:rFonts w:ascii="Courier New" w:cs="Courier New" w:eastAsia="Courier New" w:hAnsi="Courier New"/>
          <w:sz w:val="16"/>
          <w:szCs w:val="16"/>
          <w:color w:val="auto"/>
        </w:rPr>
        <w:t>The Delaware Law and the Nevada Law have substantially identical provisions regarding indemnification by a corporation of its officers, directors, employees and agents, except that the Nevada Law provides broader indemnification in connection with stockholder derivative lawsuits. The Delaware Law and the Nevada Law differ in their provisions for advancement of expenses incurred by an officer or director in defending a civil or criminal action, suit or proceeding. The Delaware Law provides that expenses incurred by an officer or director in defending any civil, criminal, administrative or investigative action, suit or proceeding may be paid by the corporation in advance of the final disposition of the action, suit or proceeding upon receipt of an undertaking by or on behalf of the director or officer to repay the amount if it is ultimately determined that he or she is not entitled to be indemnified by the corporation. Thus, a Delaware corporation has the discretion to decide whether or not to advance expenses. Under the Nevada Law, the articles of incorporation, by-laws or an agreement made by the corporation may provide that the corporation must pay advancements of expenses in advance of the final disposition of the action, suit or proceedings upon receipt of an undertaking by or on behalf of the director or officer to repay the amount if it is ultimately determined that he or she is not entitled to be indemnified by the corporation. Thus, a corporation may have no discretion to decide whether or not to advance expenses. There will be no difference in</w:t>
      </w: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39" w:right="1440" w:bottom="1440" w:gutter="0" w:footer="0" w:header="0"/>
        </w:sectPr>
      </w:pPr>
    </w:p>
    <w:bookmarkStart w:id="26" w:name="page27"/>
    <w:bookmarkEnd w:id="26"/>
    <w:p>
      <w:pPr>
        <w:ind w:right="2679"/>
        <w:spacing w:after="0" w:line="355" w:lineRule="auto"/>
        <w:rPr>
          <w:sz w:val="20"/>
          <w:szCs w:val="20"/>
          <w:color w:val="auto"/>
        </w:rPr>
      </w:pPr>
      <w:r>
        <w:rPr>
          <w:rFonts w:ascii="Courier New" w:cs="Courier New" w:eastAsia="Courier New" w:hAnsi="Courier New"/>
          <w:sz w:val="16"/>
          <w:szCs w:val="16"/>
          <w:color w:val="auto"/>
        </w:rPr>
        <w:t>stockholders' rights with respect to this issue because the New By-laws and the Company's By-Laws each provides for advancement of expenses.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on Personal Liability of Directors</w:t>
      </w:r>
    </w:p>
    <w:p>
      <w:pPr>
        <w:spacing w:after="0" w:line="186" w:lineRule="exact"/>
        <w:rPr>
          <w:sz w:val="20"/>
          <w:szCs w:val="20"/>
          <w:color w:val="auto"/>
        </w:rPr>
      </w:pPr>
    </w:p>
    <w:p>
      <w:pPr>
        <w:ind w:right="2599"/>
        <w:spacing w:after="0" w:line="255" w:lineRule="auto"/>
        <w:rPr>
          <w:sz w:val="20"/>
          <w:szCs w:val="20"/>
          <w:color w:val="auto"/>
        </w:rPr>
      </w:pPr>
      <w:r>
        <w:rPr>
          <w:rFonts w:ascii="Courier New" w:cs="Courier New" w:eastAsia="Courier New" w:hAnsi="Courier New"/>
          <w:sz w:val="16"/>
          <w:szCs w:val="16"/>
          <w:color w:val="auto"/>
        </w:rPr>
        <w:t>A Delaware corporation is permitted to adopt provisions in its certificate of incorporation limiting or eliminating the liability of a director to a company and its stockholders for monetary damages for breach of fiduciary duty as a director, unless that liability arises from breach of the duty of loyalty, acts or omissions not in good faith or which involve intentional misconduct or a knowing violation of law, unlawful payment of dividends or unlawful stock purchase or redemption, or transactions from which the director derives improper personal benefit. The Company's Certificate of Incorporation contains a provision limiting, to the extent permitted by the Delaware Law, the liability of directors to the Company for breach of fiduciary duty.</w:t>
      </w:r>
    </w:p>
    <w:p>
      <w:pPr>
        <w:spacing w:after="0" w:line="92" w:lineRule="exact"/>
        <w:rPr>
          <w:sz w:val="20"/>
          <w:szCs w:val="20"/>
          <w:color w:val="auto"/>
        </w:rPr>
      </w:pPr>
    </w:p>
    <w:p>
      <w:pPr>
        <w:ind w:right="2599"/>
        <w:spacing w:after="0" w:line="251" w:lineRule="auto"/>
        <w:rPr>
          <w:sz w:val="20"/>
          <w:szCs w:val="20"/>
          <w:color w:val="auto"/>
        </w:rPr>
      </w:pPr>
      <w:r>
        <w:rPr>
          <w:rFonts w:ascii="Courier New" w:cs="Courier New" w:eastAsia="Courier New" w:hAnsi="Courier New"/>
          <w:sz w:val="16"/>
          <w:szCs w:val="16"/>
          <w:color w:val="auto"/>
        </w:rPr>
        <w:t>The Nevada Law provides that, with certain statutory exceptions, a director or officer is not individually liable to the corporation or its stockholders for any damages as a result of any act or omission in his capacity as a director or officer unless it is proven that his act of omission constituted a breach of his fiduciary duties as a director or officer and his breach involved intentional misconduct, fraud or a knowing violation of the law. This provision is broader than the analogous provision in the Delaware Law, in that it is mandatory rather than optional, covers officers as well as directors, and, unlike the Delaware Law, does not exclude from the limitation of liability any act or omission constituting breach of that director or officer's duty of loyalty. The New Charter states that personal liability of the directors of Designs - Nevada is eliminated to the fullest extent permitted or required under the Nevada Law; officers are not included, but they are covered by the Nevada Law mandatory limitation of liability.</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86"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The Delaware Law is more restrictive than the Nevada Law with respect to when dividends may be paid. Under the Delaware Law, subject to any restrictions provided in the certificate of incorporation, a corporation may declare dividends out of surplus, or if no surplus exists, out of net profits for the fiscal year in which the dividend is declared and/or the preceding fiscal year (provided that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spacing w:after="0" w:line="94" w:lineRule="exact"/>
        <w:rPr>
          <w:sz w:val="20"/>
          <w:szCs w:val="20"/>
          <w:color w:val="auto"/>
        </w:rPr>
      </w:pPr>
    </w:p>
    <w:p>
      <w:pPr>
        <w:ind w:right="2679"/>
        <w:spacing w:after="0" w:line="258" w:lineRule="auto"/>
        <w:rPr>
          <w:sz w:val="20"/>
          <w:szCs w:val="20"/>
          <w:color w:val="auto"/>
        </w:rPr>
      </w:pPr>
      <w:r>
        <w:rPr>
          <w:rFonts w:ascii="Courier New" w:cs="Courier New" w:eastAsia="Courier New" w:hAnsi="Courier New"/>
          <w:sz w:val="16"/>
          <w:szCs w:val="16"/>
          <w:color w:val="auto"/>
        </w:rPr>
        <w:t>The Nevada Law provides that except as otherwise provided in its articles of incorporation, no distribution (including dividends on, or redemption or repurchases of, shares of capital stock) may be made if, after giving effect to such distribution, the corporation would not be able to pay its debts as they become due in the usual course of business, or the corporation's total assets would be less than the sum of its total liabilities plus the amount that would be needed at the time of a liquidation to satisfy the preferential rights of preferred stockholders.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Business Combinations</w:t>
      </w:r>
    </w:p>
    <w:p>
      <w:pPr>
        <w:spacing w:after="0" w:line="186" w:lineRule="exact"/>
        <w:rPr>
          <w:sz w:val="20"/>
          <w:szCs w:val="20"/>
          <w:color w:val="auto"/>
        </w:rPr>
      </w:pPr>
    </w:p>
    <w:p>
      <w:pPr>
        <w:ind w:right="2599"/>
        <w:spacing w:after="0" w:line="248" w:lineRule="auto"/>
        <w:rPr>
          <w:sz w:val="20"/>
          <w:szCs w:val="20"/>
          <w:color w:val="auto"/>
        </w:rPr>
      </w:pPr>
      <w:r>
        <w:rPr>
          <w:rFonts w:ascii="Courier New" w:cs="Courier New" w:eastAsia="Courier New" w:hAnsi="Courier New"/>
          <w:sz w:val="16"/>
          <w:szCs w:val="16"/>
          <w:color w:val="auto"/>
        </w:rPr>
        <w:t>Both the Delaware Law and the Nevada Law contain provisions restricting the ability of a corporation to engage in business combinations with an interested stockholder. Under the Delaware Law, a corporation is not permitted to engage in a business combination with any interested stockholder for a three-year period following the date such stockholder became an interested stockholder, unless (i) the transaction resulting in a person becoming an interested stockholder, or the business combination, is approved by the board of directors of the corporation before the person becomes an interested stockholder; (ii) upon consummation of the transaction which resulted in the stockholder becoming an interested stockholder, the interested stockholder owned at least 85% of the outstanding voting stock of the corporation outstanding at the time the transaction commenced (excluding shares owned by persons who are both officers and directors of the corporation, and shares held by certain employee stock ownership plans); or (iii) at or after the date the person becomes an interested stockholder, the business combination is approved by the corporation's board of directors and by the holders of at least two thirds of the corporation's outstanding voting stock at an annual or special meeting and not by written consent, excluding shares owned by the interested stockholder. The Delaware Law defines "interested stockholder" generally as a person who owns 15% or more of the outstanding shares of a corporation's voting stock. The Delaware Law allows corporations to opt-out of the statute with provisions expressly electing not to be governed by such statutory provisions.</w:t>
      </w:r>
    </w:p>
    <w:p>
      <w:pPr>
        <w:spacing w:after="0" w:line="200" w:lineRule="exact"/>
        <w:rPr>
          <w:sz w:val="20"/>
          <w:szCs w:val="20"/>
          <w:color w:val="auto"/>
        </w:rPr>
      </w:pPr>
    </w:p>
    <w:p>
      <w:pPr>
        <w:spacing w:after="0" w:line="26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39" w:right="1440" w:bottom="964" w:gutter="0" w:footer="0" w:header="0"/>
        </w:sectPr>
      </w:pPr>
    </w:p>
    <w:bookmarkStart w:id="27" w:name="page28"/>
    <w:bookmarkEnd w:id="27"/>
    <w:p>
      <w:pPr>
        <w:ind w:right="2599"/>
        <w:spacing w:after="0" w:line="252" w:lineRule="auto"/>
        <w:rPr>
          <w:sz w:val="20"/>
          <w:szCs w:val="20"/>
          <w:color w:val="auto"/>
        </w:rPr>
      </w:pPr>
      <w:r>
        <w:rPr>
          <w:rFonts w:ascii="Courier New" w:cs="Courier New" w:eastAsia="Courier New" w:hAnsi="Courier New"/>
          <w:sz w:val="16"/>
          <w:szCs w:val="16"/>
          <w:color w:val="auto"/>
        </w:rPr>
        <w:t>The Nevada Law regulates business combinations more stringently. First, an interested stockholder is defined as a beneficial owner of ten percent (10%) or more of the voting power. Second, the three-year moratorium can be lifted only by advance approval by a corporation's board of directors, as opposed to the Delaware Law's provision that allows interested stockholder combinations with board or stockholder approval. Finally, after the three-year period, combinations remain prohibited unless they are approved by the board of directors or a majority of the outstanding voting power not beneficially owned by the interested party, or the interested stockholders satisfy certain fair-value requirements. As in Delaware, a Nevada corporation may opt out of the statute with appropriate provisions in its articles of incorporation. Neither the Company's Certificate of Incorporation nor the New Charter contains provisions electing not to be governed by such statutory provisions.</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to Certificate/Articles of Incorporation</w:t>
      </w:r>
    </w:p>
    <w:p>
      <w:pPr>
        <w:spacing w:after="0" w:line="186"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Both the Delaware Law and the Nevada Law provide that approval of proposed amendments to a corporation's certificate (in Delaware) or articles (in Nevada) of incorporation require the affirmative vote of holders of a majority of all outstanding shares entitled to vote, with each stockholder being entitled to one vote for each share so held. Both states provide that the board of directors may without stockholder approval fix the voting powers, designations, preferences, limitations, restrictions and rights of a class of stock, on condition that the corporation's organizational documents grant that power to its board of directors. Holders of the outstanding shares of a particular class are entitled to vote as a class on a proposed amendment if the amendment would alter or change the power, preferences or special rights of one or more series of any class so as to affect them adversely. Under the Nevada Law, but not under the Delaware Law, the number of authorized shares of any such class of stock may be increased or decreased and the number of shares outstanding may be correspondingly increased or decreased by a resolution adopted by the board of directors without stockholders approval.</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Actions by Written Consent of Stockholders</w:t>
      </w:r>
    </w:p>
    <w:p>
      <w:pPr>
        <w:spacing w:after="0" w:line="186"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Each of the Nevada Law and the Delaware Law provides that, unless the certificate (in Delaware) or articles (in Nevada) of incorporation provide otherwise, any action required or permitted to be taken at a meeting of the stockholders may be taken without a meeting if the holders of outstanding stock having at least the minimum number of votes that would be necessary to authorize or take such action at a meeting consents to the action in writing. In addition, the Delaware Law requires the corporation to give prompt notice of the taking of corporate action without a meeting by less than unanimous written consent to those stockholders who did not consent in writing.</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Vote for Mergers and Other Corporate Reorganizations</w:t>
      </w:r>
    </w:p>
    <w:p>
      <w:pPr>
        <w:spacing w:after="0" w:line="186" w:lineRule="exact"/>
        <w:rPr>
          <w:sz w:val="20"/>
          <w:szCs w:val="20"/>
          <w:color w:val="auto"/>
        </w:rPr>
      </w:pPr>
    </w:p>
    <w:p>
      <w:pPr>
        <w:ind w:right="2779"/>
        <w:spacing w:after="0" w:line="261" w:lineRule="auto"/>
        <w:rPr>
          <w:sz w:val="20"/>
          <w:szCs w:val="20"/>
          <w:color w:val="auto"/>
        </w:rPr>
      </w:pPr>
      <w:r>
        <w:rPr>
          <w:rFonts w:ascii="Courier New" w:cs="Courier New" w:eastAsia="Courier New" w:hAnsi="Courier New"/>
          <w:sz w:val="16"/>
          <w:szCs w:val="16"/>
          <w:color w:val="auto"/>
        </w:rPr>
        <w:t>In general, both jurisdictions provide that merger of a corporation or sale of substantially all of its assets requires the approval of a majority of outstanding shares entitled to vote, as well as approval by the board of directors. Neither the Nevada Law nor the Delaware Law requires stockholder approval by the stockholders of a surviving corporation in a merger or consolidation as long as the surviving corporation issues no more than 20% of its voting stock in the transaction.</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Dissenters' Rights</w:t>
      </w:r>
    </w:p>
    <w:p>
      <w:pPr>
        <w:spacing w:after="0" w:line="186"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In both jurisdictions, dissenting stockholders of a corporation engaged in certain major corporate transactions are entitled to appraisal rights. Appraisal rights permit a stockholder to receive cash equal to the fair market value of the stockholder's shares (as determined by agreement of the parties or by a court) in lieu of the consideration such stockholder would otherwise receive in any such transaction.</w:t>
      </w:r>
    </w:p>
    <w:p>
      <w:pPr>
        <w:spacing w:after="0" w:line="83" w:lineRule="exact"/>
        <w:rPr>
          <w:sz w:val="20"/>
          <w:szCs w:val="20"/>
          <w:color w:val="auto"/>
        </w:rPr>
      </w:pPr>
    </w:p>
    <w:p>
      <w:pPr>
        <w:ind w:right="2599"/>
        <w:spacing w:after="0" w:line="255" w:lineRule="auto"/>
        <w:rPr>
          <w:sz w:val="20"/>
          <w:szCs w:val="20"/>
          <w:color w:val="auto"/>
        </w:rPr>
      </w:pPr>
      <w:r>
        <w:rPr>
          <w:rFonts w:ascii="Courier New" w:cs="Courier New" w:eastAsia="Courier New" w:hAnsi="Courier New"/>
          <w:sz w:val="16"/>
          <w:szCs w:val="16"/>
          <w:color w:val="auto"/>
        </w:rPr>
        <w:t>Under the Delaware Law, appraisal rights are generally available for the shares of any class or series of stock of a Delaware corporation in a merger or consolidation, provided that no appraisal rights are available for the shares of any class or series of stock which, at the record date for the meeting held to approve such transaction, were either (1) listed on a national securities exchange or designated as a national market system security on an interdealer quotation system by the National Association of Securities Dealers, Inc. ("NASD") or (2) held of record by more than 2,000 stockholders. Even if the shares of any class or series of stock meet the requirements of clause (1) or (2)</w:t>
      </w:r>
    </w:p>
    <w:p>
      <w:pPr>
        <w:spacing w:after="0" w:line="200" w:lineRule="exact"/>
        <w:rPr>
          <w:sz w:val="20"/>
          <w:szCs w:val="20"/>
          <w:color w:val="auto"/>
        </w:rPr>
      </w:pPr>
    </w:p>
    <w:p>
      <w:pPr>
        <w:spacing w:after="0" w:line="25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39" w:right="1440" w:bottom="1440" w:gutter="0" w:footer="0" w:header="0"/>
        </w:sectPr>
      </w:pPr>
    </w:p>
    <w:bookmarkStart w:id="28" w:name="page29"/>
    <w:bookmarkEnd w:id="28"/>
    <w:p>
      <w:pPr>
        <w:ind w:right="2879"/>
        <w:spacing w:after="0" w:line="355" w:lineRule="auto"/>
        <w:rPr>
          <w:sz w:val="20"/>
          <w:szCs w:val="20"/>
          <w:color w:val="auto"/>
        </w:rPr>
      </w:pPr>
      <w:r>
        <w:rPr>
          <w:rFonts w:ascii="Courier New" w:cs="Courier New" w:eastAsia="Courier New" w:hAnsi="Courier New"/>
          <w:sz w:val="16"/>
          <w:szCs w:val="16"/>
          <w:color w:val="auto"/>
        </w:rPr>
        <w:t>above, appraisal rights are available for such class or series if the holders thereof receive in the merger or consolidation anything except:</w:t>
      </w:r>
    </w:p>
    <w:p>
      <w:pPr>
        <w:spacing w:after="0" w:line="14" w:lineRule="exact"/>
        <w:rPr>
          <w:sz w:val="20"/>
          <w:szCs w:val="20"/>
          <w:color w:val="auto"/>
        </w:rPr>
      </w:pPr>
    </w:p>
    <w:p>
      <w:pPr>
        <w:ind w:left="960" w:right="2879" w:hanging="485"/>
        <w:spacing w:after="0" w:line="355" w:lineRule="auto"/>
        <w:tabs>
          <w:tab w:leader="none" w:pos="9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stock of the corporation surviving or resulting from such merger or consolidation;</w:t>
      </w:r>
    </w:p>
    <w:p>
      <w:pPr>
        <w:spacing w:after="0" w:line="14" w:lineRule="exact"/>
        <w:rPr>
          <w:rFonts w:ascii="Courier New" w:cs="Courier New" w:eastAsia="Courier New" w:hAnsi="Courier New"/>
          <w:sz w:val="16"/>
          <w:szCs w:val="16"/>
          <w:color w:val="auto"/>
        </w:rPr>
      </w:pPr>
    </w:p>
    <w:p>
      <w:pPr>
        <w:ind w:left="960" w:right="2779" w:hanging="485"/>
        <w:spacing w:after="0" w:line="271" w:lineRule="auto"/>
        <w:tabs>
          <w:tab w:leader="none" w:pos="9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stock of any other corporation which at the effective date of the merger or consolidation is either listed on a national securities exchange, or designated as a national market system security on an interdealer quotation system by the NASD or held of record by more than 2,000 stockholders;</w:t>
      </w:r>
    </w:p>
    <w:p>
      <w:pPr>
        <w:spacing w:after="0" w:line="77"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in lieu of fractional shares; or</w:t>
      </w:r>
    </w:p>
    <w:p>
      <w:pPr>
        <w:spacing w:after="0" w:line="185"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combination of the foregoing.</w:t>
      </w:r>
    </w:p>
    <w:p>
      <w:pPr>
        <w:spacing w:after="0" w:line="186" w:lineRule="exact"/>
        <w:rPr>
          <w:sz w:val="20"/>
          <w:szCs w:val="20"/>
          <w:color w:val="auto"/>
        </w:rPr>
      </w:pPr>
    </w:p>
    <w:p>
      <w:pPr>
        <w:ind w:right="2779"/>
        <w:spacing w:after="0" w:line="355" w:lineRule="auto"/>
        <w:rPr>
          <w:sz w:val="20"/>
          <w:szCs w:val="20"/>
          <w:color w:val="auto"/>
        </w:rPr>
      </w:pPr>
      <w:r>
        <w:rPr>
          <w:rFonts w:ascii="Courier New" w:cs="Courier New" w:eastAsia="Courier New" w:hAnsi="Courier New"/>
          <w:sz w:val="16"/>
          <w:szCs w:val="16"/>
          <w:color w:val="auto"/>
        </w:rPr>
        <w:t>No appraisal rights are available to stockholders of the surviving corporation if the merger did not require their approval.</w:t>
      </w:r>
    </w:p>
    <w:p>
      <w:pPr>
        <w:spacing w:after="0" w:line="14" w:lineRule="exact"/>
        <w:rPr>
          <w:sz w:val="20"/>
          <w:szCs w:val="20"/>
          <w:color w:val="auto"/>
        </w:rPr>
      </w:pPr>
    </w:p>
    <w:p>
      <w:pPr>
        <w:ind w:right="2599"/>
        <w:spacing w:after="0" w:line="263" w:lineRule="auto"/>
        <w:rPr>
          <w:sz w:val="20"/>
          <w:szCs w:val="20"/>
          <w:color w:val="auto"/>
        </w:rPr>
      </w:pPr>
      <w:r>
        <w:rPr>
          <w:rFonts w:ascii="Courier New" w:cs="Courier New" w:eastAsia="Courier New" w:hAnsi="Courier New"/>
          <w:sz w:val="15"/>
          <w:szCs w:val="15"/>
          <w:color w:val="auto"/>
        </w:rPr>
        <w:t>Under the Nevada Law, a stockholder is entitled to dissent from, and obtain payment for the fair value of his or her shares in the event of (i) consummation of a plan of merger, if approval by the stockholders is required and the stockholder is entitled to vote on the merger or if the domestic corporation is a subsidiary and is merged with its parent, (ii) a plan of exchange in which the corporation is a party, or (iii) any corporate action taken pursuant to a vote of the stockholders, if the articles of incorporation, by-laws or a resolution of the board of directors provides that voting or nonvoting stockholders are entitled to dissent and obtain payment for their shares.</w:t>
      </w:r>
    </w:p>
    <w:p>
      <w:pPr>
        <w:spacing w:after="0" w:line="3" w:lineRule="exact"/>
        <w:rPr>
          <w:sz w:val="20"/>
          <w:szCs w:val="20"/>
          <w:color w:val="auto"/>
        </w:rPr>
      </w:pPr>
    </w:p>
    <w:p>
      <w:pPr>
        <w:ind w:right="2599"/>
        <w:spacing w:after="0" w:line="251" w:lineRule="auto"/>
        <w:rPr>
          <w:sz w:val="20"/>
          <w:szCs w:val="20"/>
          <w:color w:val="auto"/>
        </w:rPr>
      </w:pPr>
      <w:r>
        <w:rPr>
          <w:rFonts w:ascii="Courier New" w:cs="Courier New" w:eastAsia="Courier New" w:hAnsi="Courier New"/>
          <w:sz w:val="16"/>
          <w:szCs w:val="16"/>
          <w:color w:val="auto"/>
        </w:rPr>
        <w:t>As with the Delaware Law, the Nevada Law provides an exception to dissenters' rights. Holders of securities listed on a national securities exchange or designated as a national market system security on an interdealer quotation system by the NASD or held by at least 2,000 stockholders of record are generally not entitled to dissenters' rights. This exception is not, however, available if the articles of incorporation of the corporation issuing the shares state that it is not available, or if the holders of the class or series are required under the plan of merger or exchange to accept for the shares anything except specified kinds of consideration (which are essentially identical to those specified in the analogous provision of the Delaware Law).</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Inspection Rights</w:t>
      </w:r>
    </w:p>
    <w:p>
      <w:pPr>
        <w:spacing w:after="0" w:line="186"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The Delaware Law grants any stockholder of record the right to inspect and to copy for any proper purpose the corporation's stock ledger, a list of its stockholders, and its other records. A proper purpose is one reasonably related to such person's interest as a stockholder. Directors also have the right to examine the corporation's stock ledger, a list of its stockholders and its other records for a purpose reasonably related to their positions as directors.</w:t>
      </w:r>
    </w:p>
    <w:p>
      <w:pPr>
        <w:spacing w:after="0" w:line="83" w:lineRule="exact"/>
        <w:rPr>
          <w:sz w:val="20"/>
          <w:szCs w:val="20"/>
          <w:color w:val="auto"/>
        </w:rPr>
      </w:pPr>
    </w:p>
    <w:p>
      <w:pPr>
        <w:ind w:right="2599"/>
        <w:spacing w:after="0" w:line="278" w:lineRule="auto"/>
        <w:rPr>
          <w:sz w:val="20"/>
          <w:szCs w:val="20"/>
          <w:color w:val="auto"/>
        </w:rPr>
      </w:pPr>
      <w:r>
        <w:rPr>
          <w:rFonts w:ascii="Courier New" w:cs="Courier New" w:eastAsia="Courier New" w:hAnsi="Courier New"/>
          <w:sz w:val="15"/>
          <w:szCs w:val="15"/>
          <w:color w:val="auto"/>
        </w:rPr>
        <w:t>Under the Nevada Law, only a stockholder of record who owns at least 15% of the corporation's outstanding shares, or has been authorized in writing by holders of at least 15% of the outstanding shares, is entitled to inspect and make copies of the corporation's financial records. Only a person who has been a stockholder of record for at least six months, or who owns at least 5% of the corporation's outstanding shares or has been authorized in writing by holders of at least 5% of the outstanding shares, is entitled to inspect and make copies of the corporation's stock ledger, articles of incorporation and by-laws.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 Suits</w:t>
      </w:r>
    </w:p>
    <w:p>
      <w:pPr>
        <w:spacing w:after="0" w:line="186" w:lineRule="exact"/>
        <w:rPr>
          <w:sz w:val="20"/>
          <w:szCs w:val="20"/>
          <w:color w:val="auto"/>
        </w:rPr>
      </w:pPr>
    </w:p>
    <w:p>
      <w:pPr>
        <w:ind w:right="2599"/>
        <w:spacing w:after="0" w:line="280" w:lineRule="auto"/>
        <w:rPr>
          <w:sz w:val="20"/>
          <w:szCs w:val="20"/>
          <w:color w:val="auto"/>
        </w:rPr>
      </w:pPr>
      <w:r>
        <w:rPr>
          <w:rFonts w:ascii="Courier New" w:cs="Courier New" w:eastAsia="Courier New" w:hAnsi="Courier New"/>
          <w:sz w:val="16"/>
          <w:szCs w:val="16"/>
          <w:color w:val="auto"/>
        </w:rPr>
        <w:t>Under both the Delaware Law and the Nevada Law, a stockholder may bring a derivative action on behalf of the corporation only if the stockholder was a stockholder of the corporation at the time of the transaction in question or the stockholder acquired the stock thereafter by operation of law.</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Meetings of Stockholders</w:t>
      </w:r>
    </w:p>
    <w:p>
      <w:pPr>
        <w:spacing w:after="0" w:line="186" w:lineRule="exact"/>
        <w:rPr>
          <w:sz w:val="20"/>
          <w:szCs w:val="20"/>
          <w:color w:val="auto"/>
        </w:rPr>
      </w:pPr>
    </w:p>
    <w:p>
      <w:pPr>
        <w:ind w:right="2679"/>
        <w:spacing w:after="0" w:line="271" w:lineRule="auto"/>
        <w:rPr>
          <w:sz w:val="20"/>
          <w:szCs w:val="20"/>
          <w:color w:val="auto"/>
        </w:rPr>
      </w:pPr>
      <w:r>
        <w:rPr>
          <w:rFonts w:ascii="Courier New" w:cs="Courier New" w:eastAsia="Courier New" w:hAnsi="Courier New"/>
          <w:sz w:val="16"/>
          <w:szCs w:val="16"/>
          <w:color w:val="auto"/>
        </w:rPr>
        <w:t>The Delaware Law permits special meetings of stockholders to be called by the board of directors or by any other one or more persons authorized in the certificate of incorporation or by-laws to call a special stockholder meeting. The Nevada Law permits the entire board of directors, any two directors, or the president to call special meetings of</w:t>
      </w:r>
    </w:p>
    <w:p>
      <w:pPr>
        <w:spacing w:after="0" w:line="200" w:lineRule="exact"/>
        <w:rPr>
          <w:sz w:val="20"/>
          <w:szCs w:val="20"/>
          <w:color w:val="auto"/>
        </w:rPr>
      </w:pPr>
    </w:p>
    <w:p>
      <w:pPr>
        <w:spacing w:after="0" w:line="24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39" w:right="1440" w:bottom="1440" w:gutter="0" w:footer="0" w:header="0"/>
        </w:sectPr>
      </w:pPr>
    </w:p>
    <w:bookmarkStart w:id="29" w:name="page30"/>
    <w:bookmarkEnd w:id="29"/>
    <w:p>
      <w:pPr>
        <w:ind w:right="2599"/>
        <w:spacing w:after="0" w:line="265" w:lineRule="auto"/>
        <w:rPr>
          <w:sz w:val="20"/>
          <w:szCs w:val="20"/>
          <w:color w:val="auto"/>
        </w:rPr>
      </w:pPr>
      <w:r>
        <w:rPr>
          <w:rFonts w:ascii="Courier New" w:cs="Courier New" w:eastAsia="Courier New" w:hAnsi="Courier New"/>
          <w:sz w:val="16"/>
          <w:szCs w:val="16"/>
          <w:color w:val="auto"/>
        </w:rPr>
        <w:t>stockholders, unless the articles of incorporation or by-laws provide otherwise. There will be no difference in stockholders' rights with respect to this issue because the New By-laws and the Company's By-Laws each provide that a special meeting of stockholders may only be called by the Board of Directors pursuant to a resolution approved by the affirmative vote of a majority of the directors then in office.</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Material Federal Income Tax Consequences of the Merger</w:t>
      </w:r>
    </w:p>
    <w:p>
      <w:pPr>
        <w:spacing w:after="0" w:line="186" w:lineRule="exact"/>
        <w:rPr>
          <w:sz w:val="20"/>
          <w:szCs w:val="20"/>
          <w:color w:val="auto"/>
        </w:rPr>
      </w:pPr>
    </w:p>
    <w:p>
      <w:pPr>
        <w:ind w:right="2599"/>
        <w:spacing w:after="0" w:line="248" w:lineRule="auto"/>
        <w:rPr>
          <w:sz w:val="20"/>
          <w:szCs w:val="20"/>
          <w:color w:val="auto"/>
        </w:rPr>
      </w:pPr>
      <w:r>
        <w:rPr>
          <w:rFonts w:ascii="Courier New" w:cs="Courier New" w:eastAsia="Courier New" w:hAnsi="Courier New"/>
          <w:sz w:val="16"/>
          <w:szCs w:val="16"/>
          <w:color w:val="auto"/>
        </w:rPr>
        <w:t>The following is a summary of certain material anticipated federal income tax consequences of the Merger. This summary is based on the federal income tax laws now in effect and as currently interpreted; it does not take into account possible changes in such laws or interpretations, including amendments to applicable statutes, regulations and proposed regulations or changes in judicial or administrative rulings, some of which may have retroactive effect. In addition, the summary discussion is intended to address only those federal income tax consequences that are generally applicable to a stockholder who holds shares of Common Stock as a capital asset. This summary is provided for general information only and does not purport to address all aspects of the possible federal income tax consequences of the Merger and IS NOT INTENDED AS TAX ADVICE TO ANY PERSON. In particular, and without limiting the foregoing, this summary does not consider the federal income tax consequences to stockholders of the Company in light of their individual investment circumstances or to holders subject to special treatment under the federal income tax laws (for example, life insurance companies, regulated investment companies, foreign taxpayers, persons who received their shares of Common Stock as compensation in connection with the performance of services or on exercise of options received as compensation in connection with the performance of services). This summary does not address any consequence of the Merger under any state, local or foreign tax laws.</w:t>
      </w:r>
    </w:p>
    <w:p>
      <w:pPr>
        <w:spacing w:after="0" w:line="102" w:lineRule="exact"/>
        <w:rPr>
          <w:sz w:val="20"/>
          <w:szCs w:val="20"/>
          <w:color w:val="auto"/>
        </w:rPr>
      </w:pPr>
    </w:p>
    <w:p>
      <w:pPr>
        <w:ind w:right="2779"/>
        <w:spacing w:after="0" w:line="265" w:lineRule="auto"/>
        <w:rPr>
          <w:sz w:val="20"/>
          <w:szCs w:val="20"/>
          <w:color w:val="auto"/>
        </w:rPr>
      </w:pPr>
      <w:r>
        <w:rPr>
          <w:rFonts w:ascii="Courier New" w:cs="Courier New" w:eastAsia="Courier New" w:hAnsi="Courier New"/>
          <w:sz w:val="16"/>
          <w:szCs w:val="16"/>
          <w:color w:val="auto"/>
        </w:rPr>
        <w:t>No ruling from the Internal Revenue Service or opinion of counsel will be obtained regarding the federal income tax consequences to the stockholders of the Company as a result of the Merger. ACCORDINGLY, EACH STOCKHOLDER IS ENCOURAGED TO CONSULT HIS OR HER TAX ADVISOR REGARDING THE TAX CONSEQUENCES OF THE PROPOSED TRANSACTION TO SUCH STOCKHOLDER, INCLUDING THE APPLICATION AND EFFECT OF STATE, LOCAL AND FOREIGN INCOME AND OTHER TAX LAWS.</w:t>
      </w:r>
    </w:p>
    <w:p>
      <w:pPr>
        <w:spacing w:after="0" w:line="83" w:lineRule="exact"/>
        <w:rPr>
          <w:sz w:val="20"/>
          <w:szCs w:val="20"/>
          <w:color w:val="auto"/>
        </w:rPr>
      </w:pPr>
    </w:p>
    <w:p>
      <w:pPr>
        <w:ind w:right="2599"/>
        <w:spacing w:after="0" w:line="254" w:lineRule="auto"/>
        <w:rPr>
          <w:sz w:val="20"/>
          <w:szCs w:val="20"/>
          <w:color w:val="auto"/>
        </w:rPr>
      </w:pPr>
      <w:r>
        <w:rPr>
          <w:rFonts w:ascii="Courier New" w:cs="Courier New" w:eastAsia="Courier New" w:hAnsi="Courier New"/>
          <w:sz w:val="16"/>
          <w:szCs w:val="16"/>
          <w:color w:val="auto"/>
        </w:rPr>
        <w:t>The Company believes that the Merger will be a tax-free reorganization of the Company. If the Merger qualifies as a reorganization under Section 368(a) of the Internal Revenue Code of 1986, as amended (the "Code"), a stockholder of the Company who exchanges his or her shares of Common Stock solely for shares of Designs - Nevada Common Stock would recognize no gain or loss for federal income tax purposes. In addition, a stockholder's aggregate tax basis in his or her shares of Designs - Nevada Common Stock received as a result of the Merger should be the same as his or her aggregate tax basis in the shares of the Common Stock exchanged therefor, and the stockholder's holding period for the shares of Designs - Nevada Common Stock should include the period during which such stockholder held the shares of Common Stock surrendered in the Merger.</w:t>
      </w:r>
    </w:p>
    <w:p>
      <w:pPr>
        <w:spacing w:after="0" w:line="91"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THE TAX CONSEQUENCES OF THE MERGER TO ANY PARTICULAR STOCKHOLDER MAY DIFFER DEPENDING UPON THAT STOCKHOLDER'S OWN CIRCUMSTANCES AND TAX POSITION. FURTHERMORE, THIS SUMMARY DOES NOT DISCUSS ANY ASPECTS OF STATE, LOCAL, FOREIGN OR OTHER TAX LAWS. EACH STOCKHOLDER IS URGED TO CONSULT WITH SUCH STOCKHOLDER'S OWN TAX ADVISORS WITH RESPECT TO THE TAX CONSEQUENCES TO SUCH STOCKHOLDER OF THE MERGER.</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 Vote</w:t>
      </w:r>
    </w:p>
    <w:p>
      <w:pPr>
        <w:spacing w:after="0" w:line="186"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6"/>
          <w:szCs w:val="16"/>
          <w:color w:val="auto"/>
        </w:rPr>
        <w:t>The Board of Directors believes that the approval of the Reincorporation Proposal, including the Merger, the New Charter and the New By-laws, is in the best interests of the stockholders of the Company. The approval of the Reincorporation Proposal requires the affirmative vote of a majority of the issued and outstanding shares of Common Stock entitled to vote thereon.</w:t>
      </w:r>
    </w:p>
    <w:p>
      <w:pPr>
        <w:spacing w:after="0" w:line="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Board of Directors unanimously recommends that you vote FOR the</w:t>
      </w:r>
    </w:p>
    <w:p>
      <w:pPr>
        <w:spacing w:after="0" w:line="30" w:lineRule="exact"/>
        <w:rPr>
          <w:sz w:val="20"/>
          <w:szCs w:val="20"/>
          <w:color w:val="auto"/>
        </w:rPr>
      </w:pPr>
    </w:p>
    <w:p>
      <w:pPr>
        <w:ind w:left="2660" w:right="2879" w:hanging="2669"/>
        <w:spacing w:after="0" w:line="318" w:lineRule="auto"/>
        <w:rPr>
          <w:sz w:val="20"/>
          <w:szCs w:val="20"/>
          <w:color w:val="auto"/>
        </w:rPr>
      </w:pPr>
      <w:r>
        <w:rPr>
          <w:rFonts w:ascii="Courier New" w:cs="Courier New" w:eastAsia="Courier New" w:hAnsi="Courier New"/>
          <w:sz w:val="16"/>
          <w:szCs w:val="16"/>
          <w:color w:val="auto"/>
        </w:rPr>
        <w:t>reincorporation of the Company to change the Company's state of incorporation from Delaware to Nevada.</w:t>
      </w:r>
    </w:p>
    <w:p>
      <w:pPr>
        <w:spacing w:after="0" w:line="22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39" w:right="1440" w:bottom="1440" w:gutter="0" w:footer="0" w:header="0"/>
        </w:sectPr>
      </w:pPr>
    </w:p>
    <w:bookmarkStart w:id="30" w:name="page31"/>
    <w:bookmarkEnd w:id="30"/>
    <w:p>
      <w:pPr>
        <w:ind w:left="3340"/>
        <w:spacing w:after="0"/>
        <w:rPr>
          <w:sz w:val="20"/>
          <w:szCs w:val="20"/>
          <w:color w:val="auto"/>
        </w:rPr>
      </w:pPr>
      <w:r>
        <w:rPr>
          <w:rFonts w:ascii="Courier New" w:cs="Courier New" w:eastAsia="Courier New" w:hAnsi="Courier New"/>
          <w:sz w:val="16"/>
          <w:szCs w:val="16"/>
          <w:color w:val="auto"/>
        </w:rPr>
        <w:t>PROPOSAL 6</w:t>
      </w:r>
    </w:p>
    <w:p>
      <w:pPr>
        <w:spacing w:after="0" w:line="186"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RATIFICATION OF SELECTION OF INDEPENDENT AUDITORS</w:t>
      </w:r>
    </w:p>
    <w:p>
      <w:pPr>
        <w:spacing w:after="0" w:line="186"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Subject to ratification by the stockholders of the Company, the Board of Directors has selected Ernst &amp; Young LLP as independent auditors for the Company for the fiscal year ending February 1, 2003. Ernst &amp; Young LLP were engaged as the Company's auditors in October 2000. If stockholders fail to ratify the selection of such auditors, the Board of Directors will reconsider the selection.</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Fees</w:t>
      </w:r>
    </w:p>
    <w:p>
      <w:pPr>
        <w:spacing w:after="0" w:line="186"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Ernst &amp; Young LLP billed the Company an aggregate of $158,350 in fees for professional services rendered in connection with the audit of the Company's financial statements for the fiscal year ended February 2, 2002 included in the Company's Annual Report on Form 10-K and the reviews of the financial statements included in each of the company's Quarterly Reports on Form 10-Q during fiscal 2002.</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Information Systems Designs and Implementation Fees</w:t>
      </w:r>
    </w:p>
    <w:p>
      <w:pPr>
        <w:spacing w:after="0" w:line="186" w:lineRule="exact"/>
        <w:rPr>
          <w:sz w:val="20"/>
          <w:szCs w:val="20"/>
          <w:color w:val="auto"/>
        </w:rPr>
      </w:pPr>
    </w:p>
    <w:p>
      <w:pPr>
        <w:ind w:right="2599"/>
        <w:spacing w:after="0" w:line="299" w:lineRule="auto"/>
        <w:rPr>
          <w:sz w:val="20"/>
          <w:szCs w:val="20"/>
          <w:color w:val="auto"/>
        </w:rPr>
      </w:pPr>
      <w:r>
        <w:rPr>
          <w:rFonts w:ascii="Courier New" w:cs="Courier New" w:eastAsia="Courier New" w:hAnsi="Courier New"/>
          <w:sz w:val="16"/>
          <w:szCs w:val="16"/>
          <w:color w:val="auto"/>
        </w:rPr>
        <w:t>For the fiscal year ended February 2, 2002, Ernst &amp; Young LLP did not provide the Company and its affiliates with any professional services in connection with the designs and implementation of financial information systems.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Other Fees</w:t>
      </w:r>
    </w:p>
    <w:p>
      <w:pPr>
        <w:spacing w:after="0" w:line="186"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For the fiscal year ended February 2, 2002, Ernst &amp; Young LLP billed the Company an aggregate of $147,060 in fees for other services rendered to the Company and its affiliates, including audit-related service fees of $35,000, tax service fees of $108,160 and other non-audit fees of $3,900. Audit-related service fees include fees for benefit plan and statutory audits. Ernst &amp; Young LLP did not provide any internal audit services to the Company.</w:t>
      </w:r>
    </w:p>
    <w:p>
      <w:pPr>
        <w:spacing w:after="0" w:line="83" w:lineRule="exact"/>
        <w:rPr>
          <w:sz w:val="20"/>
          <w:szCs w:val="20"/>
          <w:color w:val="auto"/>
        </w:rPr>
      </w:pPr>
    </w:p>
    <w:p>
      <w:pPr>
        <w:ind w:right="2779"/>
        <w:spacing w:after="0" w:line="299" w:lineRule="auto"/>
        <w:rPr>
          <w:sz w:val="20"/>
          <w:szCs w:val="20"/>
          <w:color w:val="auto"/>
        </w:rPr>
      </w:pPr>
      <w:r>
        <w:rPr>
          <w:rFonts w:ascii="Courier New" w:cs="Courier New" w:eastAsia="Courier New" w:hAnsi="Courier New"/>
          <w:sz w:val="16"/>
          <w:szCs w:val="16"/>
          <w:color w:val="auto"/>
        </w:rPr>
        <w:t>Representatives of Ernst &amp; Young LLP are expected to be present at the Annual Meeting and will have the opportunity to make a statement if they desire to do so and to respond to appropriate questions.</w:t>
      </w:r>
    </w:p>
    <w:p>
      <w:pPr>
        <w:spacing w:after="0" w:line="56" w:lineRule="exact"/>
        <w:rPr>
          <w:sz w:val="20"/>
          <w:szCs w:val="20"/>
          <w:color w:val="auto"/>
        </w:rPr>
      </w:pPr>
    </w:p>
    <w:p>
      <w:pPr>
        <w:jc w:val="center"/>
        <w:ind w:right="2679"/>
        <w:spacing w:after="0" w:line="299" w:lineRule="auto"/>
        <w:rPr>
          <w:sz w:val="20"/>
          <w:szCs w:val="20"/>
          <w:color w:val="auto"/>
        </w:rPr>
      </w:pPr>
      <w:r>
        <w:rPr>
          <w:rFonts w:ascii="Courier New" w:cs="Courier New" w:eastAsia="Courier New" w:hAnsi="Courier New"/>
          <w:sz w:val="16"/>
          <w:szCs w:val="16"/>
          <w:color w:val="auto"/>
        </w:rPr>
        <w:t>The Audit Committee and the Board of Directors unanimously recommend that you vote FOR the ratification of the selection of Ernst &amp; Young LLP as independent auditors of the Company.</w:t>
      </w:r>
    </w:p>
    <w:p>
      <w:pPr>
        <w:spacing w:after="0" w:line="200" w:lineRule="exact"/>
        <w:rPr>
          <w:sz w:val="20"/>
          <w:szCs w:val="20"/>
          <w:color w:val="auto"/>
        </w:rPr>
      </w:pPr>
    </w:p>
    <w:p>
      <w:pPr>
        <w:spacing w:after="0" w:line="2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39" w:right="1440" w:bottom="1440" w:gutter="0" w:footer="0" w:header="0"/>
        </w:sectPr>
      </w:pPr>
    </w:p>
    <w:bookmarkStart w:id="31" w:name="page32"/>
    <w:bookmarkEnd w:id="31"/>
    <w:p>
      <w:pPr>
        <w:ind w:left="3040"/>
        <w:spacing w:after="0"/>
        <w:rPr>
          <w:sz w:val="20"/>
          <w:szCs w:val="20"/>
          <w:color w:val="auto"/>
        </w:rPr>
      </w:pPr>
      <w:r>
        <w:rPr>
          <w:rFonts w:ascii="Courier New" w:cs="Courier New" w:eastAsia="Courier New" w:hAnsi="Courier New"/>
          <w:sz w:val="16"/>
          <w:szCs w:val="16"/>
          <w:color w:val="auto"/>
        </w:rPr>
        <w:t>PERFORMANCE GRAPH</w:t>
      </w:r>
    </w:p>
    <w:p>
      <w:pPr>
        <w:spacing w:after="0" w:line="186" w:lineRule="exact"/>
        <w:rPr>
          <w:sz w:val="20"/>
          <w:szCs w:val="20"/>
          <w:color w:val="auto"/>
        </w:rPr>
      </w:pPr>
    </w:p>
    <w:p>
      <w:pPr>
        <w:ind w:right="2599"/>
        <w:spacing w:after="0" w:line="272" w:lineRule="auto"/>
        <w:rPr>
          <w:sz w:val="20"/>
          <w:szCs w:val="20"/>
          <w:color w:val="auto"/>
        </w:rPr>
      </w:pPr>
      <w:r>
        <w:rPr>
          <w:rFonts w:ascii="Courier New" w:cs="Courier New" w:eastAsia="Courier New" w:hAnsi="Courier New"/>
          <w:sz w:val="15"/>
          <w:szCs w:val="15"/>
          <w:color w:val="auto"/>
        </w:rPr>
        <w:t>The following Performance Graph compares the Company's cumulative stockholder return with that of a broad market index (Standard &amp; Poor's Industrials Index) and one published industry index (Standard &amp; Poor's 500 - Composite Retail Index) for each of the most recent five years ended January 31. The cumulative stockholder return for shares of the Company's Common Stock and each of the indices is calculated assuming that $100 was invested on January 31, 1997. The Company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the Company's Common Stock, the S &amp; P Industrial and Composite Retail 500.</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280" w:type="dxa"/>
            <w:vAlign w:val="bottom"/>
          </w:tcPr>
          <w:p>
            <w:pPr>
              <w:spacing w:after="0"/>
              <w:rPr>
                <w:sz w:val="23"/>
                <w:szCs w:val="23"/>
                <w:color w:val="auto"/>
              </w:rPr>
            </w:pPr>
          </w:p>
        </w:tc>
        <w:tc>
          <w:tcPr>
            <w:tcW w:w="3300" w:type="dxa"/>
            <w:vAlign w:val="bottom"/>
            <w:gridSpan w:val="2"/>
          </w:tcPr>
          <w:p>
            <w:pPr>
              <w:ind w:left="1680"/>
              <w:spacing w:after="0"/>
              <w:rPr>
                <w:sz w:val="20"/>
                <w:szCs w:val="20"/>
                <w:color w:val="auto"/>
              </w:rPr>
            </w:pPr>
            <w:r>
              <w:rPr>
                <w:rFonts w:ascii="Courier New" w:cs="Courier New" w:eastAsia="Courier New" w:hAnsi="Courier New"/>
                <w:sz w:val="16"/>
                <w:szCs w:val="16"/>
                <w:color w:val="auto"/>
                <w:w w:val="98"/>
              </w:rPr>
              <w:t>[GRAPHIC OMITTED]</w:t>
            </w: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0"/>
        </w:trPr>
        <w:tc>
          <w:tcPr>
            <w:tcW w:w="1280" w:type="dxa"/>
            <w:vAlign w:val="bottom"/>
          </w:tcPr>
          <w:p>
            <w:pPr>
              <w:spacing w:after="0"/>
              <w:rPr>
                <w:sz w:val="20"/>
                <w:szCs w:val="20"/>
                <w:color w:val="auto"/>
              </w:rPr>
            </w:pPr>
            <w:r>
              <w:rPr>
                <w:rFonts w:ascii="Courier New" w:cs="Courier New" w:eastAsia="Courier New" w:hAnsi="Courier New"/>
                <w:sz w:val="16"/>
                <w:szCs w:val="16"/>
                <w:color w:val="auto"/>
              </w:rPr>
              <w:t>Annual Return</w:t>
            </w:r>
          </w:p>
        </w:tc>
        <w:tc>
          <w:tcPr>
            <w:tcW w:w="2200" w:type="dxa"/>
            <w:vAlign w:val="bottom"/>
          </w:tcPr>
          <w:p>
            <w:pPr>
              <w:ind w:left="60"/>
              <w:spacing w:after="0"/>
              <w:rPr>
                <w:sz w:val="20"/>
                <w:szCs w:val="20"/>
                <w:color w:val="auto"/>
              </w:rPr>
            </w:pPr>
            <w:r>
              <w:rPr>
                <w:rFonts w:ascii="Courier New" w:cs="Courier New" w:eastAsia="Courier New" w:hAnsi="Courier New"/>
                <w:sz w:val="16"/>
                <w:szCs w:val="16"/>
                <w:color w:val="auto"/>
              </w:rPr>
              <w:t>Percentage</w:t>
            </w:r>
          </w:p>
        </w:tc>
        <w:tc>
          <w:tcPr>
            <w:tcW w:w="3280" w:type="dxa"/>
            <w:vAlign w:val="bottom"/>
            <w:gridSpan w:val="2"/>
            <w:vMerge w:val="restart"/>
          </w:tcPr>
          <w:p>
            <w:pPr>
              <w:ind w:left="340"/>
              <w:spacing w:after="0"/>
              <w:rPr>
                <w:sz w:val="20"/>
                <w:szCs w:val="20"/>
                <w:color w:val="auto"/>
              </w:rPr>
            </w:pPr>
            <w:r>
              <w:rPr>
                <w:rFonts w:ascii="Courier New" w:cs="Courier New" w:eastAsia="Courier New" w:hAnsi="Courier New"/>
                <w:sz w:val="16"/>
                <w:szCs w:val="16"/>
                <w:color w:val="auto"/>
              </w:rPr>
              <w:t>Years Ending</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Courier New" w:cs="Courier New" w:eastAsia="Courier New" w:hAnsi="Courier New"/>
                <w:sz w:val="16"/>
                <w:szCs w:val="16"/>
                <w:color w:val="auto"/>
              </w:rPr>
              <w:t>Company/Index</w:t>
            </w:r>
          </w:p>
        </w:tc>
        <w:tc>
          <w:tcPr>
            <w:tcW w:w="2200" w:type="dxa"/>
            <w:vAlign w:val="bottom"/>
            <w:vMerge w:val="restart"/>
          </w:tcPr>
          <w:p>
            <w:pPr>
              <w:ind w:left="1480"/>
              <w:spacing w:after="0"/>
              <w:rPr>
                <w:sz w:val="20"/>
                <w:szCs w:val="20"/>
                <w:color w:val="auto"/>
              </w:rPr>
            </w:pPr>
            <w:r>
              <w:rPr>
                <w:rFonts w:ascii="Courier New" w:cs="Courier New" w:eastAsia="Courier New" w:hAnsi="Courier New"/>
                <w:sz w:val="16"/>
                <w:szCs w:val="16"/>
                <w:color w:val="auto"/>
              </w:rPr>
              <w:t>Jan 98</w:t>
            </w: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280" w:type="dxa"/>
            <w:vAlign w:val="bottom"/>
            <w:vMerge w:val="continue"/>
          </w:tcPr>
          <w:p>
            <w:pPr>
              <w:spacing w:after="0"/>
              <w:rPr>
                <w:sz w:val="18"/>
                <w:szCs w:val="18"/>
                <w:color w:val="auto"/>
              </w:rPr>
            </w:pPr>
          </w:p>
        </w:tc>
        <w:tc>
          <w:tcPr>
            <w:tcW w:w="2200" w:type="dxa"/>
            <w:vAlign w:val="bottom"/>
            <w:vMerge w:val="continue"/>
          </w:tcPr>
          <w:p>
            <w:pPr>
              <w:spacing w:after="0"/>
              <w:rPr>
                <w:sz w:val="18"/>
                <w:szCs w:val="18"/>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Jan 99</w:t>
            </w:r>
          </w:p>
        </w:tc>
        <w:tc>
          <w:tcPr>
            <w:tcW w:w="2180" w:type="dxa"/>
            <w:vAlign w:val="bottom"/>
          </w:tcPr>
          <w:p>
            <w:pPr>
              <w:spacing w:after="0"/>
              <w:rPr>
                <w:sz w:val="20"/>
                <w:szCs w:val="20"/>
                <w:color w:val="auto"/>
              </w:rPr>
            </w:pPr>
            <w:r>
              <w:rPr>
                <w:rFonts w:ascii="Courier New" w:cs="Courier New" w:eastAsia="Courier New" w:hAnsi="Courier New"/>
                <w:sz w:val="16"/>
                <w:szCs w:val="16"/>
                <w:color w:val="auto"/>
                <w:w w:val="97"/>
              </w:rPr>
              <w:t>Jan00   Jan 01   Jan 02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60" w:type="dxa"/>
            <w:vAlign w:val="bottom"/>
          </w:tcPr>
          <w:p>
            <w:pPr>
              <w:spacing w:after="0"/>
              <w:rPr>
                <w:sz w:val="20"/>
                <w:szCs w:val="20"/>
                <w:color w:val="auto"/>
              </w:rPr>
            </w:pPr>
            <w:r>
              <w:rPr>
                <w:rFonts w:ascii="Courier New" w:cs="Courier New" w:eastAsia="Courier New" w:hAnsi="Courier New"/>
                <w:sz w:val="16"/>
                <w:szCs w:val="16"/>
                <w:color w:val="auto"/>
              </w:rPr>
              <w:t>DESIGNS, INC.</w:t>
            </w:r>
          </w:p>
        </w:tc>
        <w:tc>
          <w:tcPr>
            <w:tcW w:w="96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(63.54)</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28.58</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(46.67)</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77.78</w:t>
            </w:r>
          </w:p>
        </w:tc>
        <w:tc>
          <w:tcPr>
            <w:tcW w:w="0" w:type="dxa"/>
            <w:vAlign w:val="bottom"/>
          </w:tcPr>
          <w:p>
            <w:pPr>
              <w:spacing w:after="0"/>
              <w:rPr>
                <w:sz w:val="1"/>
                <w:szCs w:val="1"/>
                <w:color w:val="auto"/>
              </w:rPr>
            </w:pPr>
          </w:p>
        </w:tc>
      </w:tr>
      <w:tr>
        <w:trPr>
          <w:trHeight w:val="183"/>
        </w:trPr>
        <w:tc>
          <w:tcPr>
            <w:tcW w:w="1660" w:type="dxa"/>
            <w:vAlign w:val="bottom"/>
          </w:tcPr>
          <w:p>
            <w:pPr>
              <w:spacing w:after="0"/>
              <w:rPr>
                <w:sz w:val="20"/>
                <w:szCs w:val="20"/>
                <w:color w:val="auto"/>
              </w:rPr>
            </w:pPr>
            <w:r>
              <w:rPr>
                <w:rFonts w:ascii="Courier New" w:cs="Courier New" w:eastAsia="Courier New" w:hAnsi="Courier New"/>
                <w:sz w:val="16"/>
                <w:szCs w:val="16"/>
                <w:color w:val="auto"/>
              </w:rPr>
              <w:t>S&amp;P INDUSTRIALS</w:t>
            </w:r>
          </w:p>
        </w:tc>
        <w:tc>
          <w:tcPr>
            <w:tcW w:w="96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23.80</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32.14</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16.12</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(18.56)</w:t>
            </w:r>
          </w:p>
        </w:tc>
        <w:tc>
          <w:tcPr>
            <w:tcW w:w="0" w:type="dxa"/>
            <w:vAlign w:val="bottom"/>
          </w:tcPr>
          <w:p>
            <w:pPr>
              <w:spacing w:after="0"/>
              <w:rPr>
                <w:sz w:val="1"/>
                <w:szCs w:val="1"/>
                <w:color w:val="auto"/>
              </w:rPr>
            </w:pPr>
          </w:p>
        </w:tc>
      </w:tr>
      <w:tr>
        <w:trPr>
          <w:trHeight w:val="266"/>
        </w:trPr>
        <w:tc>
          <w:tcPr>
            <w:tcW w:w="2620" w:type="dxa"/>
            <w:vAlign w:val="bottom"/>
            <w:gridSpan w:val="2"/>
          </w:tcPr>
          <w:p>
            <w:pPr>
              <w:spacing w:after="0"/>
              <w:rPr>
                <w:sz w:val="20"/>
                <w:szCs w:val="20"/>
                <w:color w:val="auto"/>
              </w:rPr>
            </w:pPr>
            <w:r>
              <w:rPr>
                <w:rFonts w:ascii="Courier New" w:cs="Courier New" w:eastAsia="Courier New" w:hAnsi="Courier New"/>
                <w:sz w:val="16"/>
                <w:szCs w:val="16"/>
                <w:color w:val="auto"/>
              </w:rPr>
              <w:t>COMPOSITE RETAIL- 500</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46.73</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62.73</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(1.65)</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3.46</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4.13</w:t>
            </w:r>
          </w:p>
        </w:tc>
        <w:tc>
          <w:tcPr>
            <w:tcW w:w="0" w:type="dxa"/>
            <w:vAlign w:val="bottom"/>
          </w:tcPr>
          <w:p>
            <w:pPr>
              <w:spacing w:after="0"/>
              <w:rPr>
                <w:sz w:val="1"/>
                <w:szCs w:val="1"/>
                <w:color w:val="auto"/>
              </w:rPr>
            </w:pPr>
          </w:p>
        </w:tc>
      </w:tr>
      <w:tr>
        <w:trPr>
          <w:trHeight w:val="550"/>
        </w:trPr>
        <w:tc>
          <w:tcPr>
            <w:tcW w:w="1660" w:type="dxa"/>
            <w:vAlign w:val="bottom"/>
          </w:tcPr>
          <w:p>
            <w:pPr>
              <w:spacing w:after="0"/>
              <w:rPr>
                <w:sz w:val="20"/>
                <w:szCs w:val="20"/>
                <w:color w:val="auto"/>
              </w:rPr>
            </w:pPr>
            <w:r>
              <w:rPr>
                <w:rFonts w:ascii="Courier New" w:cs="Courier New" w:eastAsia="Courier New" w:hAnsi="Courier New"/>
                <w:sz w:val="16"/>
                <w:szCs w:val="16"/>
                <w:color w:val="auto"/>
              </w:rPr>
              <w:t>Indexed Returns</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gridSpan w:val="2"/>
            <w:vMerge w:val="restart"/>
          </w:tcPr>
          <w:p>
            <w:pPr>
              <w:jc w:val="right"/>
              <w:ind w:right="541"/>
              <w:spacing w:after="0"/>
              <w:rPr>
                <w:sz w:val="20"/>
                <w:szCs w:val="20"/>
                <w:color w:val="auto"/>
              </w:rPr>
            </w:pPr>
            <w:r>
              <w:rPr>
                <w:rFonts w:ascii="Courier New" w:cs="Courier New" w:eastAsia="Courier New" w:hAnsi="Courier New"/>
                <w:sz w:val="16"/>
                <w:szCs w:val="16"/>
                <w:color w:val="auto"/>
              </w:rPr>
              <w:t>Base Period</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660" w:type="dxa"/>
            <w:vAlign w:val="bottom"/>
            <w:vMerge w:val="restart"/>
          </w:tcPr>
          <w:p>
            <w:pPr>
              <w:spacing w:after="0"/>
              <w:rPr>
                <w:sz w:val="20"/>
                <w:szCs w:val="20"/>
                <w:color w:val="auto"/>
              </w:rPr>
            </w:pPr>
            <w:r>
              <w:rPr>
                <w:rFonts w:ascii="Courier New" w:cs="Courier New" w:eastAsia="Courier New" w:hAnsi="Courier New"/>
                <w:sz w:val="16"/>
                <w:szCs w:val="16"/>
                <w:color w:val="auto"/>
              </w:rPr>
              <w:t>Company/Index</w:t>
            </w:r>
          </w:p>
        </w:tc>
        <w:tc>
          <w:tcPr>
            <w:tcW w:w="96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Jan 97</w:t>
            </w:r>
          </w:p>
        </w:tc>
        <w:tc>
          <w:tcPr>
            <w:tcW w:w="9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Jan 98</w:t>
            </w:r>
          </w:p>
        </w:tc>
        <w:tc>
          <w:tcPr>
            <w:tcW w:w="1780" w:type="dxa"/>
            <w:vAlign w:val="bottom"/>
            <w:gridSpan w:val="2"/>
            <w:vMerge w:val="continue"/>
          </w:tcPr>
          <w:p>
            <w:pPr>
              <w:spacing w:after="0"/>
              <w:rPr>
                <w:sz w:val="8"/>
                <w:szCs w:val="8"/>
                <w:color w:val="auto"/>
              </w:rPr>
            </w:pPr>
          </w:p>
        </w:tc>
        <w:tc>
          <w:tcPr>
            <w:tcW w:w="8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Jan01</w:t>
            </w: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Jan02</w:t>
            </w:r>
          </w:p>
        </w:tc>
        <w:tc>
          <w:tcPr>
            <w:tcW w:w="0" w:type="dxa"/>
            <w:vAlign w:val="bottom"/>
          </w:tcPr>
          <w:p>
            <w:pPr>
              <w:spacing w:after="0"/>
              <w:rPr>
                <w:sz w:val="1"/>
                <w:szCs w:val="1"/>
                <w:color w:val="auto"/>
              </w:rPr>
            </w:pPr>
          </w:p>
        </w:tc>
      </w:tr>
      <w:tr>
        <w:trPr>
          <w:trHeight w:val="211"/>
        </w:trPr>
        <w:tc>
          <w:tcPr>
            <w:tcW w:w="16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Jan 99</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Jan 00</w:t>
            </w:r>
          </w:p>
        </w:tc>
        <w:tc>
          <w:tcPr>
            <w:tcW w:w="8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DESIGNS, INC.</w:t>
            </w: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100</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36.46</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46.88</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25.00</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37.50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66.67</w:t>
            </w: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S&amp;P INDUSTRIALS</w:t>
            </w: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100</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123.80</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163.59</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189.96</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173.86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141.59</w:t>
            </w:r>
          </w:p>
        </w:tc>
      </w:tr>
      <w:tr>
        <w:trPr>
          <w:trHeight w:val="266"/>
        </w:trPr>
        <w:tc>
          <w:tcPr>
            <w:tcW w:w="2580" w:type="dxa"/>
            <w:vAlign w:val="bottom"/>
            <w:gridSpan w:val="2"/>
          </w:tcPr>
          <w:p>
            <w:pPr>
              <w:spacing w:after="0"/>
              <w:rPr>
                <w:sz w:val="20"/>
                <w:szCs w:val="20"/>
                <w:color w:val="auto"/>
              </w:rPr>
            </w:pPr>
            <w:r>
              <w:rPr>
                <w:rFonts w:ascii="Courier New" w:cs="Courier New" w:eastAsia="Courier New" w:hAnsi="Courier New"/>
                <w:sz w:val="16"/>
                <w:szCs w:val="16"/>
                <w:color w:val="auto"/>
              </w:rPr>
              <w:t>COMPOSITE RETAIL - 500100</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146.73</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238.78</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234.85</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242.97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253.01</w:t>
            </w:r>
          </w:p>
        </w:tc>
      </w:tr>
      <w:tr>
        <w:trPr>
          <w:trHeight w:val="550"/>
        </w:trPr>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30</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823" w:right="1440" w:bottom="1440" w:gutter="0" w:footer="0" w:header="0"/>
        </w:sectPr>
      </w:pPr>
    </w:p>
    <w:bookmarkStart w:id="32" w:name="page33"/>
    <w:bookmarkEnd w:id="32"/>
    <w:p>
      <w:pPr>
        <w:ind w:right="2679"/>
        <w:spacing w:after="0" w:line="265" w:lineRule="auto"/>
        <w:rPr>
          <w:sz w:val="20"/>
          <w:szCs w:val="20"/>
          <w:color w:val="auto"/>
        </w:rPr>
      </w:pPr>
      <w:r>
        <w:rPr>
          <w:rFonts w:ascii="Courier New" w:cs="Courier New" w:eastAsia="Courier New" w:hAnsi="Courier New"/>
          <w:sz w:val="16"/>
          <w:szCs w:val="16"/>
          <w:color w:val="auto"/>
        </w:rPr>
        <w:t>To supplement the five year historical performance shown above, below is a Performance Graph which compares the Company's cumulative stockholder return as of May 17, 2002, since the change in control which occurred in October 1999. At the Company's Annual Meeting of Stockholders held in October 1999, the stockholders voted to elect a new slate of directors supported by Jewelcor Management, Inc.</w:t>
      </w:r>
    </w:p>
    <w:p>
      <w:pPr>
        <w:spacing w:after="0" w:line="26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[GRAPHIC OMITTED]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of Liability; Indemnification</w:t>
      </w:r>
    </w:p>
    <w:p>
      <w:pPr>
        <w:spacing w:after="0" w:line="186" w:lineRule="exact"/>
        <w:rPr>
          <w:sz w:val="20"/>
          <w:szCs w:val="20"/>
          <w:color w:val="auto"/>
        </w:rPr>
      </w:pPr>
    </w:p>
    <w:p>
      <w:pPr>
        <w:ind w:right="2679"/>
        <w:spacing w:after="0" w:line="266" w:lineRule="auto"/>
        <w:rPr>
          <w:sz w:val="20"/>
          <w:szCs w:val="20"/>
          <w:color w:val="auto"/>
        </w:rPr>
      </w:pPr>
      <w:r>
        <w:rPr>
          <w:rFonts w:ascii="Courier New" w:cs="Courier New" w:eastAsia="Courier New" w:hAnsi="Courier New"/>
          <w:sz w:val="15"/>
          <w:szCs w:val="15"/>
          <w:color w:val="auto"/>
        </w:rPr>
        <w:t>The Company's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a corporation to eliminate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278" w:lineRule="exact"/>
        <w:rPr>
          <w:sz w:val="20"/>
          <w:szCs w:val="20"/>
          <w:color w:val="auto"/>
        </w:rPr>
      </w:pPr>
    </w:p>
    <w:p>
      <w:pPr>
        <w:ind w:right="2779"/>
        <w:spacing w:after="0" w:line="280" w:lineRule="auto"/>
        <w:rPr>
          <w:sz w:val="20"/>
          <w:szCs w:val="20"/>
          <w:color w:val="auto"/>
        </w:rPr>
      </w:pPr>
      <w:r>
        <w:rPr>
          <w:rFonts w:ascii="Courier New" w:cs="Courier New" w:eastAsia="Courier New" w:hAnsi="Courier New"/>
          <w:sz w:val="16"/>
          <w:szCs w:val="16"/>
          <w:color w:val="auto"/>
        </w:rPr>
        <w:t>The Certificate of Incorporation and the Company's By-Laws further provide for indemnification of the Company's directors and officers to the fullest extent permitted by Section 145 of the Delaware General Corporation Law, including circumstances in which indemnification is otherwise discretionary.</w:t>
      </w:r>
    </w:p>
    <w:p>
      <w:pPr>
        <w:spacing w:after="0" w:line="200" w:lineRule="exact"/>
        <w:rPr>
          <w:sz w:val="20"/>
          <w:szCs w:val="20"/>
          <w:color w:val="auto"/>
        </w:rPr>
      </w:pPr>
    </w:p>
    <w:p>
      <w:pPr>
        <w:spacing w:after="0" w:line="23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823"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Jewelcor Management, Inc.</w:t>
      </w:r>
    </w:p>
    <w:p>
      <w:pPr>
        <w:spacing w:after="0" w:line="186"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On October 28, 1999, the Company entered into a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of Directors on April 11, 2000, is a beneficial holder of approximately 20% of the outstanding Common Stock of the Company (principally held by JMI). He is also the President and Chief Executive Officer, and indirectly, with his wife, the primary shareholder, of JMI. In fiscal 2000, JMI received compensation under this agreement totaling $347,560 which consisted of (i) a stock option to purchase 400,000 shares of Common Stock, which was valued by an independent third party, using a growth model, at $63,560, and (ii) the issuance of 203,489 shares of Common Stock, which had an aggregate market value of $240,000.</w:t>
      </w:r>
    </w:p>
    <w:p>
      <w:pPr>
        <w:spacing w:after="0" w:line="94"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In June 2000, JMI received 182,857 non-forfeitable and fully vested shares of Common Stock in connection with the Company extending its consulting arrangement with JMI for an additional one-year period commencing on April 29, 2000 and ending on April 29, 2001. The fair value of those shares on June 26, 2000, the date of issuance, was $240,000 or $1.3125 per share. This consulting agreement was extended through April 29, 2002 and as compensation JMI received 61,856 non-forfeitable and fully vested shares of Common Stock with a fair value of $240,000 on May 25, 2001. The consulting agreement was again extended through April 29, 2003 and as compensation JMI received 60,659 non-forfeitable and fully vested shares of Common Stock with a fair value of $276,000 on April 29, 2002. The base rate of such compensation was agreed to be increased to $276,000 per annum in connection with the Casual Male Acquisition. The JMI consulting agreement includes a significant disincentive for non-performance, which would require JMI to pay to the Company a penalty equal to 150% of any unearned consulting services.</w:t>
      </w:r>
    </w:p>
    <w:p>
      <w:pPr>
        <w:spacing w:after="0" w:line="102" w:lineRule="exact"/>
        <w:rPr>
          <w:sz w:val="20"/>
          <w:szCs w:val="20"/>
          <w:color w:val="auto"/>
        </w:rPr>
      </w:pPr>
    </w:p>
    <w:p>
      <w:pPr>
        <w:ind w:right="2599"/>
        <w:spacing w:after="0" w:line="280" w:lineRule="auto"/>
        <w:rPr>
          <w:sz w:val="20"/>
          <w:szCs w:val="20"/>
          <w:color w:val="auto"/>
        </w:rPr>
      </w:pPr>
      <w:r>
        <w:rPr>
          <w:rFonts w:ascii="Courier New" w:cs="Courier New" w:eastAsia="Courier New" w:hAnsi="Courier New"/>
          <w:sz w:val="16"/>
          <w:szCs w:val="16"/>
          <w:color w:val="auto"/>
        </w:rPr>
        <w:t>In fiscal 2000, the Company also reimbursed JMI in the amount of $400,000, which was paid in shares of Common Stock, for expenses incurred by JMI in connection with the October 1999 proxy solicitation. Based on the closing price of the stock on October 29, 1999, JMI received 346,021 shares of Common Stock.</w:t>
      </w:r>
    </w:p>
    <w:p>
      <w:pPr>
        <w:spacing w:after="0" w:line="71" w:lineRule="exact"/>
        <w:rPr>
          <w:sz w:val="20"/>
          <w:szCs w:val="20"/>
          <w:color w:val="auto"/>
        </w:rPr>
      </w:pPr>
    </w:p>
    <w:p>
      <w:pPr>
        <w:ind w:right="2599"/>
        <w:spacing w:after="0" w:line="253" w:lineRule="auto"/>
        <w:rPr>
          <w:sz w:val="20"/>
          <w:szCs w:val="20"/>
          <w:color w:val="auto"/>
        </w:rPr>
      </w:pPr>
      <w:r>
        <w:rPr>
          <w:rFonts w:ascii="Courier New" w:cs="Courier New" w:eastAsia="Courier New" w:hAnsi="Courier New"/>
          <w:sz w:val="16"/>
          <w:szCs w:val="16"/>
          <w:color w:val="auto"/>
        </w:rPr>
        <w:t>JMI invested an aggregate of $5,750,000 in the recent private placement of the Company's senior subordinated notes, on terms no less favorable to the Company than the terms negotiated by the Company with unrelated third party investors. As a result, JMI acquired: (i) a 12% Senior Subordinated Note due 2007 in the principal amount of $4,500,000 with interest payable quarterly and Conditional Warrants to acquire 315,000 shares of Common Stock at an exercise price of $0.01 per share and (ii) a 12% Senior Subordinated Note due 2007 in the principal amount of $1,250,000 with interest payable quarterly, Conditional Warrants to acquire 87,500 shares of Common Stock at an exercise price of $0.01 per share, and Conditional Warrants to acquire 147,059 shares of Common Stock at an exercise price of $8.50 per share. The exercisability of such Conditional Warrants is subject to stockholder approval thereof pursuant to Proposal 4.</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 and Directors Participating in Private Placement</w:t>
      </w:r>
    </w:p>
    <w:p>
      <w:pPr>
        <w:spacing w:after="0" w:line="186" w:lineRule="exact"/>
        <w:rPr>
          <w:sz w:val="20"/>
          <w:szCs w:val="20"/>
          <w:color w:val="auto"/>
        </w:rPr>
      </w:pPr>
    </w:p>
    <w:p>
      <w:pPr>
        <w:ind w:right="2679"/>
        <w:spacing w:after="0" w:line="271" w:lineRule="auto"/>
        <w:rPr>
          <w:sz w:val="20"/>
          <w:szCs w:val="20"/>
          <w:color w:val="auto"/>
        </w:rPr>
      </w:pPr>
      <w:r>
        <w:rPr>
          <w:rFonts w:ascii="Courier New" w:cs="Courier New" w:eastAsia="Courier New" w:hAnsi="Courier New"/>
          <w:sz w:val="16"/>
          <w:szCs w:val="16"/>
          <w:color w:val="auto"/>
        </w:rPr>
        <w:t>Certain officers and directors of the Company participated in the Company's recent private placement of the Series B Preferred Stock. Of the 180,162 shares of Series B Preferred Stock issued, such officers and directors of the Company acquired an aggregate of 1,655 shares. See "Security Ownership of Management" for more information regarding each individual's participation.</w:t>
      </w:r>
    </w:p>
    <w:p>
      <w:pPr>
        <w:spacing w:after="0" w:line="77" w:lineRule="exact"/>
        <w:rPr>
          <w:sz w:val="20"/>
          <w:szCs w:val="20"/>
          <w:color w:val="auto"/>
        </w:rPr>
      </w:pPr>
    </w:p>
    <w:p>
      <w:pPr>
        <w:ind w:right="2599"/>
        <w:spacing w:after="0" w:line="276" w:lineRule="auto"/>
        <w:rPr>
          <w:sz w:val="20"/>
          <w:szCs w:val="20"/>
          <w:color w:val="auto"/>
        </w:rPr>
      </w:pPr>
      <w:r>
        <w:rPr>
          <w:rFonts w:ascii="Courier New" w:cs="Courier New" w:eastAsia="Courier New" w:hAnsi="Courier New"/>
          <w:sz w:val="15"/>
          <w:szCs w:val="15"/>
          <w:color w:val="auto"/>
        </w:rPr>
        <w:t>On May 14, 2002, Stephen M. Duff, a Senior Investment Manager at The Clark Estates, Inc., was appointed as a director of the Company. Clark Partners I, L.P., one of several investment funds of The Clark Estates, Inc., has invested an aggregate of $11,250,000 in the recent private placement of the Company's senior subordinated notes and acquired Non-conditional Warrants to purchase 787,500 shares of Common Stock at an exercise price of $0.01 per share and Conditional Warrants to purchase, subject to stockholder approval, 147,059 shares of Common Stock at an exercise price of $8.50 per share. In addition, Clark Partners I, L.P. also purchased 14,118 shares of Series B Preferred Stock.</w:t>
      </w:r>
    </w:p>
    <w:p>
      <w:pPr>
        <w:spacing w:after="0" w:line="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823"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Certain Arrangements with Other Directors</w:t>
      </w:r>
    </w:p>
    <w:p>
      <w:pPr>
        <w:spacing w:after="0" w:line="186" w:lineRule="exact"/>
        <w:rPr>
          <w:sz w:val="20"/>
          <w:szCs w:val="20"/>
          <w:color w:val="auto"/>
        </w:rPr>
      </w:pPr>
    </w:p>
    <w:p>
      <w:pPr>
        <w:ind w:right="2599"/>
        <w:spacing w:after="0" w:line="255" w:lineRule="auto"/>
        <w:rPr>
          <w:sz w:val="20"/>
          <w:szCs w:val="20"/>
          <w:color w:val="auto"/>
        </w:rPr>
      </w:pPr>
      <w:r>
        <w:rPr>
          <w:rFonts w:ascii="Courier New" w:cs="Courier New" w:eastAsia="Courier New" w:hAnsi="Courier New"/>
          <w:sz w:val="16"/>
          <w:szCs w:val="16"/>
          <w:color w:val="auto"/>
        </w:rPr>
        <w:t>On February 8, 2000, the Company retained Mr. Porter as a consultant to advise the Company with regard to merchandising strategies and operations. As compensation for these services, Mr. Porter is paid a rate of $2,000 per day, payable at his election in cash or in shares of Common Stock, plus reimbursement of reasonable out-of-pocket expenses. Mr. Porter was paid $4,000 and $13,661 as compensation and reimbursement of related expenses for fiscal 2002 and 2001, respectively. As part of his compensation, Mr. Porter was also granted stock options exercisable for up to 30,000 shares of Common Stock. The per share exercise price of these options was the closing price of the Common Stock on the date of grant.</w:t>
      </w:r>
    </w:p>
    <w:p>
      <w:pPr>
        <w:spacing w:after="0" w:line="92" w:lineRule="exact"/>
        <w:rPr>
          <w:sz w:val="20"/>
          <w:szCs w:val="20"/>
          <w:color w:val="auto"/>
        </w:rPr>
      </w:pPr>
    </w:p>
    <w:p>
      <w:pPr>
        <w:ind w:right="2599"/>
        <w:spacing w:after="0" w:line="258" w:lineRule="auto"/>
        <w:rPr>
          <w:sz w:val="20"/>
          <w:szCs w:val="20"/>
          <w:color w:val="auto"/>
        </w:rPr>
      </w:pPr>
      <w:r>
        <w:rPr>
          <w:rFonts w:ascii="Courier New" w:cs="Courier New" w:eastAsia="Courier New" w:hAnsi="Courier New"/>
          <w:sz w:val="16"/>
          <w:szCs w:val="16"/>
          <w:color w:val="auto"/>
        </w:rPr>
        <w:t>In June 2000, the Company extended a loan to David A. Levin, its President and Chief Executive Officer, in the amount of $196,875 in order for Mr. Levin to acquire from the Company 150,000 newly issued shares of Common Stock at the closing price of the Common Stock on that day. The Company and Mr. Levin entered into a secured promissory note, whereby Mr. Levin agrees to pay to the Company the principal sum of $196,875 plus interest due and payable on June 26, 2003. The promissory note bears interest at a rate of 6.53% per annum and is secured by the 150,000 acquired shares of Common Stock.</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with Independent Public Accountants</w:t>
      </w:r>
    </w:p>
    <w:p>
      <w:pPr>
        <w:spacing w:after="0" w:line="186" w:lineRule="exact"/>
        <w:rPr>
          <w:sz w:val="20"/>
          <w:szCs w:val="20"/>
          <w:color w:val="auto"/>
        </w:rPr>
      </w:pPr>
    </w:p>
    <w:p>
      <w:pPr>
        <w:ind w:right="2679"/>
        <w:spacing w:after="0" w:line="293" w:lineRule="auto"/>
        <w:rPr>
          <w:sz w:val="20"/>
          <w:szCs w:val="20"/>
          <w:color w:val="auto"/>
        </w:rPr>
      </w:pPr>
      <w:r>
        <w:rPr>
          <w:rFonts w:ascii="Courier New" w:cs="Courier New" w:eastAsia="Courier New" w:hAnsi="Courier New"/>
          <w:sz w:val="15"/>
          <w:szCs w:val="15"/>
          <w:color w:val="auto"/>
        </w:rPr>
        <w:t>On October 3, 2000, Deloitte &amp; Touche LLP ("Deloitte &amp; Touche") resigned as the Company's independent accountants. On October 11, 2000, the Company engaged Ernst &amp; Young LLP as its new principal independent accountants. The appointment of Ernst &amp; Young LLP as the Company's independent auditors was unanimously approved by the Audit Committee of the Company's Board of Directors.</w:t>
      </w:r>
    </w:p>
    <w:p>
      <w:pPr>
        <w:spacing w:after="0" w:line="63" w:lineRule="exact"/>
        <w:rPr>
          <w:sz w:val="20"/>
          <w:szCs w:val="20"/>
          <w:color w:val="auto"/>
        </w:rPr>
      </w:pPr>
    </w:p>
    <w:p>
      <w:pPr>
        <w:ind w:right="2599"/>
        <w:spacing w:after="0" w:line="251" w:lineRule="auto"/>
        <w:rPr>
          <w:sz w:val="20"/>
          <w:szCs w:val="20"/>
          <w:color w:val="auto"/>
        </w:rPr>
      </w:pPr>
      <w:r>
        <w:rPr>
          <w:rFonts w:ascii="Courier New" w:cs="Courier New" w:eastAsia="Courier New" w:hAnsi="Courier New"/>
          <w:sz w:val="16"/>
          <w:szCs w:val="16"/>
          <w:color w:val="auto"/>
        </w:rPr>
        <w:t>Deloitte &amp; Touche served as the Company's principal independent accountants from December 21, 1999 to October 3, 2000. During fiscal 2000 and thereafter through October 3, 2000, there were no disagreements between the Company and Deloitte &amp; Touche on matters of accounting principles or practices, financial statement disclosure, or auditing scope or procedure which, if not resolved to the satisfaction of Deloitte &amp; Touche, would have caused Deloitte &amp; Touche to make reference to the subject matters thereof in its reports. During the fiscal 2000 and thereafter through October 3, 2000, there was no occurrence of the kinds of events described in Item 304(a)(1)(v) of Regulations S-K promulgated by the Commission. In addition, none of the reports issued by Deloitte &amp; Touche concerning the Company's financial statements for the fiscal year end January 29, 2000 and thereafter through October 3, 2000 contained any adverse opinion or disclaimer of opinion. Such reports were not qualified or modified as to uncertainty, audit scope, or accounting principles.</w:t>
      </w:r>
    </w:p>
    <w:p>
      <w:pPr>
        <w:spacing w:after="0" w:line="200" w:lineRule="exact"/>
        <w:rPr>
          <w:sz w:val="20"/>
          <w:szCs w:val="20"/>
          <w:color w:val="auto"/>
        </w:rPr>
      </w:pPr>
    </w:p>
    <w:p>
      <w:pPr>
        <w:spacing w:after="0" w:line="26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39" w:right="1440" w:bottom="1440" w:gutter="0" w:footer="0" w:header="0"/>
        </w:sectPr>
      </w:pPr>
    </w:p>
    <w:bookmarkStart w:id="35" w:name="page36"/>
    <w:bookmarkEnd w:id="35"/>
    <w:p>
      <w:pPr>
        <w:jc w:val="center"/>
        <w:ind w:right="2499"/>
        <w:spacing w:after="0"/>
        <w:rPr>
          <w:sz w:val="20"/>
          <w:szCs w:val="20"/>
          <w:color w:val="auto"/>
        </w:rPr>
      </w:pPr>
      <w:r>
        <w:rPr>
          <w:rFonts w:ascii="Courier New" w:cs="Courier New" w:eastAsia="Courier New" w:hAnsi="Courier New"/>
          <w:sz w:val="16"/>
          <w:szCs w:val="16"/>
          <w:color w:val="auto"/>
        </w:rPr>
        <w:t>REPORT OF THE AUDIT COMMITTEE</w:t>
      </w:r>
    </w:p>
    <w:p>
      <w:pPr>
        <w:spacing w:after="0" w:line="186" w:lineRule="exact"/>
        <w:rPr>
          <w:sz w:val="20"/>
          <w:szCs w:val="20"/>
          <w:color w:val="auto"/>
        </w:rPr>
      </w:pPr>
    </w:p>
    <w:p>
      <w:pPr>
        <w:ind w:right="2599"/>
        <w:spacing w:after="0" w:line="258" w:lineRule="auto"/>
        <w:rPr>
          <w:sz w:val="20"/>
          <w:szCs w:val="20"/>
          <w:color w:val="auto"/>
        </w:rPr>
      </w:pPr>
      <w:r>
        <w:rPr>
          <w:rFonts w:ascii="Courier New" w:cs="Courier New" w:eastAsia="Courier New" w:hAnsi="Courier New"/>
          <w:sz w:val="16"/>
          <w:szCs w:val="16"/>
          <w:color w:val="auto"/>
        </w:rPr>
        <w:t>The Audit Committee oversees the Company's financial reporting process on behalf of the Board of Directors. Management has the primary responsibility for the financial statements and the reporting process, including the systems of internal controls. In fulfilling its oversight responsibilities, the Audit Committee reviewed the audited financial statements in the Annual Report with management, including a discussion of the quality, not just the acceptability, of the accounting principles, the reasonableness of significant judgments, and the clarity of disclosures in the financial statements.</w:t>
      </w:r>
    </w:p>
    <w:p>
      <w:pPr>
        <w:spacing w:after="0" w:line="92" w:lineRule="exact"/>
        <w:rPr>
          <w:sz w:val="20"/>
          <w:szCs w:val="20"/>
          <w:color w:val="auto"/>
        </w:rPr>
      </w:pPr>
    </w:p>
    <w:p>
      <w:pPr>
        <w:ind w:right="2599"/>
        <w:spacing w:after="0" w:line="255" w:lineRule="auto"/>
        <w:rPr>
          <w:sz w:val="20"/>
          <w:szCs w:val="20"/>
          <w:color w:val="auto"/>
        </w:rPr>
      </w:pPr>
      <w:r>
        <w:rPr>
          <w:rFonts w:ascii="Courier New" w:cs="Courier New" w:eastAsia="Courier New" w:hAnsi="Courier New"/>
          <w:sz w:val="16"/>
          <w:szCs w:val="16"/>
          <w:color w:val="auto"/>
        </w:rPr>
        <w:t>The Audit Committee reviewed with the independent auditors,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Audit Committee under generally accepted auditing standards. In addition, the Audit Committee has discussed with the independent auditors the auditors' independence from management and the Company including the matters in the written disclosures required by the Independence Standards board and considered the compatibility of non-audit services with the auditors' independence.</w:t>
      </w:r>
    </w:p>
    <w:p>
      <w:pPr>
        <w:spacing w:after="0" w:line="92" w:lineRule="exact"/>
        <w:rPr>
          <w:sz w:val="20"/>
          <w:szCs w:val="20"/>
          <w:color w:val="auto"/>
        </w:rPr>
      </w:pPr>
    </w:p>
    <w:p>
      <w:pPr>
        <w:ind w:right="3059"/>
        <w:spacing w:after="0" w:line="261" w:lineRule="auto"/>
        <w:rPr>
          <w:sz w:val="20"/>
          <w:szCs w:val="20"/>
          <w:color w:val="auto"/>
        </w:rPr>
      </w:pPr>
      <w:r>
        <w:rPr>
          <w:rFonts w:ascii="Courier New" w:cs="Courier New" w:eastAsia="Courier New" w:hAnsi="Courier New"/>
          <w:sz w:val="16"/>
          <w:szCs w:val="16"/>
          <w:color w:val="auto"/>
        </w:rPr>
        <w:t>The Audit Committee discussed with the Company's independent auditors the overall scope and plans for their audit. The Audit Committee meets with the independent auditors, with and without management present, to discuss the results of their examinations, their evaluations of the Company's internal controls, and the overall quality of the Company's financial reporting. The Audit Committee held five meetings during the fiscal year ended February 2, 2002.</w:t>
      </w:r>
    </w:p>
    <w:p>
      <w:pPr>
        <w:spacing w:after="0" w:line="87"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5"/>
          <w:szCs w:val="15"/>
          <w:color w:val="auto"/>
        </w:rPr>
        <w:t>In reliance on the reviews and discussions referred to above, the Audit Committee recommended to the Board of Directors (and the Board has approved) that the audited financial statements be included in the Annual Report on Form</w:t>
      </w:r>
    </w:p>
    <w:p>
      <w:pPr>
        <w:spacing w:after="0" w:line="1" w:lineRule="exact"/>
        <w:rPr>
          <w:sz w:val="20"/>
          <w:szCs w:val="20"/>
          <w:color w:val="auto"/>
        </w:rPr>
      </w:pPr>
    </w:p>
    <w:p>
      <w:pPr>
        <w:ind w:right="2599"/>
        <w:spacing w:after="0" w:line="268" w:lineRule="auto"/>
        <w:rPr>
          <w:sz w:val="20"/>
          <w:szCs w:val="20"/>
          <w:color w:val="auto"/>
        </w:rPr>
      </w:pPr>
      <w:r>
        <w:rPr>
          <w:rFonts w:ascii="Courier New" w:cs="Courier New" w:eastAsia="Courier New" w:hAnsi="Courier New"/>
          <w:sz w:val="16"/>
          <w:szCs w:val="16"/>
          <w:color w:val="auto"/>
        </w:rPr>
        <w:t>10-K for the fiscal year ended February 2, 2002 for filing with the Commission. The Audit Committee and the Board have also recommended, subject to ratification by the Company's stockholders, the selection of Ernst &amp; Young LLP as the Company's independent auditors.</w:t>
      </w:r>
    </w:p>
    <w:p>
      <w:pPr>
        <w:spacing w:after="0" w:line="79"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AUDIT COMMITTEE</w:t>
      </w:r>
    </w:p>
    <w:p>
      <w:pPr>
        <w:spacing w:after="0" w:line="3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Jesse Choper</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Joseph Pennacchio</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Jeremiah P. Murphy, Jr.</w:t>
      </w: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39" w:right="1440" w:bottom="1440" w:gutter="0" w:footer="0" w:header="0"/>
        </w:sectPr>
      </w:pPr>
    </w:p>
    <w:bookmarkStart w:id="36" w:name="page37"/>
    <w:bookmarkEnd w:id="36"/>
    <w:p>
      <w:pPr>
        <w:ind w:left="220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6"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6"/>
          <w:szCs w:val="16"/>
          <w:color w:val="auto"/>
        </w:rPr>
        <w:t>The Company files annual, quarterly and special reports, proxy statements and other information with the Securities and Exchange Commission under the Securities Exchange Act of 1934, as amended. You may read and copy these reports and other information filed by the Company at the Public Reference Section of the SEC, 450 Fifth Street, N.W., Room 1024, Washington, D.C. 20549, at prescribed rates. You may obtain information on the operation of the Public Reference Room by calling the SEC at 1-800-SEC-0330.</w:t>
      </w:r>
    </w:p>
    <w:p>
      <w:pPr>
        <w:spacing w:after="0" w:line="87"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6"/>
          <w:szCs w:val="16"/>
          <w:color w:val="auto"/>
        </w:rPr>
        <w:t>The SEC also maintains an Internet world wide web site that contains reports, proxy statements and other information about issuers, like the Company and Casual Male, who file electronically with the SEC through the Electronic Data Gathering, Analysis and Retrieval (EDGAR) system. The address of this site is http://www.sec.gov.</w:t>
      </w:r>
    </w:p>
    <w:p>
      <w:pPr>
        <w:spacing w:after="0" w:line="77" w:lineRule="exact"/>
        <w:rPr>
          <w:sz w:val="20"/>
          <w:szCs w:val="20"/>
          <w:color w:val="auto"/>
        </w:rPr>
      </w:pPr>
    </w:p>
    <w:p>
      <w:pPr>
        <w:ind w:right="2779"/>
        <w:spacing w:after="0" w:line="355" w:lineRule="auto"/>
        <w:rPr>
          <w:sz w:val="20"/>
          <w:szCs w:val="20"/>
          <w:color w:val="auto"/>
        </w:rPr>
      </w:pPr>
      <w:r>
        <w:rPr>
          <w:rFonts w:ascii="Courier New" w:cs="Courier New" w:eastAsia="Courier New" w:hAnsi="Courier New"/>
          <w:sz w:val="16"/>
          <w:szCs w:val="16"/>
          <w:color w:val="auto"/>
        </w:rPr>
        <w:t>Access to this information as well as other information on the Company is also available on the Company's website at http://www.designsinc.com.</w:t>
      </w:r>
    </w:p>
    <w:p>
      <w:pPr>
        <w:spacing w:after="0" w:line="14" w:lineRule="exact"/>
        <w:rPr>
          <w:sz w:val="20"/>
          <w:szCs w:val="20"/>
          <w:color w:val="auto"/>
        </w:rPr>
      </w:pPr>
    </w:p>
    <w:p>
      <w:pPr>
        <w:ind w:right="2599"/>
        <w:spacing w:after="0" w:line="304" w:lineRule="auto"/>
        <w:rPr>
          <w:sz w:val="20"/>
          <w:szCs w:val="20"/>
          <w:color w:val="auto"/>
        </w:rPr>
      </w:pPr>
      <w:r>
        <w:rPr>
          <w:rFonts w:ascii="Courier New" w:cs="Courier New" w:eastAsia="Courier New" w:hAnsi="Courier New"/>
          <w:sz w:val="15"/>
          <w:szCs w:val="15"/>
          <w:color w:val="auto"/>
        </w:rPr>
        <w:t>The documents set forth below that the Company has previously filed with the SEC contain important information about the Company and its financial condition. Copies of these documents (except the Current Report on Form 8-K/A filed on May 23, 2002) without attachments are being mailed with this Proxy Statement.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 SEC Filings (Commission File No. 0-15898):</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23" w:right="1440" w:bottom="1440" w:gutter="0" w:footer="0" w:header="0"/>
        </w:sectPr>
      </w:pPr>
    </w:p>
    <w:p>
      <w:pPr>
        <w:spacing w:after="0" w:line="158" w:lineRule="exact"/>
        <w:rPr>
          <w:sz w:val="20"/>
          <w:szCs w:val="20"/>
          <w:color w:val="auto"/>
        </w:rPr>
      </w:pPr>
    </w:p>
    <w:p>
      <w:pPr>
        <w:ind w:left="280" w:right="220"/>
        <w:spacing w:after="0" w:line="304" w:lineRule="auto"/>
        <w:rPr>
          <w:sz w:val="20"/>
          <w:szCs w:val="20"/>
          <w:color w:val="auto"/>
        </w:rPr>
      </w:pPr>
      <w:r>
        <w:rPr>
          <w:rFonts w:ascii="Courier New" w:cs="Courier New" w:eastAsia="Courier New" w:hAnsi="Courier New"/>
          <w:sz w:val="15"/>
          <w:szCs w:val="15"/>
          <w:color w:val="auto"/>
        </w:rPr>
        <w:t>Annual Report on Form 10-K Current Report on Form 8-K Current Report on Form 8-K/A Current Report on Form 8-K/A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February 2, 2002</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on May 23, 2002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on May 23, 2002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on June 14, 2002</w:t>
      </w:r>
    </w:p>
    <w:p>
      <w:pPr>
        <w:spacing w:after="0" w:line="157" w:lineRule="exact"/>
        <w:rPr>
          <w:sz w:val="20"/>
          <w:szCs w:val="20"/>
          <w:color w:val="auto"/>
        </w:rPr>
      </w:pPr>
    </w:p>
    <w:p>
      <w:pPr>
        <w:sectPr>
          <w:pgSz w:w="11900" w:h="16838" w:orient="portrait"/>
          <w:cols w:equalWidth="0" w:num="2">
            <w:col w:w="3180" w:space="720"/>
            <w:col w:w="6319"/>
          </w:cols>
          <w:pgMar w:left="240" w:top="823" w:right="1440" w:bottom="1440" w:gutter="0" w:footer="0" w:header="0"/>
          <w:type w:val="continuous"/>
        </w:sectPr>
      </w:pPr>
    </w:p>
    <w:p>
      <w:pPr>
        <w:jc w:val="center"/>
        <w:ind w:right="2599"/>
        <w:spacing w:after="0"/>
        <w:rPr>
          <w:sz w:val="20"/>
          <w:szCs w:val="20"/>
          <w:color w:val="auto"/>
        </w:rPr>
      </w:pPr>
      <w:r>
        <w:rPr>
          <w:rFonts w:ascii="Courier New" w:cs="Courier New" w:eastAsia="Courier New" w:hAnsi="Courier New"/>
          <w:sz w:val="16"/>
          <w:szCs w:val="16"/>
          <w:color w:val="auto"/>
        </w:rPr>
        <w:t>SOLICITATION</w:t>
      </w:r>
    </w:p>
    <w:p>
      <w:pPr>
        <w:spacing w:after="0" w:line="186" w:lineRule="exact"/>
        <w:rPr>
          <w:sz w:val="20"/>
          <w:szCs w:val="20"/>
          <w:color w:val="auto"/>
        </w:rPr>
      </w:pPr>
    </w:p>
    <w:p>
      <w:pPr>
        <w:jc w:val="both"/>
        <w:ind w:right="2779"/>
        <w:spacing w:after="0" w:line="271" w:lineRule="auto"/>
        <w:rPr>
          <w:sz w:val="20"/>
          <w:szCs w:val="20"/>
          <w:color w:val="auto"/>
        </w:rPr>
      </w:pPr>
      <w:r>
        <w:rPr>
          <w:rFonts w:ascii="Courier New" w:cs="Courier New" w:eastAsia="Courier New" w:hAnsi="Courier New"/>
          <w:sz w:val="16"/>
          <w:szCs w:val="16"/>
          <w:color w:val="auto"/>
        </w:rPr>
        <w:t>The Company will bear the cost of solicitation of proxies. In addition to the use of the mails, proxies may be solicited by certain officers, directors and employees of the Company without extra compensation, by telephone, facsimile or personal interview. D.F. King &amp; Company, Inc. has been retained by the Company for a fee not to exceed $5,000 to aid in solicitation of proxies.</w:t>
      </w:r>
    </w:p>
    <w:p>
      <w:pPr>
        <w:spacing w:after="0" w:line="77"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DELIVERY OF DOCUMENTS TO STOCKHOLDERS SHARING AN ADDRESS</w:t>
      </w:r>
    </w:p>
    <w:p>
      <w:pPr>
        <w:spacing w:after="0" w:line="186"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Only one copy of the Proxy Statement is being delivered to multiple stockholders sharing an address unless the Company has received contrary instructions from one or more of the stockholders in question. If you are one of a number of stockholders sharing a single address and would like to receive a separate copy of the Proxy Statement or if you would like to request that the Company send you a separate copy of annual reports or proxy statements, as applicable, in the future, please contact the Company at the following address. The Company will send you a copy of the Proxy Statement promptly after it receives your written or oral request.</w:t>
      </w:r>
    </w:p>
    <w:p>
      <w:pPr>
        <w:spacing w:after="0" w:line="9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STOCKHOLDER PROPOSALS</w:t>
      </w:r>
    </w:p>
    <w:p>
      <w:pPr>
        <w:spacing w:after="0" w:line="186"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Under the rules of the Commission, in order for any shareholder proposal to be included in the Company's proxy statement and proxy card for presentation at the 2003 Annual Meeting of Stockholders, the proposal must be received by the Secretary of the Company at the Company's principal executive offices by February 8, 2003 (120 days before the anniversary date of the date this Proxy Statement is being mailed to the Company's stockholders).</w:t>
      </w:r>
    </w:p>
    <w:p>
      <w:pPr>
        <w:spacing w:after="0" w:line="83"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The Company's By-Laws provide that for business to be properly brought before an Annual Meeting of Stockholders (or any Special Meeting in lieu of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By-Laws. A stockholder's notice will be timely if delivered to, or mailed to and received by, the Company not less than seventy-five days nor more than one hundred twenty days prior to the</w:t>
      </w:r>
    </w:p>
    <w:p>
      <w:pPr>
        <w:spacing w:after="0" w:line="200" w:lineRule="exact"/>
        <w:rPr>
          <w:sz w:val="20"/>
          <w:szCs w:val="20"/>
          <w:color w:val="auto"/>
        </w:rPr>
      </w:pPr>
    </w:p>
    <w:p>
      <w:pPr>
        <w:spacing w:after="0" w:line="26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823" w:right="1440" w:bottom="1440" w:gutter="0" w:footer="0" w:header="0"/>
          <w:type w:val="continuous"/>
        </w:sectPr>
      </w:pPr>
    </w:p>
    <w:bookmarkStart w:id="37" w:name="page38"/>
    <w:bookmarkEnd w:id="37"/>
    <w:p>
      <w:pPr>
        <w:ind w:left="2" w:right="2679"/>
        <w:spacing w:after="0" w:line="263" w:lineRule="auto"/>
        <w:rPr>
          <w:sz w:val="20"/>
          <w:szCs w:val="20"/>
          <w:color w:val="auto"/>
        </w:rPr>
      </w:pPr>
      <w:r>
        <w:rPr>
          <w:rFonts w:ascii="Courier New" w:cs="Courier New" w:eastAsia="Courier New" w:hAnsi="Courier New"/>
          <w:sz w:val="15"/>
          <w:szCs w:val="15"/>
          <w:color w:val="auto"/>
        </w:rPr>
        <w:t>anniversary date of the immediately preceding Annual Meeting (the "Anniversary Date"). To bring an item of business before the 2003 Annual Meeting, a stockholder must deliver the requisite notice of such item to the Secretary of the Company not before April 10, 2003 nor later than May 25, 2003. In the event the Annual Meeting is scheduled to be held on a date more than thirty days before the Anniversary Date or more than sixty days after the Anniversary Date, however, a stockholder's notice will be timely delivered to, or mailed to, and received by, the Company not later than the close of business on the later of</w:t>
      </w:r>
    </w:p>
    <w:p>
      <w:pPr>
        <w:spacing w:after="0" w:line="6" w:lineRule="exact"/>
        <w:rPr>
          <w:sz w:val="20"/>
          <w:szCs w:val="20"/>
          <w:color w:val="auto"/>
        </w:rPr>
      </w:pPr>
    </w:p>
    <w:p>
      <w:pPr>
        <w:ind w:left="382" w:hanging="382"/>
        <w:spacing w:after="0"/>
        <w:tabs>
          <w:tab w:leader="none" w:pos="38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seventy-fifth day prior to the scheduled date of such Annual Meeting or</w:t>
      </w:r>
    </w:p>
    <w:p>
      <w:pPr>
        <w:spacing w:after="0" w:line="2" w:lineRule="exact"/>
        <w:rPr>
          <w:rFonts w:ascii="Courier New" w:cs="Courier New" w:eastAsia="Courier New" w:hAnsi="Courier New"/>
          <w:sz w:val="16"/>
          <w:szCs w:val="16"/>
          <w:color w:val="auto"/>
        </w:rPr>
      </w:pPr>
    </w:p>
    <w:p>
      <w:pPr>
        <w:ind w:left="2" w:right="2599" w:hanging="2"/>
        <w:spacing w:after="0" w:line="318" w:lineRule="auto"/>
        <w:tabs>
          <w:tab w:leader="none" w:pos="38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fifteenth day following the day on which public announcement of the date of such Annual Meeting is first made by the Company.</w:t>
      </w:r>
    </w:p>
    <w:p>
      <w:pPr>
        <w:spacing w:after="0" w:line="42"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OTHER MATTERS</w:t>
      </w:r>
    </w:p>
    <w:p>
      <w:pPr>
        <w:spacing w:after="0" w:line="186" w:lineRule="exact"/>
        <w:rPr>
          <w:sz w:val="20"/>
          <w:szCs w:val="20"/>
          <w:color w:val="auto"/>
        </w:rPr>
      </w:pPr>
    </w:p>
    <w:p>
      <w:pPr>
        <w:ind w:left="2" w:right="2599"/>
        <w:spacing w:after="0" w:line="271" w:lineRule="auto"/>
        <w:rPr>
          <w:sz w:val="20"/>
          <w:szCs w:val="20"/>
          <w:color w:val="auto"/>
        </w:rPr>
      </w:pPr>
      <w:r>
        <w:rPr>
          <w:rFonts w:ascii="Courier New" w:cs="Courier New" w:eastAsia="Courier New" w:hAnsi="Courier New"/>
          <w:sz w:val="16"/>
          <w:szCs w:val="16"/>
          <w:color w:val="auto"/>
        </w:rPr>
        <w:t>As of this date,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26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1"/>
          </w:cols>
          <w:pgMar w:left="238" w:top="639" w:right="1440" w:bottom="1440" w:gutter="0" w:footer="0" w:header="0"/>
        </w:sectPr>
      </w:pPr>
    </w:p>
    <w:bookmarkStart w:id="38" w:name="page39"/>
    <w:bookmarkEnd w:id="38"/>
    <w:p>
      <w:pPr>
        <w:ind w:left="3380"/>
        <w:spacing w:after="0"/>
        <w:rPr>
          <w:sz w:val="20"/>
          <w:szCs w:val="20"/>
          <w:color w:val="auto"/>
        </w:rPr>
      </w:pPr>
      <w:r>
        <w:rPr>
          <w:rFonts w:ascii="Courier New" w:cs="Courier New" w:eastAsia="Courier New" w:hAnsi="Courier New"/>
          <w:sz w:val="16"/>
          <w:szCs w:val="16"/>
          <w:color w:val="auto"/>
        </w:rPr>
        <w:t>DESIGNS, INC.</w:t>
      </w:r>
    </w:p>
    <w:p>
      <w:pPr>
        <w:spacing w:after="0" w:line="30"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Notice of 2002 Annual Meeting</w:t>
      </w:r>
    </w:p>
    <w:p>
      <w:pPr>
        <w:spacing w:after="0" w:line="13"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Stockholders and Proxy</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Statement</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Thursday, August 8, 2002</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9:00 A.M.</w:t>
      </w:r>
    </w:p>
    <w:p>
      <w:pPr>
        <w:spacing w:after="0" w:line="158"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Friars Club</w:t>
      </w:r>
    </w:p>
    <w:p>
      <w:pPr>
        <w:spacing w:after="0" w:line="3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57 East 55th Street</w:t>
      </w:r>
    </w:p>
    <w:p>
      <w:pPr>
        <w:spacing w:after="0" w:line="2" w:lineRule="exact"/>
        <w:rPr>
          <w:sz w:val="20"/>
          <w:szCs w:val="20"/>
          <w:color w:val="auto"/>
        </w:rPr>
      </w:pPr>
    </w:p>
    <w:p>
      <w:pPr>
        <w:ind w:left="3380"/>
        <w:spacing w:after="0"/>
        <w:tabs>
          <w:tab w:leader="none" w:pos="5260" w:val="left"/>
        </w:tabs>
        <w:rPr>
          <w:sz w:val="20"/>
          <w:szCs w:val="20"/>
          <w:color w:val="auto"/>
        </w:rPr>
      </w:pPr>
      <w:r>
        <w:rPr>
          <w:rFonts w:ascii="Courier New" w:cs="Courier New" w:eastAsia="Courier New" w:hAnsi="Courier New"/>
          <w:sz w:val="16"/>
          <w:szCs w:val="16"/>
          <w:color w:val="auto"/>
        </w:rPr>
        <w:t>New York, New York</w:t>
        <w:tab/>
        <w:t>10022</w:t>
      </w:r>
    </w:p>
    <w:p>
      <w:pPr>
        <w:spacing w:after="0" w:line="158"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Please sign your proxy and</w:t>
      </w:r>
    </w:p>
    <w:p>
      <w:pPr>
        <w:spacing w:after="0" w:line="3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return it in the enclosed</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postage-paid envelope so that</w:t>
      </w:r>
    </w:p>
    <w:p>
      <w:pPr>
        <w:spacing w:after="0" w:line="13"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you may be represented at the</w:t>
      </w:r>
    </w:p>
    <w:p>
      <w:pPr>
        <w:spacing w:after="0" w:line="13"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Annual Meeting.</w:t>
      </w:r>
    </w:p>
    <w:p>
      <w:pPr>
        <w:spacing w:after="0" w:line="34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9019"/>
          </w:cols>
          <w:pgMar w:left="1440" w:top="823" w:right="1440" w:bottom="1440" w:gutter="0" w:footer="0" w:header="0"/>
        </w:sectPr>
      </w:pPr>
    </w:p>
    <w:bookmarkStart w:id="39" w:name="page40"/>
    <w:bookmarkEnd w:id="39"/>
    <w:p>
      <w:pPr>
        <w:jc w:val="right"/>
        <w:ind w:right="2599"/>
        <w:spacing w:after="0"/>
        <w:rPr>
          <w:sz w:val="20"/>
          <w:szCs w:val="20"/>
          <w:color w:val="auto"/>
        </w:rPr>
      </w:pPr>
      <w:r>
        <w:rPr>
          <w:rFonts w:ascii="Courier New" w:cs="Courier New" w:eastAsia="Courier New" w:hAnsi="Courier New"/>
          <w:sz w:val="16"/>
          <w:szCs w:val="16"/>
          <w:color w:val="auto"/>
        </w:rPr>
        <w:t>EXHIBIT A</w:t>
      </w:r>
    </w:p>
    <w:p>
      <w:pPr>
        <w:spacing w:after="0" w:line="3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FORM OF</w:t>
      </w:r>
    </w:p>
    <w:p>
      <w:pPr>
        <w:spacing w:after="0" w:line="158"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AGREEMENT AND PLAN OF MERGER</w:t>
      </w:r>
    </w:p>
    <w:p>
      <w:pPr>
        <w:spacing w:after="0" w:line="3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This merger agreement is dated ________, 2002, and is between DESIGNS,</w:t>
      </w:r>
    </w:p>
    <w:p>
      <w:pPr>
        <w:spacing w:after="0" w:line="30" w:lineRule="exact"/>
        <w:rPr>
          <w:sz w:val="20"/>
          <w:szCs w:val="20"/>
          <w:color w:val="auto"/>
        </w:rPr>
      </w:pPr>
    </w:p>
    <w:p>
      <w:pPr>
        <w:ind w:right="2979"/>
        <w:spacing w:after="0" w:line="318" w:lineRule="auto"/>
        <w:rPr>
          <w:sz w:val="20"/>
          <w:szCs w:val="20"/>
          <w:color w:val="auto"/>
        </w:rPr>
      </w:pPr>
      <w:r>
        <w:rPr>
          <w:rFonts w:ascii="Courier New" w:cs="Courier New" w:eastAsia="Courier New" w:hAnsi="Courier New"/>
          <w:sz w:val="16"/>
          <w:szCs w:val="16"/>
          <w:color w:val="auto"/>
        </w:rPr>
        <w:t>INC., a Nevada corporation ("Designs Nevada"), and DESIGNS, INC., a Delaware corporation ("Designs Delaware").</w:t>
      </w:r>
    </w:p>
    <w:p>
      <w:pPr>
        <w:spacing w:after="0" w:line="42" w:lineRule="exact"/>
        <w:rPr>
          <w:sz w:val="20"/>
          <w:szCs w:val="20"/>
          <w:color w:val="auto"/>
        </w:rPr>
      </w:pPr>
    </w:p>
    <w:p>
      <w:pPr>
        <w:ind w:right="2599" w:firstLine="858"/>
        <w:spacing w:after="0" w:line="299" w:lineRule="auto"/>
        <w:rPr>
          <w:sz w:val="20"/>
          <w:szCs w:val="20"/>
          <w:color w:val="auto"/>
        </w:rPr>
      </w:pPr>
      <w:r>
        <w:rPr>
          <w:rFonts w:ascii="Courier New" w:cs="Courier New" w:eastAsia="Courier New" w:hAnsi="Courier New"/>
          <w:sz w:val="16"/>
          <w:szCs w:val="16"/>
          <w:color w:val="auto"/>
        </w:rPr>
        <w:t>Designs Nevada is a corporation incorporated in the State of Nevada and is governed by the provisions of Chapter 78 of the Nevada Revised Statutes (the "NRS").</w:t>
      </w:r>
    </w:p>
    <w:p>
      <w:pPr>
        <w:spacing w:after="0" w:line="56" w:lineRule="exact"/>
        <w:rPr>
          <w:sz w:val="20"/>
          <w:szCs w:val="20"/>
          <w:color w:val="auto"/>
        </w:rPr>
      </w:pPr>
    </w:p>
    <w:p>
      <w:pPr>
        <w:ind w:right="2599" w:firstLine="858"/>
        <w:spacing w:after="0" w:line="299" w:lineRule="auto"/>
        <w:rPr>
          <w:sz w:val="20"/>
          <w:szCs w:val="20"/>
          <w:color w:val="auto"/>
        </w:rPr>
      </w:pPr>
      <w:r>
        <w:rPr>
          <w:rFonts w:ascii="Courier New" w:cs="Courier New" w:eastAsia="Courier New" w:hAnsi="Courier New"/>
          <w:sz w:val="16"/>
          <w:szCs w:val="16"/>
          <w:color w:val="auto"/>
        </w:rPr>
        <w:t>Designs Delaware is a corporation incorporated in the State of Delaware and is governed by the provisions of the Delaware General Corporation Law (the "DGCL").</w:t>
      </w:r>
    </w:p>
    <w:p>
      <w:pPr>
        <w:spacing w:after="0" w:line="56" w:lineRule="exact"/>
        <w:rPr>
          <w:sz w:val="20"/>
          <w:szCs w:val="20"/>
          <w:color w:val="auto"/>
        </w:rPr>
      </w:pPr>
    </w:p>
    <w:p>
      <w:pPr>
        <w:ind w:right="2599" w:firstLine="858"/>
        <w:spacing w:after="0" w:line="280" w:lineRule="auto"/>
        <w:rPr>
          <w:sz w:val="20"/>
          <w:szCs w:val="20"/>
          <w:color w:val="auto"/>
        </w:rPr>
      </w:pPr>
      <w:r>
        <w:rPr>
          <w:rFonts w:ascii="Courier New" w:cs="Courier New" w:eastAsia="Courier New" w:hAnsi="Courier New"/>
          <w:sz w:val="16"/>
          <w:szCs w:val="16"/>
          <w:color w:val="auto"/>
        </w:rPr>
        <w:t>Designs Delaware desires to change its corporate domicile from Delaware to Nevada by means of a statutory merger whereby Designs Delaware will be merged into Designs Nevada and the separate corporate existence of Designs Delaware will cease.</w:t>
      </w:r>
    </w:p>
    <w:p>
      <w:pPr>
        <w:spacing w:after="0" w:line="71" w:lineRule="exact"/>
        <w:rPr>
          <w:sz w:val="20"/>
          <w:szCs w:val="20"/>
          <w:color w:val="auto"/>
        </w:rPr>
      </w:pPr>
    </w:p>
    <w:p>
      <w:pPr>
        <w:ind w:right="2599" w:firstLine="858"/>
        <w:spacing w:after="0" w:line="271" w:lineRule="auto"/>
        <w:rPr>
          <w:sz w:val="20"/>
          <w:szCs w:val="20"/>
          <w:color w:val="auto"/>
        </w:rPr>
      </w:pPr>
      <w:r>
        <w:rPr>
          <w:rFonts w:ascii="Courier New" w:cs="Courier New" w:eastAsia="Courier New" w:hAnsi="Courier New"/>
          <w:sz w:val="16"/>
          <w:szCs w:val="16"/>
          <w:color w:val="auto"/>
        </w:rPr>
        <w:t>The parties intend, by executing this agreement, to adopt a plan of reorganization within the meaning of Section 368 of the Internal Revenue Code of 1986, as amended (the "Code"), and to cause the merger described in this agreement to qualify as a tax-free reorganization under the provisions of Section 368 of the Code.</w:t>
      </w:r>
    </w:p>
    <w:p>
      <w:pPr>
        <w:spacing w:after="0" w:line="7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parties hereby agree as follows:</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1</w:t>
      </w:r>
    </w:p>
    <w:p>
      <w:pPr>
        <w:spacing w:after="0" w:line="30"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PRINCIPAL TERMS OF THE MERGER</w:t>
      </w:r>
    </w:p>
    <w:p>
      <w:pPr>
        <w:spacing w:after="0" w:line="158" w:lineRule="exact"/>
        <w:rPr>
          <w:sz w:val="20"/>
          <w:szCs w:val="20"/>
          <w:color w:val="auto"/>
        </w:rPr>
      </w:pPr>
    </w:p>
    <w:p>
      <w:pPr>
        <w:ind w:right="2779" w:firstLine="858"/>
        <w:spacing w:after="0" w:line="265" w:lineRule="auto"/>
        <w:rPr>
          <w:sz w:val="20"/>
          <w:szCs w:val="20"/>
          <w:color w:val="auto"/>
        </w:rPr>
      </w:pPr>
      <w:r>
        <w:rPr>
          <w:rFonts w:ascii="Courier New" w:cs="Courier New" w:eastAsia="Courier New" w:hAnsi="Courier New"/>
          <w:sz w:val="16"/>
          <w:szCs w:val="16"/>
          <w:color w:val="auto"/>
        </w:rPr>
        <w:t>1.1 Merger. At the Effective Time, Designs Delaware will merge into Designs Nevada in accordance with the DGCL and the NRS (that merger, the "Merger"). The separate existence of Designs Delaware will thereupon cease and Designs Nevada will be the surviving corporation (in that capacity, the "Surviving Corporation") and will continue its corporate existence under the laws of the State of Nevada.</w:t>
      </w:r>
    </w:p>
    <w:p>
      <w:pPr>
        <w:spacing w:after="0" w:line="83" w:lineRule="exact"/>
        <w:rPr>
          <w:sz w:val="20"/>
          <w:szCs w:val="20"/>
          <w:color w:val="auto"/>
        </w:rPr>
      </w:pPr>
    </w:p>
    <w:p>
      <w:pPr>
        <w:ind w:right="2779" w:firstLine="858"/>
        <w:spacing w:after="0" w:line="261" w:lineRule="auto"/>
        <w:rPr>
          <w:sz w:val="20"/>
          <w:szCs w:val="20"/>
          <w:color w:val="auto"/>
        </w:rPr>
      </w:pPr>
      <w:r>
        <w:rPr>
          <w:rFonts w:ascii="Courier New" w:cs="Courier New" w:eastAsia="Courier New" w:hAnsi="Courier New"/>
          <w:sz w:val="16"/>
          <w:szCs w:val="16"/>
          <w:color w:val="auto"/>
        </w:rPr>
        <w:t>1.2 Effective Time. The Merger will become effective on the date a certificate of ownership and merger is filed by the Surviving Corporation with the Secretary of State of the State of Delaware in accordance with Section 253 of the DGCL or the date articles of merger are filed by the Surviving Corporation with the Secretary of State of the State of Nevada in accordance with Chapter 92A of the NRS, whichever filing occurs later (that date, the "Effective Time").</w:t>
      </w:r>
    </w:p>
    <w:p>
      <w:pPr>
        <w:spacing w:after="0" w:line="87" w:lineRule="exact"/>
        <w:rPr>
          <w:sz w:val="20"/>
          <w:szCs w:val="20"/>
          <w:color w:val="auto"/>
        </w:rPr>
      </w:pPr>
    </w:p>
    <w:p>
      <w:pPr>
        <w:ind w:right="2679" w:firstLine="858"/>
        <w:spacing w:after="0" w:line="355" w:lineRule="auto"/>
        <w:rPr>
          <w:sz w:val="20"/>
          <w:szCs w:val="20"/>
          <w:color w:val="auto"/>
        </w:rPr>
      </w:pPr>
      <w:r>
        <w:rPr>
          <w:rFonts w:ascii="Courier New" w:cs="Courier New" w:eastAsia="Courier New" w:hAnsi="Courier New"/>
          <w:sz w:val="16"/>
          <w:szCs w:val="16"/>
          <w:color w:val="auto"/>
        </w:rPr>
        <w:t>1.3 Effects of the Merger. At the Effective Time, the Merger will have the effects specified in the DGCL, the NRS, and this agreement.</w:t>
      </w:r>
    </w:p>
    <w:p>
      <w:pPr>
        <w:spacing w:after="0" w:line="14" w:lineRule="exact"/>
        <w:rPr>
          <w:sz w:val="20"/>
          <w:szCs w:val="20"/>
          <w:color w:val="auto"/>
        </w:rPr>
      </w:pPr>
    </w:p>
    <w:p>
      <w:pPr>
        <w:ind w:right="2679" w:firstLine="858"/>
        <w:spacing w:after="0" w:line="280" w:lineRule="auto"/>
        <w:rPr>
          <w:sz w:val="20"/>
          <w:szCs w:val="20"/>
          <w:color w:val="auto"/>
        </w:rPr>
      </w:pPr>
      <w:r>
        <w:rPr>
          <w:rFonts w:ascii="Courier New" w:cs="Courier New" w:eastAsia="Courier New" w:hAnsi="Courier New"/>
          <w:sz w:val="16"/>
          <w:szCs w:val="16"/>
          <w:color w:val="auto"/>
        </w:rPr>
        <w:t>1.4 Articles of Incorporation. At the Effective Time, the articles of incorporation of Designs Nevada as in effect immediately prior to the Effective Time will become the articles of incorporation of the Surviving Corporation until duly amended in accordance with its terms and the NRS.</w:t>
      </w:r>
    </w:p>
    <w:p>
      <w:pPr>
        <w:spacing w:after="0" w:line="71" w:lineRule="exact"/>
        <w:rPr>
          <w:sz w:val="20"/>
          <w:szCs w:val="20"/>
          <w:color w:val="auto"/>
        </w:rPr>
      </w:pPr>
    </w:p>
    <w:p>
      <w:pPr>
        <w:ind w:right="2779" w:firstLine="858"/>
        <w:spacing w:after="0" w:line="280" w:lineRule="auto"/>
        <w:rPr>
          <w:sz w:val="20"/>
          <w:szCs w:val="20"/>
          <w:color w:val="auto"/>
        </w:rPr>
      </w:pPr>
      <w:r>
        <w:rPr>
          <w:rFonts w:ascii="Courier New" w:cs="Courier New" w:eastAsia="Courier New" w:hAnsi="Courier New"/>
          <w:sz w:val="16"/>
          <w:szCs w:val="16"/>
          <w:color w:val="auto"/>
        </w:rPr>
        <w:t>1.5 Bylaws. At the Effective Time, the bylaws of Designs Nevada as in effect immediately prior to the Effective Time will become the bylaws of the Surviving Corporation until duly amended in accordance with their terms and as provided by the NRS.</w:t>
      </w:r>
    </w:p>
    <w:p>
      <w:pPr>
        <w:spacing w:after="0" w:line="71" w:lineRule="exact"/>
        <w:rPr>
          <w:sz w:val="20"/>
          <w:szCs w:val="20"/>
          <w:color w:val="auto"/>
        </w:rPr>
      </w:pPr>
    </w:p>
    <w:p>
      <w:pPr>
        <w:ind w:right="2599" w:firstLine="858"/>
        <w:spacing w:after="0" w:line="261" w:lineRule="auto"/>
        <w:rPr>
          <w:sz w:val="20"/>
          <w:szCs w:val="20"/>
          <w:color w:val="auto"/>
        </w:rPr>
      </w:pPr>
      <w:r>
        <w:rPr>
          <w:rFonts w:ascii="Courier New" w:cs="Courier New" w:eastAsia="Courier New" w:hAnsi="Courier New"/>
          <w:sz w:val="16"/>
          <w:szCs w:val="16"/>
          <w:color w:val="auto"/>
        </w:rPr>
        <w:t>1.6 Directors and Officers. At the Effective Time, the directors and officers of Designs Delaware in office at the Effective Time will retain their positions as the directors and officers, respectively, of the Surviving Corporation, each of those directors and officers to hold office, subject to the applicable provisions of the articles of incorporation and bylaws of the Surviving Corporation and the NRS, until his or her successor is duly elected or appointed or until his or her earlier death, incompetence, or removal.</w:t>
      </w:r>
    </w:p>
    <w:p>
      <w:pPr>
        <w:spacing w:after="0" w:line="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456" w:right="1440" w:bottom="1440" w:gutter="0" w:footer="0" w:header="0"/>
        </w:sectPr>
      </w:pPr>
    </w:p>
    <w:bookmarkStart w:id="40" w:name="page41"/>
    <w:bookmarkEnd w:id="40"/>
    <w:p>
      <w:pPr>
        <w:jc w:val="center"/>
        <w:ind w:right="2679"/>
        <w:spacing w:after="0"/>
        <w:rPr>
          <w:sz w:val="20"/>
          <w:szCs w:val="20"/>
          <w:color w:val="auto"/>
        </w:rPr>
      </w:pPr>
      <w:r>
        <w:rPr>
          <w:rFonts w:ascii="Courier New" w:cs="Courier New" w:eastAsia="Courier New" w:hAnsi="Courier New"/>
          <w:sz w:val="16"/>
          <w:szCs w:val="16"/>
          <w:color w:val="auto"/>
        </w:rPr>
        <w:t>ARTICLE 2</w:t>
      </w:r>
    </w:p>
    <w:p>
      <w:pPr>
        <w:spacing w:after="0" w:line="3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CONVERSION AND CANCELLATION OF STOCK</w:t>
      </w:r>
    </w:p>
    <w:p>
      <w:pPr>
        <w:spacing w:after="0" w:line="158" w:lineRule="exact"/>
        <w:rPr>
          <w:sz w:val="20"/>
          <w:szCs w:val="20"/>
          <w:color w:val="auto"/>
        </w:rPr>
      </w:pPr>
    </w:p>
    <w:p>
      <w:pPr>
        <w:ind w:right="2679" w:firstLine="858"/>
        <w:spacing w:after="0" w:line="355" w:lineRule="auto"/>
        <w:rPr>
          <w:sz w:val="20"/>
          <w:szCs w:val="20"/>
          <w:color w:val="auto"/>
        </w:rPr>
      </w:pPr>
      <w:r>
        <w:rPr>
          <w:rFonts w:ascii="Courier New" w:cs="Courier New" w:eastAsia="Courier New" w:hAnsi="Courier New"/>
          <w:sz w:val="16"/>
          <w:szCs w:val="16"/>
          <w:color w:val="auto"/>
        </w:rPr>
        <w:t>2.1 Conversion. (a) By virtue of the Merger, at the Effective Time the following will occur:</w:t>
      </w:r>
    </w:p>
    <w:p>
      <w:pPr>
        <w:spacing w:after="0" w:line="14" w:lineRule="exact"/>
        <w:rPr>
          <w:sz w:val="20"/>
          <w:szCs w:val="20"/>
          <w:color w:val="auto"/>
        </w:rPr>
      </w:pPr>
    </w:p>
    <w:p>
      <w:pPr>
        <w:ind w:left="2380" w:right="2599" w:hanging="475"/>
        <w:spacing w:after="0" w:line="304" w:lineRule="auto"/>
        <w:tabs>
          <w:tab w:leader="none" w:pos="238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Designs Delaware common stock, par value $0.01 per share, outstanding immediately prior to the Effective Time will be converted into one share of Designs Nevada common stock, par value $0.01 per share;</w:t>
      </w:r>
    </w:p>
    <w:p>
      <w:pPr>
        <w:spacing w:after="0" w:line="56" w:lineRule="exact"/>
        <w:rPr>
          <w:rFonts w:ascii="Courier New" w:cs="Courier New" w:eastAsia="Courier New" w:hAnsi="Courier New"/>
          <w:sz w:val="15"/>
          <w:szCs w:val="15"/>
          <w:color w:val="auto"/>
        </w:rPr>
      </w:pPr>
    </w:p>
    <w:p>
      <w:pPr>
        <w:ind w:left="2380" w:right="2599" w:hanging="475"/>
        <w:spacing w:after="0" w:line="271" w:lineRule="auto"/>
        <w:tabs>
          <w:tab w:leader="none" w:pos="23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Series A preferred stock, par value $0.01 per share, of Designs Delaware outstanding immediately prior to the Effective Time will be converted into one share of Series A preferred stock, par value $0.01 per share, of Designs Nevada; and</w:t>
      </w:r>
    </w:p>
    <w:p>
      <w:pPr>
        <w:spacing w:after="0" w:line="77" w:lineRule="exact"/>
        <w:rPr>
          <w:rFonts w:ascii="Courier New" w:cs="Courier New" w:eastAsia="Courier New" w:hAnsi="Courier New"/>
          <w:sz w:val="16"/>
          <w:szCs w:val="16"/>
          <w:color w:val="auto"/>
        </w:rPr>
      </w:pPr>
    </w:p>
    <w:p>
      <w:pPr>
        <w:ind w:left="2380" w:right="2599" w:hanging="475"/>
        <w:spacing w:after="0" w:line="261" w:lineRule="auto"/>
        <w:tabs>
          <w:tab w:leader="none" w:pos="23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outstanding option, warrant, or other security exercisable for or convertible into shares of Designs Delaware common stock will be assumed by Designs Nevada and will be converted into the right to acquire an equal number of shares of Designs Nevada common stock, under the same terms and conditions as the original options, warrants, and other securities.</w:t>
      </w:r>
    </w:p>
    <w:p>
      <w:pPr>
        <w:spacing w:after="0" w:line="87" w:lineRule="exact"/>
        <w:rPr>
          <w:rFonts w:ascii="Courier New" w:cs="Courier New" w:eastAsia="Courier New" w:hAnsi="Courier New"/>
          <w:sz w:val="16"/>
          <w:szCs w:val="16"/>
          <w:color w:val="auto"/>
        </w:rPr>
      </w:pPr>
    </w:p>
    <w:p>
      <w:pPr>
        <w:ind w:right="2679" w:firstLine="1428"/>
        <w:spacing w:after="0" w:line="293" w:lineRule="auto"/>
        <w:tabs>
          <w:tab w:leader="none" w:pos="181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Effective Time, outstanding stock certificates representing shares of Designs Nevada common stock and Series A preferred stock will represent the same number of shares of Designs Nevada common stock and Series A preferred stock, and the holder thereof will be entitled to precisely the same rights as a holder of certificates issued by Designs Nevada.</w:t>
      </w:r>
    </w:p>
    <w:p>
      <w:pPr>
        <w:spacing w:after="0" w:line="63" w:lineRule="exact"/>
        <w:rPr>
          <w:sz w:val="20"/>
          <w:szCs w:val="20"/>
          <w:color w:val="auto"/>
        </w:rPr>
      </w:pPr>
    </w:p>
    <w:p>
      <w:pPr>
        <w:ind w:right="2599" w:firstLine="858"/>
        <w:spacing w:after="0" w:line="280" w:lineRule="auto"/>
        <w:rPr>
          <w:sz w:val="20"/>
          <w:szCs w:val="20"/>
          <w:color w:val="auto"/>
        </w:rPr>
      </w:pPr>
      <w:r>
        <w:rPr>
          <w:rFonts w:ascii="Courier New" w:cs="Courier New" w:eastAsia="Courier New" w:hAnsi="Courier New"/>
          <w:sz w:val="16"/>
          <w:szCs w:val="16"/>
          <w:color w:val="auto"/>
        </w:rPr>
        <w:t>2.2 Cancellation. At the Effective Time, each share of Designs Nevada common stock issued and outstanding immediately prior to the Effective Time and held by Designs Delaware will be canceled without any consideration being issued or paid therefor.</w:t>
      </w:r>
    </w:p>
    <w:p>
      <w:pPr>
        <w:spacing w:after="0" w:line="7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3</w:t>
      </w:r>
    </w:p>
    <w:p>
      <w:pPr>
        <w:spacing w:after="0" w:line="3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CONDITIONS</w:t>
      </w:r>
    </w:p>
    <w:p>
      <w:pPr>
        <w:spacing w:after="0" w:line="158" w:lineRule="exact"/>
        <w:rPr>
          <w:sz w:val="20"/>
          <w:szCs w:val="20"/>
          <w:color w:val="auto"/>
        </w:rPr>
      </w:pPr>
    </w:p>
    <w:p>
      <w:pPr>
        <w:ind w:right="2779" w:firstLine="858"/>
        <w:spacing w:after="0" w:line="271" w:lineRule="auto"/>
        <w:rPr>
          <w:sz w:val="20"/>
          <w:szCs w:val="20"/>
          <w:color w:val="auto"/>
        </w:rPr>
      </w:pPr>
      <w:r>
        <w:rPr>
          <w:rFonts w:ascii="Courier New" w:cs="Courier New" w:eastAsia="Courier New" w:hAnsi="Courier New"/>
          <w:sz w:val="16"/>
          <w:szCs w:val="16"/>
          <w:color w:val="auto"/>
        </w:rPr>
        <w:t>3.1 Conditions. Consummation of the Merger is subject to the satisfaction at or prior to the Effective Time of the condition that this agreement and the Merger are adopted and approved by Designs Delaware in the manner provided in Section 253 of the DGCL and by Designs Nevada in the manner provided in Chapter 92A.120 of the NRS.</w:t>
      </w:r>
    </w:p>
    <w:p>
      <w:pPr>
        <w:spacing w:after="0" w:line="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4</w:t>
      </w:r>
    </w:p>
    <w:p>
      <w:pPr>
        <w:spacing w:after="0" w:line="30"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MISCELLANEOUS</w:t>
      </w:r>
    </w:p>
    <w:p>
      <w:pPr>
        <w:spacing w:after="0" w:line="158" w:lineRule="exact"/>
        <w:rPr>
          <w:sz w:val="20"/>
          <w:szCs w:val="20"/>
          <w:color w:val="auto"/>
        </w:rPr>
      </w:pPr>
    </w:p>
    <w:p>
      <w:pPr>
        <w:ind w:right="2599" w:firstLine="858"/>
        <w:spacing w:after="0" w:line="254" w:lineRule="auto"/>
        <w:rPr>
          <w:sz w:val="20"/>
          <w:szCs w:val="20"/>
          <w:color w:val="auto"/>
        </w:rPr>
      </w:pPr>
      <w:r>
        <w:rPr>
          <w:rFonts w:ascii="Courier New" w:cs="Courier New" w:eastAsia="Courier New" w:hAnsi="Courier New"/>
          <w:sz w:val="16"/>
          <w:szCs w:val="16"/>
          <w:color w:val="auto"/>
        </w:rPr>
        <w:t>4.1 Waiver and Amendment. Any provision of this agreement may be waived at any time by the party that is, or whose stockholders are, entitled to the benefits of that provision. This agreement may at any time prior to the Effective Time be amended by agreement of the boards of directors of the Designs Nevada and Designs Delaware. After approval of this agreement by the stockholders of Designs Delaware, this agreement may not without their further approval be amended in a way that alters (1) the amount or kind of shares of Designs Nevada to be received on conversion of shares of Designs Delaware, (2) any term of the articles of incorporation of the Surviving Corporation, or (3) any of the terms of this agreement in a way that adversely affects the rights of stockholders of Designs Delaware.</w:t>
      </w:r>
    </w:p>
    <w:p>
      <w:pPr>
        <w:spacing w:after="0" w:line="91" w:lineRule="exact"/>
        <w:rPr>
          <w:sz w:val="20"/>
          <w:szCs w:val="20"/>
          <w:color w:val="auto"/>
        </w:rPr>
      </w:pPr>
    </w:p>
    <w:p>
      <w:pPr>
        <w:ind w:right="2779" w:firstLine="858"/>
        <w:spacing w:after="0" w:line="265" w:lineRule="auto"/>
        <w:rPr>
          <w:sz w:val="20"/>
          <w:szCs w:val="20"/>
          <w:color w:val="auto"/>
        </w:rPr>
      </w:pPr>
      <w:r>
        <w:rPr>
          <w:rFonts w:ascii="Courier New" w:cs="Courier New" w:eastAsia="Courier New" w:hAnsi="Courier New"/>
          <w:sz w:val="16"/>
          <w:szCs w:val="16"/>
          <w:color w:val="auto"/>
        </w:rPr>
        <w:t>4.2 Termination. This agreement may be terminated or the consummation of the Merger may be deferred at any time prior to the Effective Time by the board of directors of Designs Delaware, without any action of the stockholders of Designs Delaware or Designs Nevada, notwithstanding the approval of this agreement by the stockholders or board of directors of either Designs Delaware or Designs Nevada.</w:t>
      </w:r>
    </w:p>
    <w:p>
      <w:pPr>
        <w:spacing w:after="0" w:line="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639" w:right="1440" w:bottom="1440" w:gutter="0" w:footer="0" w:header="0"/>
        </w:sectPr>
      </w:pPr>
    </w:p>
    <w:bookmarkStart w:id="41" w:name="page42"/>
    <w:bookmarkEnd w:id="41"/>
    <w:p>
      <w:pPr>
        <w:ind w:right="2679" w:firstLine="858"/>
        <w:spacing w:after="0" w:line="299" w:lineRule="auto"/>
        <w:rPr>
          <w:sz w:val="20"/>
          <w:szCs w:val="20"/>
          <w:color w:val="auto"/>
        </w:rPr>
      </w:pPr>
      <w:r>
        <w:rPr>
          <w:rFonts w:ascii="Courier New" w:cs="Courier New" w:eastAsia="Courier New" w:hAnsi="Courier New"/>
          <w:sz w:val="16"/>
          <w:szCs w:val="16"/>
          <w:color w:val="auto"/>
        </w:rPr>
        <w:t>4.3 Counterparts. This agreement may be executed in any number of counterparts, each of which is an original and all of which together constitute one and the same instrument.</w:t>
      </w:r>
    </w:p>
    <w:p>
      <w:pPr>
        <w:spacing w:after="0" w:line="56" w:lineRule="exact"/>
        <w:rPr>
          <w:sz w:val="20"/>
          <w:szCs w:val="20"/>
          <w:color w:val="auto"/>
        </w:rPr>
      </w:pPr>
    </w:p>
    <w:p>
      <w:pPr>
        <w:ind w:right="2679" w:firstLine="858"/>
        <w:spacing w:after="0" w:line="299" w:lineRule="auto"/>
        <w:rPr>
          <w:sz w:val="20"/>
          <w:szCs w:val="20"/>
          <w:color w:val="auto"/>
        </w:rPr>
      </w:pPr>
      <w:r>
        <w:rPr>
          <w:rFonts w:ascii="Courier New" w:cs="Courier New" w:eastAsia="Courier New" w:hAnsi="Courier New"/>
          <w:sz w:val="16"/>
          <w:szCs w:val="16"/>
          <w:color w:val="auto"/>
        </w:rPr>
        <w:t>4.4 Governing Law. This agreement is governed by the laws of the State of Nevada, except that consummation of the merger by Designs Delaware is governed by Delaware law.</w:t>
      </w:r>
    </w:p>
    <w:p>
      <w:pPr>
        <w:spacing w:after="0" w:line="56" w:lineRule="exact"/>
        <w:rPr>
          <w:sz w:val="20"/>
          <w:szCs w:val="20"/>
          <w:color w:val="auto"/>
        </w:rPr>
      </w:pPr>
    </w:p>
    <w:p>
      <w:pPr>
        <w:ind w:right="3059" w:firstLine="858"/>
        <w:spacing w:after="0" w:line="355" w:lineRule="auto"/>
        <w:rPr>
          <w:sz w:val="20"/>
          <w:szCs w:val="20"/>
          <w:color w:val="auto"/>
        </w:rPr>
      </w:pPr>
      <w:r>
        <w:rPr>
          <w:rFonts w:ascii="Courier New" w:cs="Courier New" w:eastAsia="Courier New" w:hAnsi="Courier New"/>
          <w:sz w:val="16"/>
          <w:szCs w:val="16"/>
          <w:color w:val="auto"/>
        </w:rPr>
        <w:t>The parties are executing this agreement on the date stated in the introductory clause.</w:t>
      </w:r>
    </w:p>
    <w:p>
      <w:pPr>
        <w:spacing w:after="0" w:line="1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DESIGNS, INC. [Nevada corporation]</w:t>
      </w:r>
    </w:p>
    <w:p>
      <w:pPr>
        <w:spacing w:after="0" w:line="200" w:lineRule="exact"/>
        <w:rPr>
          <w:sz w:val="20"/>
          <w:szCs w:val="20"/>
          <w:color w:val="auto"/>
        </w:rPr>
      </w:pPr>
    </w:p>
    <w:p>
      <w:pPr>
        <w:spacing w:after="0" w:line="35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By:</w:t>
      </w:r>
    </w:p>
    <w:p>
      <w:pPr>
        <w:spacing w:after="0" w:line="30"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Title:</w:t>
      </w:r>
    </w:p>
    <w:p>
      <w:pPr>
        <w:spacing w:after="0" w:line="34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DESIGNS, INC. [Delaware corporation]</w:t>
      </w:r>
    </w:p>
    <w:p>
      <w:pPr>
        <w:spacing w:after="0" w:line="200" w:lineRule="exact"/>
        <w:rPr>
          <w:sz w:val="20"/>
          <w:szCs w:val="20"/>
          <w:color w:val="auto"/>
        </w:rPr>
      </w:pPr>
    </w:p>
    <w:p>
      <w:pPr>
        <w:spacing w:after="0" w:line="35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By:</w:t>
      </w:r>
    </w:p>
    <w:p>
      <w:pPr>
        <w:spacing w:after="0" w:line="30"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639" w:right="1440" w:bottom="1440" w:gutter="0" w:footer="0" w:header="0"/>
        </w:sectPr>
      </w:pPr>
    </w:p>
    <w:bookmarkStart w:id="42" w:name="page43"/>
    <w:bookmarkEnd w:id="42"/>
    <w:p>
      <w:pPr>
        <w:jc w:val="right"/>
        <w:ind w:right="2599"/>
        <w:spacing w:after="0"/>
        <w:rPr>
          <w:sz w:val="20"/>
          <w:szCs w:val="20"/>
          <w:color w:val="auto"/>
        </w:rPr>
      </w:pPr>
      <w:r>
        <w:rPr>
          <w:rFonts w:ascii="Courier New" w:cs="Courier New" w:eastAsia="Courier New" w:hAnsi="Courier New"/>
          <w:sz w:val="16"/>
          <w:szCs w:val="16"/>
          <w:color w:val="auto"/>
        </w:rPr>
        <w:t>EXHIBIT B</w:t>
      </w:r>
    </w:p>
    <w:p>
      <w:pPr>
        <w:spacing w:after="0" w:line="3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FORM OF</w:t>
      </w:r>
    </w:p>
    <w:p>
      <w:pPr>
        <w:spacing w:after="0" w:line="15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ARTICLES OF INCORPORATION</w:t>
      </w:r>
    </w:p>
    <w:p>
      <w:pPr>
        <w:spacing w:after="0" w:line="3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DESIGNS, INC.</w:t>
      </w:r>
    </w:p>
    <w:p>
      <w:pPr>
        <w:spacing w:after="0" w:line="341" w:lineRule="exact"/>
        <w:rPr>
          <w:sz w:val="20"/>
          <w:szCs w:val="20"/>
          <w:color w:val="auto"/>
        </w:rPr>
      </w:pPr>
    </w:p>
    <w:p>
      <w:pPr>
        <w:ind w:right="2599" w:firstLine="858"/>
        <w:spacing w:after="0" w:line="280" w:lineRule="auto"/>
        <w:rPr>
          <w:sz w:val="20"/>
          <w:szCs w:val="20"/>
          <w:color w:val="auto"/>
        </w:rPr>
      </w:pPr>
      <w:r>
        <w:rPr>
          <w:rFonts w:ascii="Courier New" w:cs="Courier New" w:eastAsia="Courier New" w:hAnsi="Courier New"/>
          <w:sz w:val="16"/>
          <w:szCs w:val="16"/>
          <w:color w:val="auto"/>
        </w:rPr>
        <w:t>I, the undersigned, being the original incorporator herein named, for the purpose of forming a corporation under Title 7, Chapter 78 of the Nevada Revised Statutes (the "NRS"), do hereby adopt and make the following Articles of Incorporation.</w:t>
      </w:r>
    </w:p>
    <w:p>
      <w:pPr>
        <w:spacing w:after="0" w:line="25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FIRST: The name of the Corporation is Designs, Inc.</w:t>
      </w:r>
    </w:p>
    <w:p>
      <w:pPr>
        <w:spacing w:after="0" w:line="186" w:lineRule="exact"/>
        <w:rPr>
          <w:sz w:val="20"/>
          <w:szCs w:val="20"/>
          <w:color w:val="auto"/>
        </w:rPr>
      </w:pPr>
    </w:p>
    <w:p>
      <w:pPr>
        <w:ind w:right="2679" w:firstLine="858"/>
        <w:spacing w:after="0" w:line="280" w:lineRule="auto"/>
        <w:rPr>
          <w:sz w:val="20"/>
          <w:szCs w:val="20"/>
          <w:color w:val="auto"/>
        </w:rPr>
      </w:pPr>
      <w:r>
        <w:rPr>
          <w:rFonts w:ascii="Courier New" w:cs="Courier New" w:eastAsia="Courier New" w:hAnsi="Courier New"/>
          <w:sz w:val="16"/>
          <w:szCs w:val="16"/>
          <w:color w:val="auto"/>
        </w:rPr>
        <w:t>SECOND: The address of the registered office of the Corporation in the State of Nevada is 6100 Neil Road, Suite 500, Reno, Nevada 89511, and the name of its registered agent at such address is The Corporation Trust Company of Nevada.</w:t>
      </w:r>
    </w:p>
    <w:p>
      <w:pPr>
        <w:spacing w:after="0" w:line="71" w:lineRule="exact"/>
        <w:rPr>
          <w:sz w:val="20"/>
          <w:szCs w:val="20"/>
          <w:color w:val="auto"/>
        </w:rPr>
      </w:pPr>
    </w:p>
    <w:p>
      <w:pPr>
        <w:ind w:right="3259" w:firstLine="858"/>
        <w:spacing w:after="0" w:line="355" w:lineRule="auto"/>
        <w:rPr>
          <w:sz w:val="20"/>
          <w:szCs w:val="20"/>
          <w:color w:val="auto"/>
        </w:rPr>
      </w:pPr>
      <w:r>
        <w:rPr>
          <w:rFonts w:ascii="Courier New" w:cs="Courier New" w:eastAsia="Courier New" w:hAnsi="Courier New"/>
          <w:sz w:val="16"/>
          <w:szCs w:val="16"/>
          <w:color w:val="auto"/>
        </w:rPr>
        <w:t>THIRD: The nature of the business or purposes to be conducted or promoted is as follows:</w:t>
      </w:r>
    </w:p>
    <w:p>
      <w:pPr>
        <w:spacing w:after="0" w:line="14" w:lineRule="exact"/>
        <w:rPr>
          <w:sz w:val="20"/>
          <w:szCs w:val="20"/>
          <w:color w:val="auto"/>
        </w:rPr>
      </w:pPr>
    </w:p>
    <w:p>
      <w:pPr>
        <w:ind w:right="2879" w:firstLine="858"/>
        <w:spacing w:after="0" w:line="256" w:lineRule="auto"/>
        <w:rPr>
          <w:sz w:val="20"/>
          <w:szCs w:val="20"/>
          <w:color w:val="auto"/>
        </w:rPr>
      </w:pPr>
      <w:r>
        <w:rPr>
          <w:rFonts w:ascii="Courier New" w:cs="Courier New" w:eastAsia="Courier New" w:hAnsi="Courier New"/>
          <w:sz w:val="16"/>
          <w:szCs w:val="16"/>
          <w:color w:val="auto"/>
        </w:rPr>
        <w:t>To engage in retail or wholesale distribution, marketing and sale of clothing, apparel and related goods and products; to purchase or lease and maintain real property for the purpose of operating retail stores or outlets, warehouses, corporate headquarters or other related facilities; to develop, market and distribute financial, merchandising and data processing systems (including, without limitation, computer software programs) for inventory and cost control, sales reporting, financial accounting and other financial and managerial control purposes; and to engage in any businesses related to or arising from the foregoing.</w:t>
      </w:r>
    </w:p>
    <w:p>
      <w:pPr>
        <w:spacing w:after="0" w:line="94" w:lineRule="exact"/>
        <w:rPr>
          <w:sz w:val="20"/>
          <w:szCs w:val="20"/>
          <w:color w:val="auto"/>
        </w:rPr>
      </w:pPr>
    </w:p>
    <w:p>
      <w:pPr>
        <w:ind w:right="3639" w:firstLine="858"/>
        <w:spacing w:after="0" w:line="355" w:lineRule="auto"/>
        <w:rPr>
          <w:sz w:val="20"/>
          <w:szCs w:val="20"/>
          <w:color w:val="auto"/>
        </w:rPr>
      </w:pPr>
      <w:r>
        <w:rPr>
          <w:rFonts w:ascii="Courier New" w:cs="Courier New" w:eastAsia="Courier New" w:hAnsi="Courier New"/>
          <w:sz w:val="16"/>
          <w:szCs w:val="16"/>
          <w:color w:val="auto"/>
        </w:rPr>
        <w:t>To conduct or engage in any lawful act or activity for which corporations may be organized under the NRS.</w:t>
      </w:r>
    </w:p>
    <w:p>
      <w:pPr>
        <w:spacing w:after="0" w:line="14" w:lineRule="exact"/>
        <w:rPr>
          <w:sz w:val="20"/>
          <w:szCs w:val="20"/>
          <w:color w:val="auto"/>
        </w:rPr>
      </w:pPr>
    </w:p>
    <w:p>
      <w:pPr>
        <w:ind w:right="2599" w:firstLine="858"/>
        <w:spacing w:after="0" w:line="271" w:lineRule="auto"/>
        <w:rPr>
          <w:sz w:val="20"/>
          <w:szCs w:val="20"/>
          <w:color w:val="auto"/>
        </w:rPr>
      </w:pPr>
      <w:r>
        <w:rPr>
          <w:rFonts w:ascii="Courier New" w:cs="Courier New" w:eastAsia="Courier New" w:hAnsi="Courier New"/>
          <w:sz w:val="16"/>
          <w:szCs w:val="16"/>
          <w:color w:val="auto"/>
        </w:rPr>
        <w:t>FOURTH: The total number of shares of capital stock which the Corporation shall have the authority to issue shall be 50,000,000 shares of Common Stock having a par value of $.01 per share, amounting to an aggregate par value of $500,000, and 1,000,000 shares of Preferred Stock having a par value of $.01 per share, amounting to an aggregate par value of $10,000.</w:t>
      </w:r>
    </w:p>
    <w:p>
      <w:pPr>
        <w:spacing w:after="0" w:line="77" w:lineRule="exact"/>
        <w:rPr>
          <w:sz w:val="20"/>
          <w:szCs w:val="20"/>
          <w:color w:val="auto"/>
        </w:rPr>
      </w:pPr>
    </w:p>
    <w:p>
      <w:pPr>
        <w:ind w:right="2679" w:firstLine="858"/>
        <w:spacing w:after="0" w:line="299" w:lineRule="auto"/>
        <w:rPr>
          <w:sz w:val="20"/>
          <w:szCs w:val="20"/>
          <w:color w:val="auto"/>
        </w:rPr>
      </w:pPr>
      <w:r>
        <w:rPr>
          <w:rFonts w:ascii="Courier New" w:cs="Courier New" w:eastAsia="Courier New" w:hAnsi="Courier New"/>
          <w:sz w:val="16"/>
          <w:szCs w:val="16"/>
          <w:color w:val="auto"/>
        </w:rPr>
        <w:t>The voting power, preferences and relative participating, optional or other special rights and the qualifications, limitations or restrictions of the above classes of stock are as follows:</w:t>
      </w:r>
    </w:p>
    <w:p>
      <w:pPr>
        <w:spacing w:after="0" w:line="240"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PREFERRED STOCK</w:t>
      </w:r>
    </w:p>
    <w:p>
      <w:pPr>
        <w:spacing w:after="0" w:line="186" w:lineRule="exact"/>
        <w:rPr>
          <w:sz w:val="20"/>
          <w:szCs w:val="20"/>
          <w:color w:val="auto"/>
        </w:rPr>
      </w:pPr>
    </w:p>
    <w:p>
      <w:pPr>
        <w:ind w:right="2599" w:firstLine="858"/>
        <w:spacing w:after="0" w:line="261" w:lineRule="auto"/>
        <w:rPr>
          <w:sz w:val="20"/>
          <w:szCs w:val="20"/>
          <w:color w:val="auto"/>
        </w:rPr>
      </w:pPr>
      <w:r>
        <w:rPr>
          <w:rFonts w:ascii="Courier New" w:cs="Courier New" w:eastAsia="Courier New" w:hAnsi="Courier New"/>
          <w:sz w:val="16"/>
          <w:szCs w:val="16"/>
          <w:color w:val="auto"/>
        </w:rPr>
        <w:t>The Board of Directors is authorized, subject to limitations prescribed by law, to provide for the issuance of the shares of Preferred Stock in series, and by filing a certificate pursuant to the applicable law of the State of Nevada, to establish from time to time the number of shares to be included in each such series, and to fix the designation, powers, preferences and rights of the shares of each such series and the qualifications, limitations or restrictions thereof.</w:t>
      </w:r>
    </w:p>
    <w:p>
      <w:pPr>
        <w:spacing w:after="0" w:line="87" w:lineRule="exact"/>
        <w:rPr>
          <w:sz w:val="20"/>
          <w:szCs w:val="20"/>
          <w:color w:val="auto"/>
        </w:rPr>
      </w:pPr>
    </w:p>
    <w:p>
      <w:pPr>
        <w:ind w:right="2779" w:firstLine="858"/>
        <w:spacing w:after="0" w:line="355" w:lineRule="auto"/>
        <w:rPr>
          <w:sz w:val="20"/>
          <w:szCs w:val="20"/>
          <w:color w:val="auto"/>
        </w:rPr>
      </w:pPr>
      <w:r>
        <w:rPr>
          <w:rFonts w:ascii="Courier New" w:cs="Courier New" w:eastAsia="Courier New" w:hAnsi="Courier New"/>
          <w:sz w:val="16"/>
          <w:szCs w:val="16"/>
          <w:color w:val="auto"/>
        </w:rPr>
        <w:t>The authority of the Board with respect to each series shall include, but not be limited to, determination of the following:</w:t>
      </w:r>
    </w:p>
    <w:p>
      <w:pPr>
        <w:spacing w:after="0" w:line="14" w:lineRule="exact"/>
        <w:rPr>
          <w:sz w:val="20"/>
          <w:szCs w:val="20"/>
          <w:color w:val="auto"/>
        </w:rPr>
      </w:pPr>
    </w:p>
    <w:p>
      <w:pPr>
        <w:ind w:right="2779" w:firstLine="856"/>
        <w:spacing w:after="0" w:line="355" w:lineRule="auto"/>
        <w:tabs>
          <w:tab w:leader="none" w:pos="12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constituting that series and the distinctive designation of that series;</w:t>
      </w:r>
    </w:p>
    <w:p>
      <w:pPr>
        <w:spacing w:after="0" w:line="14" w:lineRule="exact"/>
        <w:rPr>
          <w:rFonts w:ascii="Courier New" w:cs="Courier New" w:eastAsia="Courier New" w:hAnsi="Courier New"/>
          <w:sz w:val="16"/>
          <w:szCs w:val="16"/>
          <w:color w:val="auto"/>
        </w:rPr>
      </w:pPr>
    </w:p>
    <w:p>
      <w:pPr>
        <w:ind w:right="2779" w:firstLine="856"/>
        <w:spacing w:after="0" w:line="327" w:lineRule="auto"/>
        <w:tabs>
          <w:tab w:leader="none" w:pos="12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 on the shares of that series, whether dividends shall be cumulative, and, if so, from which date or dates, and the relative rights of priority, if any, of payment of dividends on shares of that series;</w:t>
      </w:r>
    </w:p>
    <w:p>
      <w:pPr>
        <w:spacing w:after="0" w:line="39" w:lineRule="exact"/>
        <w:rPr>
          <w:rFonts w:ascii="Courier New" w:cs="Courier New" w:eastAsia="Courier New" w:hAnsi="Courier New"/>
          <w:sz w:val="15"/>
          <w:szCs w:val="15"/>
          <w:color w:val="auto"/>
        </w:rPr>
      </w:pPr>
    </w:p>
    <w:p>
      <w:pPr>
        <w:ind w:right="2879" w:firstLine="856"/>
        <w:spacing w:after="0" w:line="388" w:lineRule="auto"/>
        <w:tabs>
          <w:tab w:leader="none" w:pos="12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voting rights, in addition to the voting rights provided by law, and, if so, the terms of such voting rights;</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456" w:right="1440" w:bottom="1440" w:gutter="0" w:footer="0" w:header="0"/>
        </w:sectPr>
      </w:pPr>
    </w:p>
    <w:bookmarkStart w:id="43" w:name="page44"/>
    <w:bookmarkEnd w:id="43"/>
    <w:p>
      <w:pPr>
        <w:ind w:right="2599" w:firstLine="856"/>
        <w:spacing w:after="0" w:line="327" w:lineRule="auto"/>
        <w:tabs>
          <w:tab w:leader="none" w:pos="1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conversion privileges, and, if so, the terms and conditions of such conversion, including provision for adjustment of the conversion rate in such events as the Board of Directors shall determine;</w:t>
      </w:r>
    </w:p>
    <w:p>
      <w:pPr>
        <w:spacing w:after="0" w:line="39" w:lineRule="exact"/>
        <w:rPr>
          <w:rFonts w:ascii="Courier New" w:cs="Courier New" w:eastAsia="Courier New" w:hAnsi="Courier New"/>
          <w:sz w:val="15"/>
          <w:szCs w:val="15"/>
          <w:color w:val="auto"/>
        </w:rPr>
      </w:pPr>
    </w:p>
    <w:p>
      <w:pPr>
        <w:jc w:val="both"/>
        <w:ind w:right="2679" w:firstLine="856"/>
        <w:spacing w:after="0" w:line="271" w:lineRule="auto"/>
        <w:tabs>
          <w:tab w:leader="none" w:pos="12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 shares of that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77" w:lineRule="exact"/>
        <w:rPr>
          <w:rFonts w:ascii="Courier New" w:cs="Courier New" w:eastAsia="Courier New" w:hAnsi="Courier New"/>
          <w:sz w:val="16"/>
          <w:szCs w:val="16"/>
          <w:color w:val="auto"/>
        </w:rPr>
      </w:pPr>
    </w:p>
    <w:p>
      <w:pPr>
        <w:ind w:right="2599" w:firstLine="856"/>
        <w:spacing w:after="0" w:line="299" w:lineRule="auto"/>
        <w:tabs>
          <w:tab w:leader="none" w:pos="12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a sinking fund for the redemption or purchase of shares of that series, and, if so, the terms and amount of such sinking fund;</w:t>
      </w:r>
    </w:p>
    <w:p>
      <w:pPr>
        <w:spacing w:after="0" w:line="56" w:lineRule="exact"/>
        <w:rPr>
          <w:rFonts w:ascii="Courier New" w:cs="Courier New" w:eastAsia="Courier New" w:hAnsi="Courier New"/>
          <w:sz w:val="16"/>
          <w:szCs w:val="16"/>
          <w:color w:val="auto"/>
        </w:rPr>
      </w:pPr>
    </w:p>
    <w:p>
      <w:pPr>
        <w:ind w:right="2779" w:firstLine="856"/>
        <w:spacing w:after="0" w:line="327" w:lineRule="auto"/>
        <w:tabs>
          <w:tab w:leader="none" w:pos="1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shares of that series in the event of voluntary or involuntary liquidation, dissolution or winding up of the Corporation, and the relative rights of priority, if any, of payment of shares of that series;</w:t>
      </w:r>
    </w:p>
    <w:p>
      <w:pPr>
        <w:spacing w:after="0" w:line="39" w:lineRule="exact"/>
        <w:rPr>
          <w:rFonts w:ascii="Courier New" w:cs="Courier New" w:eastAsia="Courier New" w:hAnsi="Courier New"/>
          <w:sz w:val="15"/>
          <w:szCs w:val="15"/>
          <w:color w:val="auto"/>
        </w:rPr>
      </w:pPr>
    </w:p>
    <w:p>
      <w:pPr>
        <w:ind w:left="1240" w:hanging="384"/>
        <w:spacing w:after="0"/>
        <w:tabs>
          <w:tab w:leader="none" w:pos="12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relative powers, rights, preferences and limitations of</w:t>
      </w:r>
    </w:p>
    <w:p>
      <w:pPr>
        <w:spacing w:after="0" w:line="3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that series.</w:t>
      </w:r>
    </w:p>
    <w:p>
      <w:pPr>
        <w:spacing w:after="0" w:line="341"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right="2599" w:firstLine="858"/>
        <w:spacing w:after="0" w:line="265" w:lineRule="auto"/>
        <w:rPr>
          <w:sz w:val="20"/>
          <w:szCs w:val="20"/>
          <w:color w:val="auto"/>
        </w:rPr>
      </w:pPr>
      <w:r>
        <w:rPr>
          <w:rFonts w:ascii="Courier New" w:cs="Courier New" w:eastAsia="Courier New" w:hAnsi="Courier New"/>
          <w:sz w:val="15"/>
          <w:szCs w:val="15"/>
          <w:color w:val="auto"/>
        </w:rPr>
        <w:t>The holders of the Common Stock shall be entitled to one vote for each share of Common Stock registered in the name of such holder. The holders of the Common Stock shall be entitled to such dividends as may from time to time be declared by the Board of Directors, but only when and as declared by the Board of Directors, out of any funds legally available for declaration of dividends, and subject to any provisions of these Articles of Incorporation, as amended from time to time, or of resolutions of the Board of Directors adopted pursuant to authority herein contained, requiring that dividends be declared, paid or set aside upon the outstanding shares of Preferred Stock of any series or upon the outstanding shares of any other class of capital stock ranking senior to the Common Stock as to dividends or that the Corporation fulfill any obligations it may have with respect to the redemption of any outstanding Preferred Stock as a condition to the declaration and/or payment of any dividend on the Common Stock; but no such provisions shall restrict the declaration or payment of any dividend or distribution on the Common Stock payable solely in shares of Common Stock. In the event of the liquidation, dissolution or winding up of the affairs of the Corporation, the holders of the Common Stock shall be entitled to share pro rata in the net assets available for distribution to holders of Common Stock after satisfaction of the prior claims of the holders of shares of Preferred Stock of any series and shares of any other class of capital stock ranking senior to the Common Stock as to assets, in accordance with the provisions of these Articles of Incorporation, as amended from time to time, or of resolutions of the Board of Directors adopted pursuant to authority herein contained.</w:t>
      </w:r>
    </w:p>
    <w:p>
      <w:pPr>
        <w:spacing w:after="0" w:line="87" w:lineRule="exact"/>
        <w:rPr>
          <w:sz w:val="20"/>
          <w:szCs w:val="20"/>
          <w:color w:val="auto"/>
        </w:rPr>
      </w:pPr>
    </w:p>
    <w:p>
      <w:pPr>
        <w:ind w:right="2779" w:firstLine="858"/>
        <w:spacing w:after="0" w:line="355" w:lineRule="auto"/>
        <w:rPr>
          <w:sz w:val="20"/>
          <w:szCs w:val="20"/>
          <w:color w:val="auto"/>
        </w:rPr>
      </w:pPr>
      <w:r>
        <w:rPr>
          <w:rFonts w:ascii="Courier New" w:cs="Courier New" w:eastAsia="Courier New" w:hAnsi="Courier New"/>
          <w:sz w:val="16"/>
          <w:szCs w:val="16"/>
          <w:color w:val="auto"/>
        </w:rPr>
        <w:t>FIFTH: In furtherance of and not in limitation of powers conferred by statute, it is further provided that:</w:t>
      </w:r>
    </w:p>
    <w:p>
      <w:pPr>
        <w:spacing w:after="0" w:line="14" w:lineRule="exact"/>
        <w:rPr>
          <w:sz w:val="20"/>
          <w:szCs w:val="20"/>
          <w:color w:val="auto"/>
        </w:rPr>
      </w:pPr>
    </w:p>
    <w:p>
      <w:pPr>
        <w:ind w:right="2599" w:firstLine="856"/>
        <w:spacing w:after="0" w:line="299" w:lineRule="auto"/>
        <w:tabs>
          <w:tab w:leader="none" w:pos="12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limitations and exceptions, if any, contained in the by-laws of the Corporation, the by-laws may be adopted, amended or repealed by the Board of Directors of the Corporation.</w:t>
      </w:r>
    </w:p>
    <w:p>
      <w:pPr>
        <w:spacing w:after="0" w:line="56" w:lineRule="exact"/>
        <w:rPr>
          <w:rFonts w:ascii="Courier New" w:cs="Courier New" w:eastAsia="Courier New" w:hAnsi="Courier New"/>
          <w:sz w:val="16"/>
          <w:szCs w:val="16"/>
          <w:color w:val="auto"/>
        </w:rPr>
      </w:pPr>
    </w:p>
    <w:p>
      <w:pPr>
        <w:ind w:left="1240" w:hanging="384"/>
        <w:spacing w:after="0"/>
        <w:tabs>
          <w:tab w:leader="none" w:pos="12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Elections of directors need not be by written ballot.</w:t>
      </w:r>
    </w:p>
    <w:p>
      <w:pPr>
        <w:spacing w:after="0" w:line="185" w:lineRule="exact"/>
        <w:rPr>
          <w:rFonts w:ascii="Courier New" w:cs="Courier New" w:eastAsia="Courier New" w:hAnsi="Courier New"/>
          <w:sz w:val="16"/>
          <w:szCs w:val="16"/>
          <w:color w:val="auto"/>
        </w:rPr>
      </w:pPr>
    </w:p>
    <w:p>
      <w:pPr>
        <w:ind w:right="2779" w:firstLine="856"/>
        <w:spacing w:after="0" w:line="299" w:lineRule="auto"/>
        <w:tabs>
          <w:tab w:leader="none" w:pos="12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any applicable requirements of law, the books of the Corporation may be kept outside the State of Nevada at such location as may be designated by the Board of Directors or in the by-laws of the Corporation.</w:t>
      </w:r>
    </w:p>
    <w:p>
      <w:pPr>
        <w:spacing w:after="0" w:line="5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SIXTH: The Corporation is to have perpetual existence.</w:t>
      </w:r>
    </w:p>
    <w:p>
      <w:pPr>
        <w:spacing w:after="0" w:line="186" w:lineRule="exact"/>
        <w:rPr>
          <w:sz w:val="20"/>
          <w:szCs w:val="20"/>
          <w:color w:val="auto"/>
        </w:rPr>
      </w:pPr>
    </w:p>
    <w:p>
      <w:pPr>
        <w:ind w:right="2679" w:firstLine="858"/>
        <w:spacing w:after="0" w:line="254" w:lineRule="auto"/>
        <w:rPr>
          <w:sz w:val="20"/>
          <w:szCs w:val="20"/>
          <w:color w:val="auto"/>
        </w:rPr>
      </w:pPr>
      <w:r>
        <w:rPr>
          <w:rFonts w:ascii="Courier New" w:cs="Courier New" w:eastAsia="Courier New" w:hAnsi="Courier New"/>
          <w:sz w:val="16"/>
          <w:szCs w:val="16"/>
          <w:color w:val="auto"/>
        </w:rPr>
        <w:t>SEVENTH: The Corporation shall indemnify each person who at any time is, or shall have been, a director or officer of the Corporation, and is threatened to be or is made a party to any threatened, pending or completed action, suit or proceeding, whether civil, criminal, administrative or investigative, by reason of the fact that he is, or was, a director or officer of the Corporation, or served at the request of the Corporation as a director, officer, employee, trustee, or agent of another corporation, partnership, joint venture, trust or other enterprise, against expenses (including attorneys' fees), judgments, fines and amounts paid in settlement incurred in connection with any such action, suit or proceeding to the maximum extent permitted by the NRS as the same exists of hereafter</w:t>
      </w:r>
    </w:p>
    <w:p>
      <w:pPr>
        <w:spacing w:after="0" w:line="9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639" w:right="1440" w:bottom="1440" w:gutter="0" w:footer="0" w:header="0"/>
        </w:sectPr>
      </w:pPr>
    </w:p>
    <w:bookmarkStart w:id="44" w:name="page45"/>
    <w:bookmarkEnd w:id="44"/>
    <w:p>
      <w:pPr>
        <w:ind w:right="2779"/>
        <w:spacing w:after="0" w:line="280" w:lineRule="auto"/>
        <w:rPr>
          <w:sz w:val="20"/>
          <w:szCs w:val="20"/>
          <w:color w:val="auto"/>
        </w:rPr>
      </w:pPr>
      <w:r>
        <w:rPr>
          <w:rFonts w:ascii="Courier New" w:cs="Courier New" w:eastAsia="Courier New" w:hAnsi="Courier New"/>
          <w:sz w:val="16"/>
          <w:szCs w:val="16"/>
          <w:color w:val="auto"/>
        </w:rPr>
        <w:t>may be amended. The foregoing right of indemnification shall in no way be exclusive of any other rights of indemnification to which any such director or officer may be entitled, under any by-law, agreement, vote of directors or stockholders or otherwise.</w:t>
      </w:r>
    </w:p>
    <w:p>
      <w:pPr>
        <w:spacing w:after="0" w:line="71"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6"/>
          <w:szCs w:val="16"/>
          <w:color w:val="auto"/>
        </w:rPr>
        <w:t>EIGHTH: The personal liability of the directors of the Corporation is hereby eliminated to the fullest extent permitted or required under the NRS, as amended or supplemented. No amendment or repeal of this Article EIGHTH shall deprive a director of the benefits hereof with respect to any act or omission occurring prior to such amendment or repeal.</w:t>
      </w:r>
    </w:p>
    <w:p>
      <w:pPr>
        <w:spacing w:after="0" w:line="77" w:lineRule="exact"/>
        <w:rPr>
          <w:sz w:val="20"/>
          <w:szCs w:val="20"/>
          <w:color w:val="auto"/>
        </w:rPr>
      </w:pPr>
    </w:p>
    <w:p>
      <w:pPr>
        <w:ind w:right="2599" w:firstLine="858"/>
        <w:spacing w:after="0" w:line="271" w:lineRule="auto"/>
        <w:rPr>
          <w:sz w:val="20"/>
          <w:szCs w:val="20"/>
          <w:color w:val="auto"/>
        </w:rPr>
      </w:pPr>
      <w:r>
        <w:rPr>
          <w:rFonts w:ascii="Courier New" w:cs="Courier New" w:eastAsia="Courier New" w:hAnsi="Courier New"/>
          <w:sz w:val="16"/>
          <w:szCs w:val="16"/>
          <w:color w:val="auto"/>
        </w:rPr>
        <w:t>NINTH: The Corporation reserves the right to amend, alter, change or repeal any provision contained in these Articles of Incorporation, in the manner now or hereafter prescribed by statute, and this Certificate of incorporation and all rights conferred upon stockholders herein are granted subject to this reservation.</w:t>
      </w:r>
    </w:p>
    <w:p>
      <w:pPr>
        <w:spacing w:after="0" w:line="77" w:lineRule="exact"/>
        <w:rPr>
          <w:sz w:val="20"/>
          <w:szCs w:val="20"/>
          <w:color w:val="auto"/>
        </w:rPr>
      </w:pPr>
    </w:p>
    <w:p>
      <w:pPr>
        <w:ind w:right="2599" w:firstLine="858"/>
        <w:spacing w:after="0" w:line="261" w:lineRule="auto"/>
        <w:rPr>
          <w:sz w:val="20"/>
          <w:szCs w:val="20"/>
          <w:color w:val="auto"/>
        </w:rPr>
      </w:pPr>
      <w:r>
        <w:rPr>
          <w:rFonts w:ascii="Courier New" w:cs="Courier New" w:eastAsia="Courier New" w:hAnsi="Courier New"/>
          <w:sz w:val="16"/>
          <w:szCs w:val="16"/>
          <w:color w:val="auto"/>
        </w:rPr>
        <w:t>TENTH: The business and affairs of the Corporation shall be managed by or under the direction of a Board of Directors, which initially shall consist of two (2) directors. The number of directors of the Corporation may be increased or decreased in the manner provided in the by-laws of the Corporation, except that at no time shall there be less than one director. The name and the post office box or street address, either residence or business, of each of the initial members of the Board of Directors are follows:</w:t>
      </w:r>
    </w:p>
    <w:p>
      <w:pPr>
        <w:spacing w:after="0" w:line="87" w:lineRule="exact"/>
        <w:rPr>
          <w:sz w:val="20"/>
          <w:szCs w:val="20"/>
          <w:color w:val="auto"/>
        </w:rPr>
      </w:pPr>
    </w:p>
    <w:p>
      <w:pPr>
        <w:ind w:left="860"/>
        <w:spacing w:after="0"/>
        <w:tabs>
          <w:tab w:leader="none" w:pos="59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259" w:firstLine="858"/>
        <w:spacing w:after="0" w:line="299" w:lineRule="auto"/>
        <w:rPr>
          <w:sz w:val="20"/>
          <w:szCs w:val="20"/>
          <w:color w:val="auto"/>
        </w:rPr>
      </w:pPr>
      <w:r>
        <w:rPr>
          <w:rFonts w:ascii="Courier New" w:cs="Courier New" w:eastAsia="Courier New" w:hAnsi="Courier New"/>
          <w:sz w:val="16"/>
          <w:szCs w:val="16"/>
          <w:color w:val="auto"/>
        </w:rPr>
        <w:t>ELEVENTH: The name and post office box or street address, either residence or business, of the incorporator signing these Articles of Incorporation are as follows:</w:t>
      </w:r>
    </w:p>
    <w:p>
      <w:pPr>
        <w:spacing w:after="0" w:line="56" w:lineRule="exact"/>
        <w:rPr>
          <w:sz w:val="20"/>
          <w:szCs w:val="20"/>
          <w:color w:val="auto"/>
        </w:rPr>
      </w:pPr>
    </w:p>
    <w:p>
      <w:pPr>
        <w:ind w:left="860"/>
        <w:spacing w:after="0"/>
        <w:tabs>
          <w:tab w:leader="none" w:pos="59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 WITNESS WHEREOF, I have hereunto set my hand this ____ day of</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 2002, declaring and certifying that the facts stated hereinabove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true.</w:t>
      </w:r>
    </w:p>
    <w:p>
      <w:pPr>
        <w:spacing w:after="0" w:line="341"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w:t>
      </w:r>
    </w:p>
    <w:p>
      <w:pPr>
        <w:spacing w:after="0" w:line="4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[Name], Incorporator</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_________________ )</w:t>
      </w:r>
    </w:p>
    <w:p>
      <w:pPr>
        <w:spacing w:after="0" w:line="30" w:lineRule="exact"/>
        <w:rPr>
          <w:sz w:val="20"/>
          <w:szCs w:val="20"/>
          <w:color w:val="auto"/>
        </w:rPr>
      </w:pPr>
    </w:p>
    <w:p>
      <w:pPr>
        <w:ind w:left="2860" w:hanging="287"/>
        <w:spacing w:after="0"/>
        <w:tabs>
          <w:tab w:leader="none" w:pos="28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COUNTY OF _______________  )</w:t>
      </w:r>
    </w:p>
    <w:p>
      <w:pPr>
        <w:spacing w:after="0" w:line="341"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This instrument was acknowledged before me on _______________, 2002, by</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as Incorporator of Designs, Inc., a Nevada corporation.</w:t>
      </w:r>
    </w:p>
    <w:p>
      <w:pPr>
        <w:spacing w:after="0" w:line="341"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w:t>
      </w:r>
    </w:p>
    <w:p>
      <w:pPr>
        <w:spacing w:after="0" w:line="41"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Notary Public</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10219"/>
          </w:cols>
          <w:pgMar w:left="240" w:top="639" w:right="1440" w:bottom="1440" w:gutter="0" w:footer="0" w:header="0"/>
        </w:sectPr>
      </w:pPr>
    </w:p>
    <w:bookmarkStart w:id="45" w:name="page46"/>
    <w:bookmarkEnd w:id="45"/>
    <w:p>
      <w:pPr>
        <w:jc w:val="right"/>
        <w:ind w:right="2599"/>
        <w:spacing w:after="0"/>
        <w:rPr>
          <w:sz w:val="20"/>
          <w:szCs w:val="20"/>
          <w:color w:val="auto"/>
        </w:rPr>
      </w:pPr>
      <w:r>
        <w:rPr>
          <w:rFonts w:ascii="Courier New" w:cs="Courier New" w:eastAsia="Courier New" w:hAnsi="Courier New"/>
          <w:sz w:val="16"/>
          <w:szCs w:val="16"/>
          <w:color w:val="auto"/>
        </w:rPr>
        <w:t>EXHIBIT C</w:t>
      </w:r>
    </w:p>
    <w:p>
      <w:pPr>
        <w:spacing w:after="0" w:line="3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FORM OF</w:t>
      </w:r>
    </w:p>
    <w:p>
      <w:pPr>
        <w:spacing w:after="0" w:line="15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BY-LAWS</w:t>
      </w:r>
    </w:p>
    <w:p>
      <w:pPr>
        <w:spacing w:after="0" w:line="3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DESIGNS, INC.</w:t>
      </w:r>
    </w:p>
    <w:p>
      <w:pPr>
        <w:spacing w:after="0" w:line="15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(A Nevada Corporation)</w:t>
      </w:r>
    </w:p>
    <w:p>
      <w:pPr>
        <w:spacing w:after="0" w:line="369"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5"/>
          <w:szCs w:val="15"/>
          <w:color w:val="auto"/>
        </w:rPr>
        <w:t>ARTICLES OF INCORPORATION AND BY-LAWS</w:t>
      </w:r>
    </w:p>
    <w:p>
      <w:pPr>
        <w:spacing w:after="0" w:line="186" w:lineRule="exact"/>
        <w:rPr>
          <w:sz w:val="20"/>
          <w:szCs w:val="20"/>
          <w:color w:val="auto"/>
        </w:rPr>
      </w:pPr>
    </w:p>
    <w:p>
      <w:pPr>
        <w:ind w:right="2679" w:firstLine="858"/>
        <w:spacing w:after="0" w:line="280" w:lineRule="auto"/>
        <w:rPr>
          <w:sz w:val="20"/>
          <w:szCs w:val="20"/>
          <w:color w:val="auto"/>
        </w:rPr>
      </w:pPr>
      <w:r>
        <w:rPr>
          <w:rFonts w:ascii="Courier New" w:cs="Courier New" w:eastAsia="Courier New" w:hAnsi="Courier New"/>
          <w:sz w:val="16"/>
          <w:szCs w:val="16"/>
          <w:color w:val="auto"/>
        </w:rPr>
        <w:t>1.1 These By-Laws are subject to the Articles of Incorporation of the Corporation. In these By-Laws, references to the Articles of Incorporation and By-Laws mean the provisions of the Articles of Incorporation and the By-Laws as are from time to time in effect.</w:t>
      </w:r>
    </w:p>
    <w:p>
      <w:pPr>
        <w:spacing w:after="0" w:line="71"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5"/>
          <w:szCs w:val="15"/>
          <w:color w:val="auto"/>
        </w:rPr>
        <w:t>OFFICES</w:t>
      </w:r>
    </w:p>
    <w:p>
      <w:pPr>
        <w:spacing w:after="0" w:line="186" w:lineRule="exact"/>
        <w:rPr>
          <w:sz w:val="20"/>
          <w:szCs w:val="20"/>
          <w:color w:val="auto"/>
        </w:rPr>
      </w:pPr>
    </w:p>
    <w:p>
      <w:pPr>
        <w:ind w:right="2879" w:firstLine="858"/>
        <w:spacing w:after="0" w:line="355" w:lineRule="auto"/>
        <w:rPr>
          <w:sz w:val="20"/>
          <w:szCs w:val="20"/>
          <w:color w:val="auto"/>
        </w:rPr>
      </w:pPr>
      <w:r>
        <w:rPr>
          <w:rFonts w:ascii="Courier New" w:cs="Courier New" w:eastAsia="Courier New" w:hAnsi="Courier New"/>
          <w:sz w:val="16"/>
          <w:szCs w:val="16"/>
          <w:color w:val="auto"/>
        </w:rPr>
        <w:t>2.1 REGISTERED OFFICE. The registered office shall be in the City of Reno, County of Washoe, State of Nevada.</w:t>
      </w:r>
    </w:p>
    <w:p>
      <w:pPr>
        <w:spacing w:after="0" w:line="14" w:lineRule="exact"/>
        <w:rPr>
          <w:sz w:val="20"/>
          <w:szCs w:val="20"/>
          <w:color w:val="auto"/>
        </w:rPr>
      </w:pPr>
    </w:p>
    <w:p>
      <w:pPr>
        <w:ind w:right="2599" w:firstLine="858"/>
        <w:spacing w:after="0" w:line="299" w:lineRule="auto"/>
        <w:rPr>
          <w:sz w:val="20"/>
          <w:szCs w:val="20"/>
          <w:color w:val="auto"/>
        </w:rPr>
      </w:pPr>
      <w:r>
        <w:rPr>
          <w:rFonts w:ascii="Courier New" w:cs="Courier New" w:eastAsia="Courier New" w:hAnsi="Courier New"/>
          <w:sz w:val="16"/>
          <w:szCs w:val="16"/>
          <w:color w:val="auto"/>
        </w:rPr>
        <w:t>2.2 OTHER OFFICES. The Corporation may also have offices at such other places both within and without the State of Nevada as the Board of Directors may from time to time determine or the business of the Corporation may require.</w:t>
      </w:r>
    </w:p>
    <w:p>
      <w:pPr>
        <w:spacing w:after="0" w:line="5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5"/>
          <w:szCs w:val="15"/>
          <w:color w:val="auto"/>
        </w:rPr>
        <w:t>STOCKHOLDERS</w:t>
      </w:r>
    </w:p>
    <w:p>
      <w:pPr>
        <w:spacing w:after="0" w:line="186" w:lineRule="exact"/>
        <w:rPr>
          <w:sz w:val="20"/>
          <w:szCs w:val="20"/>
          <w:color w:val="auto"/>
        </w:rPr>
      </w:pPr>
    </w:p>
    <w:p>
      <w:pPr>
        <w:ind w:right="2599" w:firstLine="858"/>
        <w:spacing w:after="0" w:line="304" w:lineRule="auto"/>
        <w:rPr>
          <w:sz w:val="20"/>
          <w:szCs w:val="20"/>
          <w:color w:val="auto"/>
        </w:rPr>
      </w:pPr>
      <w:r>
        <w:rPr>
          <w:rFonts w:ascii="Courier New" w:cs="Courier New" w:eastAsia="Courier New" w:hAnsi="Courier New"/>
          <w:sz w:val="15"/>
          <w:szCs w:val="15"/>
          <w:color w:val="auto"/>
        </w:rPr>
        <w:t>3.1 LOCATION OF MEETINGS. All meetings of the stockholders shall be held at such place either within or without the State of Nevada as shall be designated from time to time by the Board of Directors. Any adjourned session of any meeting shall be held at the place designated in the vote of adjournment.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80" w:type="dxa"/>
            <w:vAlign w:val="bottom"/>
          </w:tcPr>
          <w:p>
            <w:pPr>
              <w:ind w:left="860"/>
              <w:spacing w:after="0"/>
              <w:rPr>
                <w:sz w:val="20"/>
                <w:szCs w:val="20"/>
                <w:color w:val="auto"/>
              </w:rPr>
            </w:pPr>
            <w:r>
              <w:rPr>
                <w:rFonts w:ascii="Courier New" w:cs="Courier New" w:eastAsia="Courier New" w:hAnsi="Courier New"/>
                <w:sz w:val="16"/>
                <w:szCs w:val="16"/>
                <w:color w:val="auto"/>
              </w:rPr>
              <w:t>3.2</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ANNUAL</w:t>
            </w:r>
          </w:p>
        </w:tc>
        <w:tc>
          <w:tcPr>
            <w:tcW w:w="57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MEETING. The annual meeting of stockholders shall be held</w:t>
            </w:r>
          </w:p>
        </w:tc>
      </w:tr>
      <w:tr>
        <w:trPr>
          <w:trHeight w:val="183"/>
        </w:trPr>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for the election of</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directors on the second</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Tuesday</w:t>
            </w:r>
          </w:p>
        </w:tc>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June in each year, unless</w:t>
            </w:r>
          </w:p>
        </w:tc>
      </w:tr>
      <w:tr>
        <w:trPr>
          <w:trHeight w:val="183"/>
        </w:trPr>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that day be a legal</w:t>
            </w:r>
          </w:p>
        </w:tc>
        <w:tc>
          <w:tcPr>
            <w:tcW w:w="37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holiday at the place where the meeting</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is to be held, in</w:t>
            </w:r>
          </w:p>
        </w:tc>
      </w:tr>
      <w:tr>
        <w:trPr>
          <w:trHeight w:val="183"/>
        </w:trPr>
        <w:tc>
          <w:tcPr>
            <w:tcW w:w="4140" w:type="dxa"/>
            <w:vAlign w:val="bottom"/>
            <w:gridSpan w:val="3"/>
          </w:tcPr>
          <w:p>
            <w:pPr>
              <w:spacing w:after="0"/>
              <w:rPr>
                <w:sz w:val="20"/>
                <w:szCs w:val="20"/>
                <w:color w:val="auto"/>
              </w:rPr>
            </w:pPr>
            <w:r>
              <w:rPr>
                <w:rFonts w:ascii="Courier New" w:cs="Courier New" w:eastAsia="Courier New" w:hAnsi="Courier New"/>
                <w:sz w:val="16"/>
                <w:szCs w:val="16"/>
                <w:color w:val="auto"/>
                <w:w w:val="99"/>
              </w:rPr>
              <w:t>which case the meeting shall be held at the</w:t>
            </w:r>
          </w:p>
        </w:tc>
        <w:tc>
          <w:tcPr>
            <w:tcW w:w="3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same hour on the next succeeding day</w:t>
            </w:r>
          </w:p>
        </w:tc>
      </w:tr>
      <w:tr>
        <w:trPr>
          <w:trHeight w:val="183"/>
        </w:trPr>
        <w:tc>
          <w:tcPr>
            <w:tcW w:w="4900" w:type="dxa"/>
            <w:vAlign w:val="bottom"/>
            <w:gridSpan w:val="4"/>
          </w:tcPr>
          <w:p>
            <w:pPr>
              <w:spacing w:after="0"/>
              <w:rPr>
                <w:sz w:val="20"/>
                <w:szCs w:val="20"/>
                <w:color w:val="auto"/>
              </w:rPr>
            </w:pPr>
            <w:r>
              <w:rPr>
                <w:rFonts w:ascii="Courier New" w:cs="Courier New" w:eastAsia="Courier New" w:hAnsi="Courier New"/>
                <w:sz w:val="16"/>
                <w:szCs w:val="16"/>
                <w:color w:val="auto"/>
                <w:w w:val="99"/>
              </w:rPr>
              <w:t>not a legal holiday, or at such other date and time</w:t>
            </w:r>
          </w:p>
        </w:tc>
        <w:tc>
          <w:tcPr>
            <w:tcW w:w="27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as shall be designated from</w:t>
            </w:r>
          </w:p>
        </w:tc>
      </w:tr>
      <w:tr>
        <w:trPr>
          <w:trHeight w:val="183"/>
        </w:trPr>
        <w:tc>
          <w:tcPr>
            <w:tcW w:w="1180" w:type="dxa"/>
            <w:vAlign w:val="bottom"/>
          </w:tcPr>
          <w:p>
            <w:pPr>
              <w:spacing w:after="0"/>
              <w:rPr>
                <w:sz w:val="20"/>
                <w:szCs w:val="20"/>
                <w:color w:val="auto"/>
              </w:rPr>
            </w:pPr>
            <w:r>
              <w:rPr>
                <w:rFonts w:ascii="Courier New" w:cs="Courier New" w:eastAsia="Courier New" w:hAnsi="Courier New"/>
                <w:sz w:val="16"/>
                <w:szCs w:val="16"/>
                <w:color w:val="auto"/>
              </w:rPr>
              <w:t>time to time</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by the</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Board of Directors. Any</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business</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as may be required or</w:t>
            </w:r>
          </w:p>
        </w:tc>
      </w:tr>
      <w:tr>
        <w:trPr>
          <w:trHeight w:val="266"/>
        </w:trPr>
        <w:tc>
          <w:tcPr>
            <w:tcW w:w="1180" w:type="dxa"/>
            <w:vAlign w:val="bottom"/>
          </w:tcPr>
          <w:p>
            <w:pPr>
              <w:spacing w:after="0"/>
              <w:rPr>
                <w:sz w:val="20"/>
                <w:szCs w:val="20"/>
                <w:color w:val="auto"/>
              </w:rPr>
            </w:pPr>
            <w:r>
              <w:rPr>
                <w:rFonts w:ascii="Courier New" w:cs="Courier New" w:eastAsia="Courier New" w:hAnsi="Courier New"/>
                <w:sz w:val="16"/>
                <w:szCs w:val="16"/>
                <w:color w:val="auto"/>
              </w:rPr>
              <w:t>permitted by</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law or</w:t>
            </w:r>
          </w:p>
        </w:tc>
        <w:tc>
          <w:tcPr>
            <w:tcW w:w="30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these By-Laws may properly come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before</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the annual meeting.</w:t>
            </w:r>
          </w:p>
        </w:tc>
      </w:tr>
    </w:tbl>
    <w:p>
      <w:pPr>
        <w:spacing w:after="0" w:line="100" w:lineRule="exact"/>
        <w:rPr>
          <w:sz w:val="20"/>
          <w:szCs w:val="20"/>
          <w:color w:val="auto"/>
        </w:rPr>
      </w:pPr>
    </w:p>
    <w:p>
      <w:pPr>
        <w:ind w:right="2599" w:firstLine="858"/>
        <w:spacing w:after="0" w:line="271" w:lineRule="auto"/>
        <w:rPr>
          <w:sz w:val="20"/>
          <w:szCs w:val="20"/>
          <w:color w:val="auto"/>
        </w:rPr>
      </w:pPr>
      <w:r>
        <w:rPr>
          <w:rFonts w:ascii="Courier New" w:cs="Courier New" w:eastAsia="Courier New" w:hAnsi="Courier New"/>
          <w:sz w:val="15"/>
          <w:szCs w:val="15"/>
          <w:color w:val="auto"/>
        </w:rPr>
        <w:t>3.3 SPECIAL MEETING IN PLACE OF ANNUAL MEETING. If the election for directors shall not be held on the day designated by these By-Laws, the directors shall cause the election to be held as soon thereafter as convenient, and to that end, if the annual meeting is omitted on the day herein provided therefor or if the election of directors shall not be held thereat, a special meeting of the stockholders may be held in place of such omitted meeting or election, and any business transacted or election held at such special meeting shall have the same effect as if transacted or held at the annual meeting, and in such case all references in these By-Laws to the annual meeting of the stockholders, or to the annual election of directors, shall be deemed to refer to or include such special meeting. Any such special meeting shall be called and the purposes thereof shall be specified in the call, as provided in Section 3.4.</w:t>
      </w:r>
    </w:p>
    <w:p>
      <w:pPr>
        <w:spacing w:after="0" w:line="82" w:lineRule="exact"/>
        <w:rPr>
          <w:sz w:val="20"/>
          <w:szCs w:val="20"/>
          <w:color w:val="auto"/>
        </w:rPr>
      </w:pPr>
    </w:p>
    <w:p>
      <w:pPr>
        <w:ind w:right="2599" w:firstLine="858"/>
        <w:spacing w:after="0" w:line="252" w:lineRule="auto"/>
        <w:rPr>
          <w:sz w:val="20"/>
          <w:szCs w:val="20"/>
          <w:color w:val="auto"/>
        </w:rPr>
      </w:pPr>
      <w:r>
        <w:rPr>
          <w:rFonts w:ascii="Courier New" w:cs="Courier New" w:eastAsia="Courier New" w:hAnsi="Courier New"/>
          <w:sz w:val="16"/>
          <w:szCs w:val="16"/>
          <w:color w:val="auto"/>
        </w:rPr>
        <w:t>3.4 NOTICE OF ANNUAL MEETING. Written notice of the annual meeting stating the place, date and hour of the meeting and the purpose or purposes for which the meeting is called, and signed by the President or a Vice-President, or the Secretary, or an Assistant Secretary, or by such other natural person or persons as the directors may designate shall be given to each stockholder entitled to vote at such meeting not less than ten nor more than sixty days before the date of the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2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19"/>
          </w:cols>
          <w:pgMar w:left="240" w:top="456" w:right="1440" w:bottom="1440" w:gutter="0" w:footer="0" w:header="0"/>
        </w:sectPr>
      </w:pPr>
    </w:p>
    <w:bookmarkStart w:id="46" w:name="page47"/>
    <w:bookmarkEnd w:id="46"/>
    <w:p>
      <w:pPr>
        <w:ind w:right="2679" w:firstLine="858"/>
        <w:spacing w:after="0" w:line="271" w:lineRule="auto"/>
        <w:rPr>
          <w:sz w:val="20"/>
          <w:szCs w:val="20"/>
          <w:color w:val="auto"/>
        </w:rPr>
      </w:pPr>
      <w:r>
        <w:rPr>
          <w:rFonts w:ascii="Courier New" w:cs="Courier New" w:eastAsia="Courier New" w:hAnsi="Courier New"/>
          <w:sz w:val="16"/>
          <w:szCs w:val="16"/>
          <w:color w:val="auto"/>
        </w:rPr>
        <w:t>3.5 SPECIAL MEETINGS. Except as otherwise required by law and subject to the rights, if any, of the holders of any series of preferred stock, special meetings of the stockholders of the Corporation may be called only by the Board of Directors pursuant to a resolution approved by the affirmative vote of a majority of the directors then in office.</w:t>
      </w:r>
    </w:p>
    <w:p>
      <w:pPr>
        <w:spacing w:after="0" w:line="77" w:lineRule="exact"/>
        <w:rPr>
          <w:sz w:val="20"/>
          <w:szCs w:val="20"/>
          <w:color w:val="auto"/>
        </w:rPr>
      </w:pPr>
    </w:p>
    <w:p>
      <w:pPr>
        <w:ind w:right="2599" w:firstLine="858"/>
        <w:spacing w:after="0" w:line="252" w:lineRule="auto"/>
        <w:rPr>
          <w:sz w:val="20"/>
          <w:szCs w:val="20"/>
          <w:color w:val="auto"/>
        </w:rPr>
      </w:pPr>
      <w:r>
        <w:rPr>
          <w:rFonts w:ascii="Courier New" w:cs="Courier New" w:eastAsia="Courier New" w:hAnsi="Courier New"/>
          <w:sz w:val="16"/>
          <w:szCs w:val="16"/>
          <w:color w:val="auto"/>
        </w:rPr>
        <w:t>3.6 NOTICE OF SPECIAL MEETING. Written notice of a special meeting of stockholders stating the place, date and hour of the meeting and the purpose or purposes for which the meeting is called, and signed by the President or a Vice-President, or the Secretary, or an Assistant Secretary, or by such other natural person or persons as the directors may designate shall be given not less than ten nor more than sixty days before the date of the meeting to each stockholder entitled to vote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94" w:lineRule="exact"/>
        <w:rPr>
          <w:sz w:val="20"/>
          <w:szCs w:val="20"/>
          <w:color w:val="auto"/>
        </w:rPr>
      </w:pPr>
    </w:p>
    <w:p>
      <w:pPr>
        <w:ind w:right="2599" w:firstLine="858"/>
        <w:spacing w:after="0" w:line="253" w:lineRule="auto"/>
        <w:rPr>
          <w:sz w:val="20"/>
          <w:szCs w:val="20"/>
          <w:color w:val="auto"/>
        </w:rPr>
      </w:pPr>
      <w:r>
        <w:rPr>
          <w:rFonts w:ascii="Courier New" w:cs="Courier New" w:eastAsia="Courier New" w:hAnsi="Courier New"/>
          <w:sz w:val="16"/>
          <w:szCs w:val="16"/>
          <w:color w:val="auto"/>
        </w:rPr>
        <w:t>3.7 STOCKHOLDER LIST.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91" w:lineRule="exact"/>
        <w:rPr>
          <w:sz w:val="20"/>
          <w:szCs w:val="20"/>
          <w:color w:val="auto"/>
        </w:rPr>
      </w:pPr>
    </w:p>
    <w:p>
      <w:pPr>
        <w:ind w:right="2679" w:firstLine="858"/>
        <w:spacing w:after="0" w:line="281" w:lineRule="auto"/>
        <w:rPr>
          <w:sz w:val="20"/>
          <w:szCs w:val="20"/>
          <w:color w:val="auto"/>
        </w:rPr>
      </w:pPr>
      <w:r>
        <w:rPr>
          <w:rFonts w:ascii="Courier New" w:cs="Courier New" w:eastAsia="Courier New" w:hAnsi="Courier New"/>
          <w:sz w:val="15"/>
          <w:szCs w:val="15"/>
          <w:color w:val="auto"/>
        </w:rPr>
        <w:t>3.8 QUORUM OF STOCKHOLDERS. The holders of a majority of the stock issued and outstanding and entitled to vote thereat, present in person or represented by proxy, shall constitute a quorum at all meetings of the stockholders for the transaction of business except as otherwise required by law, or by the Articles of Incorporation or by these By-Laws. Except as otherwise provided by law, no stockholder present at a meeting may withhold his shares from the quorum count by declaring his shares absent from the meeting.</w:t>
      </w:r>
    </w:p>
    <w:p>
      <w:pPr>
        <w:spacing w:after="0" w:line="75" w:lineRule="exact"/>
        <w:rPr>
          <w:sz w:val="20"/>
          <w:szCs w:val="20"/>
          <w:color w:val="auto"/>
        </w:rPr>
      </w:pPr>
    </w:p>
    <w:p>
      <w:pPr>
        <w:ind w:right="2599" w:firstLine="858"/>
        <w:spacing w:after="0" w:line="255" w:lineRule="auto"/>
        <w:rPr>
          <w:sz w:val="20"/>
          <w:szCs w:val="20"/>
          <w:color w:val="auto"/>
        </w:rPr>
      </w:pPr>
      <w:r>
        <w:rPr>
          <w:rFonts w:ascii="Courier New" w:cs="Courier New" w:eastAsia="Courier New" w:hAnsi="Courier New"/>
          <w:sz w:val="16"/>
          <w:szCs w:val="16"/>
          <w:color w:val="auto"/>
        </w:rPr>
        <w:t>3.9 ADJOURNMENT. Any meeting of stockholders may be adjourned from time to time to any other time and to any other place at which a meeting of stockholders may be held under these By-Laws, which time and place shall be announced at the meeting, by a majority of votes cast upon the question, whether or not a quorum is present. At such adjourned meeting at which a quorum shall be present or represented any business may be transacted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92" w:lineRule="exact"/>
        <w:rPr>
          <w:sz w:val="20"/>
          <w:szCs w:val="20"/>
          <w:color w:val="auto"/>
        </w:rPr>
      </w:pPr>
    </w:p>
    <w:p>
      <w:pPr>
        <w:ind w:right="2599" w:firstLine="858"/>
        <w:spacing w:after="0" w:line="265" w:lineRule="auto"/>
        <w:rPr>
          <w:sz w:val="20"/>
          <w:szCs w:val="20"/>
          <w:color w:val="auto"/>
        </w:rPr>
      </w:pPr>
      <w:r>
        <w:rPr>
          <w:rFonts w:ascii="Courier New" w:cs="Courier New" w:eastAsia="Courier New" w:hAnsi="Courier New"/>
          <w:sz w:val="15"/>
          <w:szCs w:val="15"/>
          <w:color w:val="auto"/>
        </w:rPr>
        <w:t>3.10 PROXY REPRESENTATION.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attorney-in-fact. No proxy shall be voted or acted upon after six months from its date unless such proxy provides for a longer period, which may not exceed any maximum period provided by law. Except as otherwise provided by law, a stockholder may revoke any proxy which is not irrevocable by attending the meeting for which the proxy was given and voting in person or by filing an instrument in writing revoking the proxy or another duly executed proxy bearing a later date with the Secretary of the Corporation.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283" w:lineRule="exact"/>
        <w:rPr>
          <w:sz w:val="20"/>
          <w:szCs w:val="20"/>
          <w:color w:val="auto"/>
        </w:rPr>
      </w:pPr>
    </w:p>
    <w:p>
      <w:pPr>
        <w:ind w:right="2599" w:firstLine="858"/>
        <w:spacing w:after="0" w:line="299" w:lineRule="auto"/>
        <w:rPr>
          <w:sz w:val="20"/>
          <w:szCs w:val="20"/>
          <w:color w:val="auto"/>
        </w:rPr>
      </w:pPr>
      <w:r>
        <w:rPr>
          <w:rFonts w:ascii="Courier New" w:cs="Courier New" w:eastAsia="Courier New" w:hAnsi="Courier New"/>
          <w:sz w:val="16"/>
          <w:szCs w:val="16"/>
          <w:color w:val="auto"/>
        </w:rPr>
        <w:t>3.11 INSPECTORS. The directors or the person presiding at the meeting may, but need not, appoint one or more inspectors of election and any substitute inspectors to act at the meeting or any adjournment</w:t>
      </w:r>
    </w:p>
    <w:p>
      <w:pPr>
        <w:spacing w:after="0" w:line="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19"/>
          </w:cols>
          <w:pgMar w:left="240" w:top="639" w:right="1440" w:bottom="1147" w:gutter="0" w:footer="0" w:header="0"/>
        </w:sectPr>
      </w:pPr>
    </w:p>
    <w:bookmarkStart w:id="47" w:name="page48"/>
    <w:bookmarkEnd w:id="47"/>
    <w:p>
      <w:pPr>
        <w:ind w:right="2599"/>
        <w:spacing w:after="0" w:line="252" w:lineRule="auto"/>
        <w:rPr>
          <w:sz w:val="20"/>
          <w:szCs w:val="20"/>
          <w:color w:val="auto"/>
        </w:rPr>
      </w:pPr>
      <w:r>
        <w:rPr>
          <w:rFonts w:ascii="Courier New" w:cs="Courier New" w:eastAsia="Courier New" w:hAnsi="Courier New"/>
          <w:sz w:val="16"/>
          <w:szCs w:val="16"/>
          <w:color w:val="auto"/>
        </w:rPr>
        <w:t>thereof. Each inspector, before entering upon the discharge of his duties, shall take and sign an oath faithfully to execute the duties of inspector at such meeting with strict impartiality and according to the best of his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w:t>
      </w:r>
    </w:p>
    <w:p>
      <w:pPr>
        <w:spacing w:after="0" w:line="94" w:lineRule="exact"/>
        <w:rPr>
          <w:sz w:val="20"/>
          <w:szCs w:val="20"/>
          <w:color w:val="auto"/>
        </w:rPr>
      </w:pPr>
    </w:p>
    <w:p>
      <w:pPr>
        <w:ind w:right="2679" w:firstLine="858"/>
        <w:spacing w:after="0" w:line="258" w:lineRule="auto"/>
        <w:rPr>
          <w:sz w:val="20"/>
          <w:szCs w:val="20"/>
          <w:color w:val="auto"/>
        </w:rPr>
      </w:pPr>
      <w:r>
        <w:rPr>
          <w:rFonts w:ascii="Courier New" w:cs="Courier New" w:eastAsia="Courier New" w:hAnsi="Courier New"/>
          <w:sz w:val="16"/>
          <w:szCs w:val="16"/>
          <w:color w:val="auto"/>
        </w:rPr>
        <w:t>3.12 ACTION BY VOTE. When a quorum is present at any meeting, whether the same be an original or an adjourned session, a plurality of the votes properly cast for election to any office shall elect to such office and a majority of the votes properly cast upon any question other than an election to an office shall decide the question, except when a larger vote is required by law, by the Articles of Incorporation or by these By-Laws. No ballot shall be required for any election unless requested by a stockholder present or represented at the meeting and entitled to vote in the election.</w:t>
      </w:r>
    </w:p>
    <w:p>
      <w:pPr>
        <w:spacing w:after="0" w:line="92" w:lineRule="exact"/>
        <w:rPr>
          <w:sz w:val="20"/>
          <w:szCs w:val="20"/>
          <w:color w:val="auto"/>
        </w:rPr>
      </w:pPr>
    </w:p>
    <w:p>
      <w:pPr>
        <w:ind w:right="2599" w:firstLine="858"/>
        <w:spacing w:after="0" w:line="254" w:lineRule="auto"/>
        <w:rPr>
          <w:sz w:val="20"/>
          <w:szCs w:val="20"/>
          <w:color w:val="auto"/>
        </w:rPr>
      </w:pPr>
      <w:r>
        <w:rPr>
          <w:rFonts w:ascii="Courier New" w:cs="Courier New" w:eastAsia="Courier New" w:hAnsi="Courier New"/>
          <w:sz w:val="16"/>
          <w:szCs w:val="16"/>
          <w:color w:val="auto"/>
        </w:rPr>
        <w:t>3.13 ACTION WITHOUT MEETINGS. Unless otherwise provided in the Articles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91" w:lineRule="exact"/>
        <w:rPr>
          <w:sz w:val="20"/>
          <w:szCs w:val="20"/>
          <w:color w:val="auto"/>
        </w:rPr>
      </w:pPr>
    </w:p>
    <w:p>
      <w:pPr>
        <w:ind w:right="2599" w:firstLine="858"/>
        <w:spacing w:after="0" w:line="251" w:lineRule="auto"/>
        <w:rPr>
          <w:sz w:val="20"/>
          <w:szCs w:val="20"/>
          <w:color w:val="auto"/>
        </w:rPr>
      </w:pPr>
      <w:r>
        <w:rPr>
          <w:rFonts w:ascii="Courier New" w:cs="Courier New" w:eastAsia="Courier New" w:hAnsi="Courier New"/>
          <w:sz w:val="16"/>
          <w:szCs w:val="16"/>
          <w:color w:val="auto"/>
        </w:rPr>
        <w:t>3.14 MATTERS TO BE CONSIDERED AT ANNUAL MEETINGS. At any annual meeting of stockholders or any special meeting in lieu of annual meeting of stockholders (for purposes of this Section 3.14 and Section 4.16 hereof, hereinafter referred to as an "Annual Meeting"), only such business shall be conducted, and only such proposals shall be acted upon, as shall have been properly brought before such Annual Meeting. To be considered as properly brought before an Annual Meeting, business must be: (a) specified in the notice of the Annual Meeting, (b) otherwise properly brought before the annual meeting by, or at the direction of, the Board of Directors, or (c) otherwise properly brought before the Annual Meeting by any holder of record (both as of the time notice of such proposal is given by the stockholder as set forth below and as of the record date for the Annual Meeting in question) of any shares of capital stock of the Corporation entitled to vote at such Annual Meeting who complies with the requirements set forth in this Section 3.14.</w:t>
      </w:r>
    </w:p>
    <w:p>
      <w:pPr>
        <w:spacing w:after="0" w:line="97" w:lineRule="exact"/>
        <w:rPr>
          <w:sz w:val="20"/>
          <w:szCs w:val="20"/>
          <w:color w:val="auto"/>
        </w:rPr>
      </w:pPr>
    </w:p>
    <w:p>
      <w:pPr>
        <w:ind w:right="2599" w:firstLine="858"/>
        <w:spacing w:after="0" w:line="249" w:lineRule="auto"/>
        <w:rPr>
          <w:sz w:val="20"/>
          <w:szCs w:val="20"/>
          <w:color w:val="auto"/>
        </w:rPr>
      </w:pPr>
      <w:r>
        <w:rPr>
          <w:rFonts w:ascii="Courier New" w:cs="Courier New" w:eastAsia="Courier New" w:hAnsi="Courier New"/>
          <w:sz w:val="16"/>
          <w:szCs w:val="16"/>
          <w:color w:val="auto"/>
        </w:rPr>
        <w:t>In addition to any other applicable requirements, for business to be properly brought before an Annual Meeting by a stockholder of record of any shares of capital stock entitled to vote at such Annual Meeting, such stockholder shall: (i) give timely notice as required by this Section 3.14 to the Secretary of the Corporation and (ii) be present at such Annual Meeting, either in person or by a representative. A stockholder's notice shall be timely if delivered to, or mailed to and received by, the Corporation at its principal executive office not less than seventy-five days nor more than one hundred twenty days prior to the anniversary date of the immediately preceding Annual Meeting (for purposes of this Section 3.14 and Section 4.16 hereof, hereinafter referred to as the "Anniversary Date"); provided, however, that in the event the Annual Meeting is scheduled to be held on a date more than thirty days before the Anniversary Date or more than sixty days after the Anniversary Date, a stockholder's notice shall be timely if delivered to, or mailed to and received by, the Corporation at its principal executive office not later than the close of business on the later of (A) the seventy-fifth day prior to the scheduled date of such Annual Meeting or (B) the fifteenth day following the day on which public announcement of the date of such Annual Meeting is first made by the Corporation.</w:t>
      </w:r>
    </w:p>
    <w:p>
      <w:pPr>
        <w:spacing w:after="0" w:line="95" w:lineRule="exact"/>
        <w:rPr>
          <w:sz w:val="20"/>
          <w:szCs w:val="20"/>
          <w:color w:val="auto"/>
        </w:rPr>
      </w:pPr>
    </w:p>
    <w:p>
      <w:pPr>
        <w:ind w:right="2599" w:firstLine="858"/>
        <w:spacing w:after="0" w:line="286" w:lineRule="auto"/>
        <w:rPr>
          <w:sz w:val="20"/>
          <w:szCs w:val="20"/>
          <w:color w:val="auto"/>
        </w:rPr>
      </w:pPr>
      <w:r>
        <w:rPr>
          <w:rFonts w:ascii="Courier New" w:cs="Courier New" w:eastAsia="Courier New" w:hAnsi="Courier New"/>
          <w:sz w:val="15"/>
          <w:szCs w:val="15"/>
          <w:color w:val="auto"/>
        </w:rPr>
        <w:t>For purposes of these By-Laws, "public announcement" shall mean: (i) disclosure in a press release reported by the Dow Jones News Service, Associated Press or comparable national news service, (ii) a report or other document filed publicly with the Securities and Exchange Commission (including, without limitation, a Form 8-K), or (iii) a letter or report sent to all stockholders of record of the Corporation at the time of the mailing of such letter or report.</w:t>
      </w:r>
    </w:p>
    <w:p>
      <w:pPr>
        <w:spacing w:after="0" w:line="25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10219"/>
          </w:cols>
          <w:pgMar w:left="240" w:top="639" w:right="1440" w:bottom="1147" w:gutter="0" w:footer="0" w:header="0"/>
        </w:sectPr>
      </w:pPr>
    </w:p>
    <w:bookmarkStart w:id="48" w:name="page49"/>
    <w:bookmarkEnd w:id="48"/>
    <w:p>
      <w:pPr>
        <w:ind w:right="2599" w:firstLine="858"/>
        <w:spacing w:after="0" w:line="249" w:lineRule="auto"/>
        <w:rPr>
          <w:sz w:val="20"/>
          <w:szCs w:val="20"/>
          <w:color w:val="auto"/>
        </w:rPr>
      </w:pPr>
      <w:r>
        <w:rPr>
          <w:rFonts w:ascii="Courier New" w:cs="Courier New" w:eastAsia="Courier New" w:hAnsi="Courier New"/>
          <w:sz w:val="16"/>
          <w:szCs w:val="16"/>
          <w:color w:val="auto"/>
        </w:rPr>
        <w:t>A stockholder's notice to the Secretary shall set forth as to each matter proposed to be brought before an Annual Meeting: (i) a brief description of the business the stockholder desires to bring before such Annual Meeting and the reasons for conducting such business at such Annual Meeting, (ii) the name and address, as they appear on the Corporation's stock transfer books, of the stockholder proposing such business, (iii) the class and number of shares of the Corporation' s capital stock beneficially owned by the stockholder proposing such business, (iv) the names and addresses of the beneficial owners, if any, of any capital stock of the Corporation registered in such stockholder's name on such books, and the class and number of shares of the Corporation's capital stock beneficially owned by such beneficial owners, (v) the names and addresses of other stockholders known by the stockholder proposing such business to support such proposal, and the class and number of shares of the Corporation's capital stock beneficially owned by such other stockholders, and (vi) any material interest of the stockholder proposing to bring such business before such meeting (or any other stockholders known to be supporting such proposal) in such proposal.</w:t>
      </w:r>
    </w:p>
    <w:p>
      <w:pPr>
        <w:spacing w:after="0" w:line="105" w:lineRule="exact"/>
        <w:rPr>
          <w:sz w:val="20"/>
          <w:szCs w:val="20"/>
          <w:color w:val="auto"/>
        </w:rPr>
      </w:pPr>
    </w:p>
    <w:p>
      <w:pPr>
        <w:ind w:right="2599" w:firstLine="858"/>
        <w:spacing w:after="0" w:line="248" w:lineRule="auto"/>
        <w:rPr>
          <w:sz w:val="20"/>
          <w:szCs w:val="20"/>
          <w:color w:val="auto"/>
        </w:rPr>
      </w:pPr>
      <w:r>
        <w:rPr>
          <w:rFonts w:ascii="Courier New" w:cs="Courier New" w:eastAsia="Courier New" w:hAnsi="Courier New"/>
          <w:sz w:val="16"/>
          <w:szCs w:val="16"/>
          <w:color w:val="auto"/>
        </w:rPr>
        <w:t>If the Board of Directors or a designated committee thereof determines that any stockholder proposal was not made in a timely fashion in accordance with the provisions of this Section 3.14 or that the information provided in a stockholder's notice does not satisfy the information requirements of this Section 3.14 in any material respect, such proposal shall not be presented for action at the Annual Meeting in question. If neither the Board of Directors nor such committee makes a determination as to the validity of any stockholder proposal in the manner set forth above, the presiding officer of the Annual Meeting shall determine whether the stockholder proposal was made in accordance with the terms of this Section 3.14. If the presiding officer determines that any stockholder proposal was not made in a timely fashion in accordance with the provisions of this Section 3.14 or that the information provided in a stockholders notice does not satisfy the information requirements of this Section 3.14 in any material respect, such proposal shall not be presented for action at the Annual Meeting in question. If the Board of Directors, a designated committee thereof or the presiding officer determines that a stockholder proposal was made in accordance with the requirements of this Section 3.14, the presiding officer shall so declare at the Annual Meeting and ballots shall be provided for use at the Annual Meeting with respect to such proposal.</w:t>
      </w:r>
    </w:p>
    <w:p>
      <w:pPr>
        <w:spacing w:after="0" w:line="106" w:lineRule="exact"/>
        <w:rPr>
          <w:sz w:val="20"/>
          <w:szCs w:val="20"/>
          <w:color w:val="auto"/>
        </w:rPr>
      </w:pPr>
    </w:p>
    <w:p>
      <w:pPr>
        <w:ind w:right="2599" w:firstLine="858"/>
        <w:spacing w:after="0" w:line="268" w:lineRule="auto"/>
        <w:rPr>
          <w:sz w:val="20"/>
          <w:szCs w:val="20"/>
          <w:color w:val="auto"/>
        </w:rPr>
      </w:pPr>
      <w:r>
        <w:rPr>
          <w:rFonts w:ascii="Courier New" w:cs="Courier New" w:eastAsia="Courier New" w:hAnsi="Courier New"/>
          <w:sz w:val="15"/>
          <w:szCs w:val="15"/>
          <w:color w:val="auto"/>
        </w:rPr>
        <w:t>Notwithstanding the foregoing provisions of this Section 3.14, a stockholder shall also comply with all applicable requirements of the Securities Exchange Act of 1934, as amended (the "Exchange Act"), and the rules and regulations thereunder with respect to the matters set forth in this Section</w:t>
      </w:r>
    </w:p>
    <w:p>
      <w:pPr>
        <w:spacing w:after="0" w:line="3" w:lineRule="exact"/>
        <w:rPr>
          <w:sz w:val="20"/>
          <w:szCs w:val="20"/>
          <w:color w:val="auto"/>
        </w:rPr>
      </w:pPr>
    </w:p>
    <w:p>
      <w:pPr>
        <w:ind w:right="2779"/>
        <w:spacing w:after="0" w:line="280" w:lineRule="auto"/>
        <w:rPr>
          <w:sz w:val="20"/>
          <w:szCs w:val="20"/>
          <w:color w:val="auto"/>
        </w:rPr>
      </w:pPr>
      <w:r>
        <w:rPr>
          <w:rFonts w:ascii="Courier New" w:cs="Courier New" w:eastAsia="Courier New" w:hAnsi="Courier New"/>
          <w:sz w:val="16"/>
          <w:szCs w:val="16"/>
          <w:color w:val="auto"/>
        </w:rPr>
        <w:t>3.14, and nothing in this Section 3.14 shall be deemed to affect any rights of stockholders to request inclusion of proposals in the Corporation' s proxy statement pursuant to Rule 14a-8 under the Exchange Act.</w:t>
      </w:r>
    </w:p>
    <w:p>
      <w:pPr>
        <w:spacing w:after="0" w:line="71" w:lineRule="exact"/>
        <w:rPr>
          <w:sz w:val="20"/>
          <w:szCs w:val="20"/>
          <w:color w:val="auto"/>
        </w:rPr>
      </w:pPr>
    </w:p>
    <w:p>
      <w:pPr>
        <w:ind w:right="2599" w:firstLine="858"/>
        <w:spacing w:after="0" w:line="249" w:lineRule="auto"/>
        <w:rPr>
          <w:sz w:val="20"/>
          <w:szCs w:val="20"/>
          <w:color w:val="auto"/>
        </w:rPr>
      </w:pPr>
      <w:r>
        <w:rPr>
          <w:rFonts w:ascii="Courier New" w:cs="Courier New" w:eastAsia="Courier New" w:hAnsi="Courier New"/>
          <w:sz w:val="16"/>
          <w:szCs w:val="16"/>
          <w:color w:val="auto"/>
        </w:rPr>
        <w:t>3.15 INSPECTION OF STOCKHOLDER CONSENTS. In the event of the delivery to the Corporation of the requisite written stockholder consents to take corporate action and/or any related revocation or revocations, the Corporation shall engage nationally recognized independent inspectors of elections for the purpose of promptly performing a ministerial review of the validity of such consents and revocations. For the purpose of permitting the inspectors to perform such review, no action by written consent without a meeting shall be effective until such date as the independent inspectors certify to the Corporation that the consents delivered to the Corporation constitute at least the minimum number of votes that would be necessary to take the corporate action. Nothing contained in this paragraph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05"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5"/>
          <w:szCs w:val="15"/>
          <w:color w:val="auto"/>
        </w:rPr>
        <w:t>DIRECTORS</w:t>
      </w:r>
    </w:p>
    <w:p>
      <w:pPr>
        <w:spacing w:after="0" w:line="186" w:lineRule="exact"/>
        <w:rPr>
          <w:sz w:val="20"/>
          <w:szCs w:val="20"/>
          <w:color w:val="auto"/>
        </w:rPr>
      </w:pPr>
    </w:p>
    <w:p>
      <w:pPr>
        <w:ind w:right="2599" w:firstLine="858"/>
        <w:spacing w:after="0" w:line="299" w:lineRule="auto"/>
        <w:rPr>
          <w:sz w:val="20"/>
          <w:szCs w:val="20"/>
          <w:color w:val="auto"/>
        </w:rPr>
      </w:pPr>
      <w:r>
        <w:rPr>
          <w:rFonts w:ascii="Courier New" w:cs="Courier New" w:eastAsia="Courier New" w:hAnsi="Courier New"/>
          <w:sz w:val="16"/>
          <w:szCs w:val="16"/>
          <w:color w:val="auto"/>
        </w:rPr>
        <w:t>4.1 NUMBER; QUALIFICATIONS. The Board of Directors shall consist of one or more members, the number thereof to be determined from time to time by resolution of the Board of Directors. Directors need not be stockholders.</w:t>
      </w:r>
    </w:p>
    <w:p>
      <w:pPr>
        <w:spacing w:after="0" w:line="56" w:lineRule="exact"/>
        <w:rPr>
          <w:sz w:val="20"/>
          <w:szCs w:val="20"/>
          <w:color w:val="auto"/>
        </w:rPr>
      </w:pPr>
    </w:p>
    <w:p>
      <w:pPr>
        <w:ind w:right="2599" w:firstLine="858"/>
        <w:spacing w:after="0" w:line="265" w:lineRule="auto"/>
        <w:rPr>
          <w:sz w:val="20"/>
          <w:szCs w:val="20"/>
          <w:color w:val="auto"/>
        </w:rPr>
      </w:pPr>
      <w:r>
        <w:rPr>
          <w:rFonts w:ascii="Courier New" w:cs="Courier New" w:eastAsia="Courier New" w:hAnsi="Courier New"/>
          <w:sz w:val="16"/>
          <w:szCs w:val="16"/>
          <w:color w:val="auto"/>
        </w:rPr>
        <w:t>4.2 ELECTION; VACANCIES. The Board of Directors shall initially consist of persons elected as such by the incorporator. At the first annual meeting of stockholders and at each annual meeting thereafter, the stockholders shall elect directors to replace those directors whose terms then expire. Vacancies and any newly created directorships resulting from any increase in the number of directors may be filled by vote of the</w:t>
      </w:r>
    </w:p>
    <w:p>
      <w:pPr>
        <w:spacing w:after="0" w:line="200" w:lineRule="exact"/>
        <w:rPr>
          <w:sz w:val="20"/>
          <w:szCs w:val="20"/>
          <w:color w:val="auto"/>
        </w:rPr>
      </w:pPr>
    </w:p>
    <w:p>
      <w:pPr>
        <w:spacing w:after="0" w:line="25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C-4</w:t>
      </w:r>
    </w:p>
    <w:p>
      <w:pPr>
        <w:sectPr>
          <w:pgSz w:w="11900" w:h="16838" w:orient="portrait"/>
          <w:cols w:equalWidth="0" w:num="1">
            <w:col w:w="10219"/>
          </w:cols>
          <w:pgMar w:left="240" w:top="639" w:right="1440" w:bottom="780" w:gutter="0" w:footer="0" w:header="0"/>
        </w:sectPr>
      </w:pPr>
    </w:p>
    <w:bookmarkStart w:id="49" w:name="page50"/>
    <w:bookmarkEnd w:id="49"/>
    <w:p>
      <w:pPr>
        <w:ind w:right="2599"/>
        <w:spacing w:after="0" w:line="254" w:lineRule="auto"/>
        <w:rPr>
          <w:sz w:val="20"/>
          <w:szCs w:val="20"/>
          <w:color w:val="auto"/>
        </w:rPr>
      </w:pPr>
      <w:r>
        <w:rPr>
          <w:rFonts w:ascii="Courier New" w:cs="Courier New" w:eastAsia="Courier New" w:hAnsi="Courier New"/>
          <w:sz w:val="16"/>
          <w:szCs w:val="16"/>
          <w:color w:val="auto"/>
        </w:rPr>
        <w:t>stockholders at a meeting called for the purpose, or by a majority of the directors then in office, although less than a quorum, or by a sole remaining director. When one or more directors shall resign from the Board, effective at a future date, a majority of the directors then in office, including those who have resigned, shall have power to fill such vacancy or vacancies, the 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Articles of Incorporation or of these By-Laws as to the number of directors required for a quorum or for any vote or other actions.</w:t>
      </w:r>
    </w:p>
    <w:p>
      <w:pPr>
        <w:spacing w:after="0" w:line="91" w:lineRule="exact"/>
        <w:rPr>
          <w:sz w:val="20"/>
          <w:szCs w:val="20"/>
          <w:color w:val="auto"/>
        </w:rPr>
      </w:pPr>
    </w:p>
    <w:p>
      <w:pPr>
        <w:ind w:right="2779" w:firstLine="858"/>
        <w:spacing w:after="0" w:line="280" w:lineRule="auto"/>
        <w:rPr>
          <w:sz w:val="20"/>
          <w:szCs w:val="20"/>
          <w:color w:val="auto"/>
        </w:rPr>
      </w:pPr>
      <w:r>
        <w:rPr>
          <w:rFonts w:ascii="Courier New" w:cs="Courier New" w:eastAsia="Courier New" w:hAnsi="Courier New"/>
          <w:sz w:val="16"/>
          <w:szCs w:val="16"/>
          <w:color w:val="auto"/>
        </w:rPr>
        <w:t>4.3 TENURE. Except as otherwise provided by law, by the Articles of Incorporation or by these By-Laws, each director shall hold office until the next annual meeting and until his successor is elected and qualified, or until he sooner dies, resigns, is removed or becomes disqualified.</w:t>
      </w:r>
    </w:p>
    <w:p>
      <w:pPr>
        <w:spacing w:after="0" w:line="71"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6"/>
          <w:szCs w:val="16"/>
          <w:color w:val="auto"/>
        </w:rPr>
        <w:t>4.4 POWERS. The business of the Corporation shall be managed by or under the direction of the Board of Directors which shall have and may exercise all the powers of the Corporation and do all such lawful acts and things as are not by law, the Articles of Incorporation or these By-Laws directed or required to be exercised or done by the stockholders.</w:t>
      </w:r>
    </w:p>
    <w:p>
      <w:pPr>
        <w:spacing w:after="0" w:line="77" w:lineRule="exact"/>
        <w:rPr>
          <w:sz w:val="20"/>
          <w:szCs w:val="20"/>
          <w:color w:val="auto"/>
        </w:rPr>
      </w:pPr>
    </w:p>
    <w:p>
      <w:pPr>
        <w:ind w:right="2599" w:firstLine="858"/>
        <w:spacing w:after="0" w:line="247" w:lineRule="auto"/>
        <w:rPr>
          <w:sz w:val="20"/>
          <w:szCs w:val="20"/>
          <w:color w:val="auto"/>
        </w:rPr>
      </w:pPr>
      <w:r>
        <w:rPr>
          <w:rFonts w:ascii="Courier New" w:cs="Courier New" w:eastAsia="Courier New" w:hAnsi="Courier New"/>
          <w:sz w:val="16"/>
          <w:szCs w:val="16"/>
          <w:color w:val="auto"/>
        </w:rPr>
        <w:t>4.5 COMMITTEES. The Board of Directors may, by vote of a majority of the whole Board,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Articles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 the Board of Directors may otherwise determine, any committee may make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111" w:lineRule="exact"/>
        <w:rPr>
          <w:sz w:val="20"/>
          <w:szCs w:val="20"/>
          <w:color w:val="auto"/>
        </w:rPr>
      </w:pPr>
    </w:p>
    <w:p>
      <w:pPr>
        <w:ind w:right="2679" w:firstLine="858"/>
        <w:spacing w:after="0" w:line="261" w:lineRule="auto"/>
        <w:rPr>
          <w:sz w:val="20"/>
          <w:szCs w:val="20"/>
          <w:color w:val="auto"/>
        </w:rPr>
      </w:pPr>
      <w:r>
        <w:rPr>
          <w:rFonts w:ascii="Courier New" w:cs="Courier New" w:eastAsia="Courier New" w:hAnsi="Courier New"/>
          <w:sz w:val="16"/>
          <w:szCs w:val="16"/>
          <w:color w:val="auto"/>
        </w:rPr>
        <w:t>4.6 REGULAR MEETING. Regular meetings of the Board of Directors may be held without call or notice at such place within or without the State of Nevada and at such times as the Board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the stockholders.</w:t>
      </w:r>
    </w:p>
    <w:p>
      <w:pPr>
        <w:spacing w:after="0" w:line="87" w:lineRule="exact"/>
        <w:rPr>
          <w:sz w:val="20"/>
          <w:szCs w:val="20"/>
          <w:color w:val="auto"/>
        </w:rPr>
      </w:pPr>
    </w:p>
    <w:p>
      <w:pPr>
        <w:ind w:right="2599" w:firstLine="858"/>
        <w:spacing w:after="0" w:line="266" w:lineRule="auto"/>
        <w:rPr>
          <w:sz w:val="20"/>
          <w:szCs w:val="20"/>
          <w:color w:val="auto"/>
        </w:rPr>
      </w:pPr>
      <w:r>
        <w:rPr>
          <w:rFonts w:ascii="Courier New" w:cs="Courier New" w:eastAsia="Courier New" w:hAnsi="Courier New"/>
          <w:sz w:val="15"/>
          <w:szCs w:val="15"/>
          <w:color w:val="auto"/>
        </w:rPr>
        <w:t>4.7 SPECIAL MEETINGS. Special meetings of the Board of Directors may be held at any time and at any place within or without the State of Nevada designated in the notice of the meeting, and may be called only by the Secretary upon the request of persons constituting a majority of the Special Committee of the Board of Directors formed by resolution adopted by the Board of Directors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 2002, reasonable notice thereof being given to each director by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 or any member of such Special Committee.</w:t>
      </w:r>
    </w:p>
    <w:p>
      <w:pPr>
        <w:spacing w:after="0" w:line="158" w:lineRule="exact"/>
        <w:rPr>
          <w:sz w:val="20"/>
          <w:szCs w:val="20"/>
          <w:color w:val="auto"/>
        </w:rPr>
      </w:pPr>
    </w:p>
    <w:p>
      <w:pPr>
        <w:ind w:right="2599" w:firstLine="858"/>
        <w:spacing w:after="0" w:line="255" w:lineRule="auto"/>
        <w:rPr>
          <w:sz w:val="20"/>
          <w:szCs w:val="20"/>
          <w:color w:val="auto"/>
        </w:rPr>
      </w:pPr>
      <w:r>
        <w:rPr>
          <w:rFonts w:ascii="Courier New" w:cs="Courier New" w:eastAsia="Courier New" w:hAnsi="Courier New"/>
          <w:sz w:val="16"/>
          <w:szCs w:val="16"/>
          <w:color w:val="auto"/>
        </w:rPr>
        <w:t>4.8 NOTICE. It shall be reasonable and sufficient notice to a director to send notice by mail at least forty-eight hours or by telegram at least twenty-four hours before the meeting, addressed to him at his usual or last known business or residence address or to give notice to him in person or by telephone at least twelve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92" w:lineRule="exact"/>
        <w:rPr>
          <w:sz w:val="20"/>
          <w:szCs w:val="20"/>
          <w:color w:val="auto"/>
        </w:rPr>
      </w:pPr>
    </w:p>
    <w:p>
      <w:pPr>
        <w:jc w:val="both"/>
        <w:ind w:right="2599" w:firstLine="858"/>
        <w:spacing w:after="0" w:line="299" w:lineRule="auto"/>
        <w:rPr>
          <w:sz w:val="20"/>
          <w:szCs w:val="20"/>
          <w:color w:val="auto"/>
        </w:rPr>
      </w:pPr>
      <w:r>
        <w:rPr>
          <w:rFonts w:ascii="Courier New" w:cs="Courier New" w:eastAsia="Courier New" w:hAnsi="Courier New"/>
          <w:sz w:val="16"/>
          <w:szCs w:val="16"/>
          <w:color w:val="auto"/>
        </w:rPr>
        <w:t>4.9 QUORUM. Except as may be otherwise provided by law, by the Articles of Incorporation or by these By-Laws, at any meeting of the directors a majority of the directors then in office shall</w:t>
      </w:r>
    </w:p>
    <w:p>
      <w:pPr>
        <w:spacing w:after="0" w:line="200" w:lineRule="exact"/>
        <w:rPr>
          <w:sz w:val="20"/>
          <w:szCs w:val="20"/>
          <w:color w:val="auto"/>
        </w:rPr>
      </w:pPr>
    </w:p>
    <w:p>
      <w:pPr>
        <w:spacing w:after="0" w:line="22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C-5</w:t>
      </w:r>
    </w:p>
    <w:p>
      <w:pPr>
        <w:sectPr>
          <w:pgSz w:w="11900" w:h="16838" w:orient="portrait"/>
          <w:cols w:equalWidth="0" w:num="1">
            <w:col w:w="10219"/>
          </w:cols>
          <w:pgMar w:left="240" w:top="639" w:right="1440" w:bottom="780" w:gutter="0" w:footer="0" w:header="0"/>
        </w:sectPr>
      </w:pPr>
    </w:p>
    <w:bookmarkStart w:id="50" w:name="page51"/>
    <w:bookmarkEnd w:id="50"/>
    <w:p>
      <w:pPr>
        <w:ind w:right="2779"/>
        <w:spacing w:after="0" w:line="271" w:lineRule="auto"/>
        <w:rPr>
          <w:sz w:val="20"/>
          <w:szCs w:val="20"/>
          <w:color w:val="auto"/>
        </w:rPr>
      </w:pPr>
      <w:r>
        <w:rPr>
          <w:rFonts w:ascii="Courier New" w:cs="Courier New" w:eastAsia="Courier New" w:hAnsi="Courier New"/>
          <w:sz w:val="16"/>
          <w:szCs w:val="16"/>
          <w:color w:val="auto"/>
        </w:rPr>
        <w:t>constitute a quorum; a quorum shall not in any case be less than one-third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77" w:lineRule="exact"/>
        <w:rPr>
          <w:sz w:val="20"/>
          <w:szCs w:val="20"/>
          <w:color w:val="auto"/>
        </w:rPr>
      </w:pPr>
    </w:p>
    <w:p>
      <w:pPr>
        <w:ind w:right="2599" w:firstLine="858"/>
        <w:spacing w:after="0" w:line="280" w:lineRule="auto"/>
        <w:rPr>
          <w:sz w:val="20"/>
          <w:szCs w:val="20"/>
          <w:color w:val="auto"/>
        </w:rPr>
      </w:pPr>
      <w:r>
        <w:rPr>
          <w:rFonts w:ascii="Courier New" w:cs="Courier New" w:eastAsia="Courier New" w:hAnsi="Courier New"/>
          <w:sz w:val="16"/>
          <w:szCs w:val="16"/>
          <w:color w:val="auto"/>
        </w:rPr>
        <w:t>4.10 ACTION BY VOTE. Except as may be otherwise provided by law, by the Articles of Incorporation or by these By-Laws, when a quorum is present at any meeting the vote of a majority of the directors present shall be the act of the Board of Directors.</w:t>
      </w:r>
    </w:p>
    <w:p>
      <w:pPr>
        <w:spacing w:after="0" w:line="71" w:lineRule="exact"/>
        <w:rPr>
          <w:sz w:val="20"/>
          <w:szCs w:val="20"/>
          <w:color w:val="auto"/>
        </w:rPr>
      </w:pPr>
    </w:p>
    <w:p>
      <w:pPr>
        <w:ind w:right="2679" w:firstLine="858"/>
        <w:spacing w:after="0" w:line="258" w:lineRule="auto"/>
        <w:rPr>
          <w:sz w:val="20"/>
          <w:szCs w:val="20"/>
          <w:color w:val="auto"/>
        </w:rPr>
      </w:pPr>
      <w:r>
        <w:rPr>
          <w:rFonts w:ascii="Courier New" w:cs="Courier New" w:eastAsia="Courier New" w:hAnsi="Courier New"/>
          <w:sz w:val="16"/>
          <w:szCs w:val="16"/>
          <w:color w:val="auto"/>
        </w:rPr>
        <w:t>4.11 ACTION WITHOUT A MEETING. Unless otherwise restricted by the Articles of Incorporation or these By-Laws, any action required or permitted to be taken at any meeting of the Board of Directors or of any committee thereof may be taken without a meeting if all the members of the Board or of such committee, as the case may be, consent thereto in writing, and such writing or writings are filed with the records of the meetings of the Board or of such committee. Such consent shall be treated for all purposes as the act of the Board or of such committee, as the case may be.</w:t>
      </w:r>
    </w:p>
    <w:p>
      <w:pPr>
        <w:spacing w:after="0" w:line="92" w:lineRule="exact"/>
        <w:rPr>
          <w:sz w:val="20"/>
          <w:szCs w:val="20"/>
          <w:color w:val="auto"/>
        </w:rPr>
      </w:pPr>
    </w:p>
    <w:p>
      <w:pPr>
        <w:ind w:right="2679" w:firstLine="858"/>
        <w:spacing w:after="0" w:line="261" w:lineRule="auto"/>
        <w:rPr>
          <w:sz w:val="20"/>
          <w:szCs w:val="20"/>
          <w:color w:val="auto"/>
        </w:rPr>
      </w:pPr>
      <w:r>
        <w:rPr>
          <w:rFonts w:ascii="Courier New" w:cs="Courier New" w:eastAsia="Courier New" w:hAnsi="Courier New"/>
          <w:sz w:val="16"/>
          <w:szCs w:val="16"/>
          <w:color w:val="auto"/>
        </w:rPr>
        <w:t>4.12 PARTICIPATION IN MEETINGS BY CONFERENCE TELEPHONE. Unless otherwise restricted by the Articles of Incorporation or these By-Laws, members of the Board of Directors or of any committee thereof, may participate in a meeting of such Board or committee by means of conference telephone or similar communications equipment by means of which all persons participating in the meeting can hear each other. Such participation shall constitute presence in person at such meeting.</w:t>
      </w:r>
    </w:p>
    <w:p>
      <w:pPr>
        <w:spacing w:after="0" w:line="87" w:lineRule="exact"/>
        <w:rPr>
          <w:sz w:val="20"/>
          <w:szCs w:val="20"/>
          <w:color w:val="auto"/>
        </w:rPr>
      </w:pPr>
    </w:p>
    <w:p>
      <w:pPr>
        <w:ind w:right="2599" w:firstLine="858"/>
        <w:spacing w:after="0" w:line="254" w:lineRule="auto"/>
        <w:rPr>
          <w:sz w:val="20"/>
          <w:szCs w:val="20"/>
          <w:color w:val="auto"/>
        </w:rPr>
      </w:pPr>
      <w:r>
        <w:rPr>
          <w:rFonts w:ascii="Courier New" w:cs="Courier New" w:eastAsia="Courier New" w:hAnsi="Courier New"/>
          <w:sz w:val="16"/>
          <w:szCs w:val="16"/>
          <w:color w:val="auto"/>
        </w:rPr>
        <w:t>4.13 COMPENSATION. Unless otherwise restricted by the Articles of Incorporation or these By-Laws, the Board of Directors 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 allow compensation for members of special or standing committees for service on such committees.</w:t>
      </w:r>
    </w:p>
    <w:p>
      <w:pPr>
        <w:spacing w:after="0" w:line="9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4.14 INTERESTED DIRECTORS AND OFFICERS.</w:t>
      </w:r>
    </w:p>
    <w:p>
      <w:pPr>
        <w:spacing w:after="0" w:line="186" w:lineRule="exact"/>
        <w:rPr>
          <w:sz w:val="20"/>
          <w:szCs w:val="20"/>
          <w:color w:val="auto"/>
        </w:rPr>
      </w:pPr>
    </w:p>
    <w:p>
      <w:pPr>
        <w:ind w:right="2679" w:firstLine="1142"/>
        <w:spacing w:after="0" w:line="256" w:lineRule="auto"/>
        <w:tabs>
          <w:tab w:leader="none" w:pos="152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94" w:lineRule="exact"/>
        <w:rPr>
          <w:rFonts w:ascii="Courier New" w:cs="Courier New" w:eastAsia="Courier New" w:hAnsi="Courier New"/>
          <w:sz w:val="16"/>
          <w:szCs w:val="16"/>
          <w:color w:val="auto"/>
        </w:rPr>
      </w:pPr>
    </w:p>
    <w:p>
      <w:pPr>
        <w:ind w:right="2679" w:firstLine="1428"/>
        <w:spacing w:after="0" w:line="265" w:lineRule="auto"/>
        <w:tabs>
          <w:tab w:leader="none" w:pos="1812"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83" w:lineRule="exact"/>
        <w:rPr>
          <w:rFonts w:ascii="Courier New" w:cs="Courier New" w:eastAsia="Courier New" w:hAnsi="Courier New"/>
          <w:sz w:val="16"/>
          <w:szCs w:val="16"/>
          <w:color w:val="auto"/>
        </w:rPr>
      </w:pPr>
    </w:p>
    <w:p>
      <w:pPr>
        <w:ind w:right="2679" w:firstLine="1428"/>
        <w:spacing w:after="0" w:line="280" w:lineRule="auto"/>
        <w:tabs>
          <w:tab w:leader="none" w:pos="1812"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71" w:lineRule="exact"/>
        <w:rPr>
          <w:rFonts w:ascii="Courier New" w:cs="Courier New" w:eastAsia="Courier New" w:hAnsi="Courier New"/>
          <w:sz w:val="16"/>
          <w:szCs w:val="16"/>
          <w:color w:val="auto"/>
        </w:rPr>
      </w:pPr>
    </w:p>
    <w:p>
      <w:pPr>
        <w:ind w:right="2599" w:firstLine="1428"/>
        <w:spacing w:after="0" w:line="299" w:lineRule="auto"/>
        <w:tabs>
          <w:tab w:leader="none" w:pos="1812"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contract or transaction is fair as to the Corporation as of the time it is authorized, approved or ratified, by the Board of Directors, a committee thereof, or the stockholders.</w:t>
      </w:r>
    </w:p>
    <w:p>
      <w:pPr>
        <w:spacing w:after="0" w:line="56" w:lineRule="exact"/>
        <w:rPr>
          <w:rFonts w:ascii="Courier New" w:cs="Courier New" w:eastAsia="Courier New" w:hAnsi="Courier New"/>
          <w:sz w:val="16"/>
          <w:szCs w:val="16"/>
          <w:color w:val="auto"/>
        </w:rPr>
      </w:pPr>
    </w:p>
    <w:p>
      <w:pPr>
        <w:ind w:right="2599" w:firstLine="1142"/>
        <w:spacing w:after="0" w:line="299" w:lineRule="auto"/>
        <w:tabs>
          <w:tab w:leader="none" w:pos="152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or interested directors may be counted in determining the presence of a quorum at a meeting of the Board of Directors or of a committee which authorizes the contract or transaction.</w:t>
      </w:r>
    </w:p>
    <w:p>
      <w:pPr>
        <w:spacing w:after="0" w:line="200" w:lineRule="exact"/>
        <w:rPr>
          <w:sz w:val="20"/>
          <w:szCs w:val="20"/>
          <w:color w:val="auto"/>
        </w:rPr>
      </w:pPr>
    </w:p>
    <w:p>
      <w:pPr>
        <w:spacing w:after="0" w:line="22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C-6</w:t>
      </w:r>
    </w:p>
    <w:p>
      <w:pPr>
        <w:sectPr>
          <w:pgSz w:w="11900" w:h="16838" w:orient="portrait"/>
          <w:cols w:equalWidth="0" w:num="1">
            <w:col w:w="10219"/>
          </w:cols>
          <w:pgMar w:left="240" w:top="639" w:right="1440" w:bottom="1440" w:gutter="0" w:footer="0" w:header="0"/>
        </w:sectPr>
      </w:pPr>
    </w:p>
    <w:bookmarkStart w:id="51" w:name="page52"/>
    <w:bookmarkEnd w:id="51"/>
    <w:p>
      <w:pPr>
        <w:ind w:left="2" w:right="2599" w:firstLine="858"/>
        <w:spacing w:after="0" w:line="249" w:lineRule="auto"/>
        <w:rPr>
          <w:sz w:val="20"/>
          <w:szCs w:val="20"/>
          <w:color w:val="auto"/>
        </w:rPr>
      </w:pPr>
      <w:r>
        <w:rPr>
          <w:rFonts w:ascii="Courier New" w:cs="Courier New" w:eastAsia="Courier New" w:hAnsi="Courier New"/>
          <w:sz w:val="16"/>
          <w:szCs w:val="16"/>
          <w:color w:val="auto"/>
        </w:rPr>
        <w:t>4.15 RESIGNATION OR REMOVAL OF DIRECTORS. Unless otherwise restricted by the Articles of Incorporation or by law, any director or the entire Board of Directors may be removed, with or without cause, by the holders of a majority of the stock issued and outstanding and entitled to vote at an election of directors. Any director may resign at any time by delivering his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(except where a right to receive compensation shall be expressly provided in a duly authorized written agreement with the Corporation) no director removed shall have any right to receive compensation as such director for any period following his resignation or removal,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05" w:lineRule="exact"/>
        <w:rPr>
          <w:sz w:val="20"/>
          <w:szCs w:val="20"/>
          <w:color w:val="auto"/>
        </w:rPr>
      </w:pPr>
    </w:p>
    <w:p>
      <w:pPr>
        <w:ind w:left="2" w:right="2599" w:firstLine="858"/>
        <w:spacing w:after="0" w:line="252" w:lineRule="auto"/>
        <w:rPr>
          <w:sz w:val="20"/>
          <w:szCs w:val="20"/>
          <w:color w:val="auto"/>
        </w:rPr>
      </w:pPr>
      <w:r>
        <w:rPr>
          <w:rFonts w:ascii="Courier New" w:cs="Courier New" w:eastAsia="Courier New" w:hAnsi="Courier New"/>
          <w:sz w:val="16"/>
          <w:szCs w:val="16"/>
          <w:color w:val="auto"/>
        </w:rPr>
        <w:t>4.16 DIRECTOR NOMINATIONS. Nominations of candidates for election as directors of the Corporation at any Annual Meeting may be made only (a) by, or at the direction of, a majority of the directors then in office or (b) by any holder of record (both as of the time notice of such nomination is given by the stockholder as set forth below and as of the record date for the Annual Meeting in question) of any shares of the capital stock of the Corporation entitled to vote at such Annual Meeting who complies with the timing, informational and other requirements set forth in this Section 4.16. Any stockholder who has complied with the timing, informational and other requirements set forth in this Section 4.16 and who seeks to make such a nomination, or such stockholder's representative, must be present in person at the Annual Meeting. Only persons nominated in accordance with the procedures set forth in this Section 4.16 shall be eligible for election as directors at an Annual Meeting.</w:t>
      </w:r>
    </w:p>
    <w:p>
      <w:pPr>
        <w:spacing w:after="0" w:line="94" w:lineRule="exact"/>
        <w:rPr>
          <w:sz w:val="20"/>
          <w:szCs w:val="20"/>
          <w:color w:val="auto"/>
        </w:rPr>
      </w:pPr>
    </w:p>
    <w:p>
      <w:pPr>
        <w:ind w:left="2" w:right="2599" w:firstLine="858"/>
        <w:spacing w:after="0" w:line="251" w:lineRule="auto"/>
        <w:rPr>
          <w:sz w:val="20"/>
          <w:szCs w:val="20"/>
          <w:color w:val="auto"/>
        </w:rPr>
      </w:pPr>
      <w:r>
        <w:rPr>
          <w:rFonts w:ascii="Courier New" w:cs="Courier New" w:eastAsia="Courier New" w:hAnsi="Courier New"/>
          <w:sz w:val="16"/>
          <w:szCs w:val="16"/>
          <w:color w:val="auto"/>
        </w:rPr>
        <w:t>Nominations, other than those made by, or at the direction of, the Board of Directors, shall be made pursuant to timely notice in writing to the Secretary of the Corporation as set forth in this Section 4.16. A stockholder's notice shall be timely if delivered to, or mailed to and received by, the Corporation at its principal executive office not less than seventy-five days nor more than one hundred twenty days prior to the Anniversary Date; provided, however, that in the event the Annual Meeting is scheduled to be held on a date more than thirty days before the Anniversary Date or more than sixty days after the Anniversary Date, a stockholder's notice shall be timely if delivered to, or mailed and received by, the Corporation at its principal executive office not later than the close of business on the later of (i) the seventy-fifth day prior to the scheduled date of such Annual Meeting or (ii) the fifteenth day following the day on which public announcement of the date of such Annual Meeting is first made by the Corporation.</w:t>
      </w:r>
    </w:p>
    <w:p>
      <w:pPr>
        <w:spacing w:after="0" w:line="97" w:lineRule="exact"/>
        <w:rPr>
          <w:sz w:val="20"/>
          <w:szCs w:val="20"/>
          <w:color w:val="auto"/>
        </w:rPr>
      </w:pPr>
    </w:p>
    <w:p>
      <w:pPr>
        <w:ind w:left="2" w:right="2679" w:firstLine="858"/>
        <w:spacing w:after="0" w:line="249" w:lineRule="auto"/>
        <w:rPr>
          <w:sz w:val="20"/>
          <w:szCs w:val="20"/>
          <w:color w:val="auto"/>
        </w:rPr>
      </w:pPr>
      <w:r>
        <w:rPr>
          <w:rFonts w:ascii="Courier New" w:cs="Courier New" w:eastAsia="Courier New" w:hAnsi="Courier New"/>
          <w:sz w:val="16"/>
          <w:szCs w:val="16"/>
          <w:color w:val="auto"/>
        </w:rPr>
        <w:t>A stockholder's notice to the Secretary shall set forth as to each person whom the stockholder proposes to nominate for election or re-election as a director: (i) the name, age, business address and residence address of such person, (ii) the principal occupation or employment of such person, (iii) the class and number of shares of the Corporation's capital stock which are beneficially owned by such person on the date of such stockholder notice, and</w:t>
      </w:r>
    </w:p>
    <w:p>
      <w:pPr>
        <w:ind w:left="2" w:right="2599" w:hanging="2"/>
        <w:spacing w:after="0" w:line="247" w:lineRule="auto"/>
        <w:tabs>
          <w:tab w:leader="none" w:pos="47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consent of each nominee to serve as a director if elected. A stockholder' s notice to the Secretary shall further set forth as to the stockholder giving such notice: (i) the name and address, as the appear on the Corporation's stock transfer books, of such stockholder and of the beneficial owners (if any) of the Corporation's capital stock registered in such stockholder's name and the name and address of other stockholders known by such stockholder to be supporting such nominee(s), (ii) the class and number of shares of the Corporation's capital stock which are held of record, beneficially owned or represented by proxy by such stockholder and by any other stockholders known by such stockholder to be supporting such nominee(s) on the record date for the Annual Meeting in question (if such date shall then have been made publicly available) and on the date of such stockholder's notice, and (iii) a description of all arrangements or understandings between such stockholder and each nominee and any other person or persons (naming such person or persons) pursuant to which the nomination or nominations are to be made by such stockholder.</w:t>
      </w:r>
    </w:p>
    <w:p>
      <w:pPr>
        <w:spacing w:after="0" w:line="105" w:lineRule="exact"/>
        <w:rPr>
          <w:sz w:val="20"/>
          <w:szCs w:val="20"/>
          <w:color w:val="auto"/>
        </w:rPr>
      </w:pPr>
    </w:p>
    <w:p>
      <w:pPr>
        <w:ind w:left="2" w:right="2679" w:firstLine="858"/>
        <w:spacing w:after="0" w:line="256" w:lineRule="auto"/>
        <w:rPr>
          <w:sz w:val="20"/>
          <w:szCs w:val="20"/>
          <w:color w:val="auto"/>
        </w:rPr>
      </w:pPr>
      <w:r>
        <w:rPr>
          <w:rFonts w:ascii="Courier New" w:cs="Courier New" w:eastAsia="Courier New" w:hAnsi="Courier New"/>
          <w:sz w:val="16"/>
          <w:szCs w:val="16"/>
          <w:color w:val="auto"/>
        </w:rPr>
        <w:t>If the Board of Directors or a designated committee thereof determines that any stockholder nomination was not made in accordance with the terms of this Section 4.16 or that the information provided in a stockholder's notice does not satisfy the informational requirements of this Section 4.l6 in any material respect, then such nomination shall not be considered at the Annual Meeting in question. If neither the Board of Directors nor such committee makes a determination as to whether a nomination was made in accordance with the provisions of this Section 4.16, the presiding officer of the Annual Meeting shall determine whether a nomination was made in</w:t>
      </w:r>
    </w:p>
    <w:p>
      <w:pPr>
        <w:spacing w:after="0" w:line="200" w:lineRule="exact"/>
        <w:rPr>
          <w:sz w:val="20"/>
          <w:szCs w:val="20"/>
          <w:color w:val="auto"/>
        </w:rPr>
      </w:pPr>
    </w:p>
    <w:p>
      <w:pPr>
        <w:spacing w:after="0" w:line="261"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C-7</w:t>
      </w:r>
    </w:p>
    <w:p>
      <w:pPr>
        <w:sectPr>
          <w:pgSz w:w="11900" w:h="16838" w:orient="portrait"/>
          <w:cols w:equalWidth="0" w:num="1">
            <w:col w:w="10221"/>
          </w:cols>
          <w:pgMar w:left="238" w:top="639" w:right="1440" w:bottom="413" w:gutter="0" w:footer="0" w:header="0"/>
        </w:sectPr>
      </w:pPr>
    </w:p>
    <w:bookmarkStart w:id="52" w:name="page53"/>
    <w:bookmarkEnd w:id="52"/>
    <w:p>
      <w:pPr>
        <w:ind w:right="2599"/>
        <w:spacing w:after="0" w:line="255" w:lineRule="auto"/>
        <w:rPr>
          <w:sz w:val="20"/>
          <w:szCs w:val="20"/>
          <w:color w:val="auto"/>
        </w:rPr>
      </w:pPr>
      <w:r>
        <w:rPr>
          <w:rFonts w:ascii="Courier New" w:cs="Courier New" w:eastAsia="Courier New" w:hAnsi="Courier New"/>
          <w:sz w:val="16"/>
          <w:szCs w:val="16"/>
          <w:color w:val="auto"/>
        </w:rPr>
        <w:t>accordance with such provisions. If the presiding officer determines that any stockholder nomination was not made in accordance with the terms of this Section 4.16 or that the information provided in a stockholder's notice does not satisfy the informational requirements of this Section 4.16 in any material respect, then such nomination shall not be considered at the Annual Meeting in question. If the Board of Directors, a designated committee thereof or the presiding officer determines that a nomination was made in accordance with the terms of this Section 4.16, the presiding officer shall so declare at the Annual Meeting and ballots shall be provided for use at the Annual Meeting with respect to such nominee.</w:t>
      </w:r>
    </w:p>
    <w:p>
      <w:pPr>
        <w:spacing w:after="0" w:line="92" w:lineRule="exact"/>
        <w:rPr>
          <w:sz w:val="20"/>
          <w:szCs w:val="20"/>
          <w:color w:val="auto"/>
        </w:rPr>
      </w:pPr>
    </w:p>
    <w:p>
      <w:pPr>
        <w:ind w:right="2599" w:firstLine="858"/>
        <w:spacing w:after="0" w:line="253" w:lineRule="auto"/>
        <w:rPr>
          <w:sz w:val="20"/>
          <w:szCs w:val="20"/>
          <w:color w:val="auto"/>
        </w:rPr>
      </w:pPr>
      <w:r>
        <w:rPr>
          <w:rFonts w:ascii="Courier New" w:cs="Courier New" w:eastAsia="Courier New" w:hAnsi="Courier New"/>
          <w:sz w:val="16"/>
          <w:szCs w:val="16"/>
          <w:color w:val="auto"/>
        </w:rPr>
        <w:t>Notwithstanding anything to the contrary in the second sentence of the second paragraph of this Section 4.16, in the event that the number of directors to be elected to the Board of Directors of the Corporation is increased and there is no public announcement by the Corporation naming all of the nominees for director or specifying the size of the increased Board of Directors at least seventy-five days prior to the Anniversary Date, a stockholder's notice required by this Section 4.16 shall also be considered timely, but only with respect to nominees for any new positions created by such increase, if such notice shall be delivered to, or mailed to and received by, the Corporation at its principal executive office not later than the close of business on the fifteenth day following the day on which such public announcement is first made by the Corporation.</w:t>
      </w:r>
    </w:p>
    <w:p>
      <w:pPr>
        <w:spacing w:after="0" w:line="91" w:lineRule="exact"/>
        <w:rPr>
          <w:sz w:val="20"/>
          <w:szCs w:val="20"/>
          <w:color w:val="auto"/>
        </w:rPr>
      </w:pPr>
    </w:p>
    <w:p>
      <w:pPr>
        <w:ind w:right="2599" w:firstLine="858"/>
        <w:spacing w:after="0" w:line="278" w:lineRule="auto"/>
        <w:rPr>
          <w:sz w:val="20"/>
          <w:szCs w:val="20"/>
          <w:color w:val="auto"/>
        </w:rPr>
      </w:pPr>
      <w:r>
        <w:rPr>
          <w:rFonts w:ascii="Courier New" w:cs="Courier New" w:eastAsia="Courier New" w:hAnsi="Courier New"/>
          <w:sz w:val="15"/>
          <w:szCs w:val="15"/>
          <w:color w:val="auto"/>
        </w:rPr>
        <w:t>No person shall be elected by the stockholders as a director of the Corporation unless nominated in accordance with the procedures set forth in this Section 4.16. Election of directors at an Annual Meeting need not be by written ballot, unless otherwise provided by the Board of Directors or presiding officer at such Annual Meeting. If written ballots are to be used, ballots bearing the names of all the persons who have been nominated for election as directors at an Annual Meeting in accordance with the procedures set forth in this Section 4.16 shall be provided for use at such Annual Meeting.</w:t>
      </w:r>
    </w:p>
    <w:p>
      <w:pPr>
        <w:spacing w:after="0" w:line="7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5"/>
          <w:szCs w:val="15"/>
          <w:color w:val="auto"/>
        </w:rPr>
        <w:t>NOTICES</w:t>
      </w:r>
    </w:p>
    <w:p>
      <w:pPr>
        <w:spacing w:after="0" w:line="186" w:lineRule="exact"/>
        <w:rPr>
          <w:sz w:val="20"/>
          <w:szCs w:val="20"/>
          <w:color w:val="auto"/>
        </w:rPr>
      </w:pPr>
    </w:p>
    <w:p>
      <w:pPr>
        <w:ind w:right="2599" w:firstLine="858"/>
        <w:spacing w:after="0" w:line="250" w:lineRule="auto"/>
        <w:rPr>
          <w:sz w:val="20"/>
          <w:szCs w:val="20"/>
          <w:color w:val="auto"/>
        </w:rPr>
      </w:pPr>
      <w:r>
        <w:rPr>
          <w:rFonts w:ascii="Courier New" w:cs="Courier New" w:eastAsia="Courier New" w:hAnsi="Courier New"/>
          <w:sz w:val="16"/>
          <w:szCs w:val="16"/>
          <w:color w:val="auto"/>
        </w:rPr>
        <w:t>5.1 FORM OF NOTICE. Whenever, under the provisions of law, or of the Articles of Incorporation or of these By-Laws, notice is required to be given to any director or stockholder, such notice may be given by mail, addressed to such director or stockholder, at his address as it appears on the records of the Corporation, with postage thereon prepaid, and such notice shall be deemed to be given at the time when the same shall be deposited in the United States mail. Unless written notice by mail is required by law, written notice may also be given by telegram, cable, telecopy, commercial delivery service, telex or similar means, addressed to such director or stockholder at his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 Oral notice or other in-hand delivery (in person or by telephone) shall be deemed given at the time it is actually given.</w:t>
      </w:r>
    </w:p>
    <w:p>
      <w:pPr>
        <w:spacing w:after="0" w:line="102" w:lineRule="exact"/>
        <w:rPr>
          <w:sz w:val="20"/>
          <w:szCs w:val="20"/>
          <w:color w:val="auto"/>
        </w:rPr>
      </w:pPr>
    </w:p>
    <w:p>
      <w:pPr>
        <w:ind w:right="2599" w:firstLine="858"/>
        <w:spacing w:after="0" w:line="274" w:lineRule="auto"/>
        <w:rPr>
          <w:sz w:val="20"/>
          <w:szCs w:val="20"/>
          <w:color w:val="auto"/>
        </w:rPr>
      </w:pPr>
      <w:r>
        <w:rPr>
          <w:rFonts w:ascii="Courier New" w:cs="Courier New" w:eastAsia="Courier New" w:hAnsi="Courier New"/>
          <w:sz w:val="15"/>
          <w:szCs w:val="15"/>
          <w:color w:val="auto"/>
        </w:rPr>
        <w:t>5.2 WAIVER OF NOTICE. Whenever notice is required to be given under the provisions of law, the Articles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78"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5"/>
          <w:szCs w:val="15"/>
          <w:color w:val="auto"/>
        </w:rPr>
        <w:t>OFFICERS AND AGENTS</w:t>
      </w:r>
    </w:p>
    <w:p>
      <w:pPr>
        <w:spacing w:after="0" w:line="186" w:lineRule="exact"/>
        <w:rPr>
          <w:sz w:val="20"/>
          <w:szCs w:val="20"/>
          <w:color w:val="auto"/>
        </w:rPr>
      </w:pPr>
    </w:p>
    <w:p>
      <w:pPr>
        <w:ind w:right="2599" w:firstLine="858"/>
        <w:spacing w:after="0" w:line="255" w:lineRule="auto"/>
        <w:rPr>
          <w:sz w:val="20"/>
          <w:szCs w:val="20"/>
          <w:color w:val="auto"/>
        </w:rPr>
      </w:pPr>
      <w:r>
        <w:rPr>
          <w:rFonts w:ascii="Courier New" w:cs="Courier New" w:eastAsia="Courier New" w:hAnsi="Courier New"/>
          <w:sz w:val="16"/>
          <w:szCs w:val="16"/>
          <w:color w:val="auto"/>
        </w:rPr>
        <w:t>6.1 ENUMERATION; QUALIFICATION. The officers of the Corporation shall be a Chairman of the Board of Directors, a President, a Treasurer, a Secretary and such other officers, if any, as the Board of Directors from time to time may in its discretion elect or appoint including without limitation one or more Vice Presidents. Each of any such officers must be natural persons. Any officer may be, but none need be, a director or stockholder. Any two or more offices may be held by the same person. Any officer may be required by the Board of Directors to secure the faithful performance of his duties to the Corporation by giving bond in such amount and with sureties or otherwise as the Board of Directors may determine.</w:t>
      </w:r>
    </w:p>
    <w:p>
      <w:pPr>
        <w:spacing w:after="0" w:line="200" w:lineRule="exact"/>
        <w:rPr>
          <w:sz w:val="20"/>
          <w:szCs w:val="20"/>
          <w:color w:val="auto"/>
        </w:rPr>
      </w:pPr>
    </w:p>
    <w:p>
      <w:pPr>
        <w:spacing w:after="0" w:line="2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C-8</w:t>
      </w:r>
    </w:p>
    <w:p>
      <w:pPr>
        <w:sectPr>
          <w:pgSz w:w="11900" w:h="16838" w:orient="portrait"/>
          <w:cols w:equalWidth="0" w:num="1">
            <w:col w:w="10219"/>
          </w:cols>
          <w:pgMar w:left="240" w:top="639" w:right="1440" w:bottom="1440" w:gutter="0" w:footer="0" w:header="0"/>
        </w:sectPr>
      </w:pPr>
    </w:p>
    <w:bookmarkStart w:id="53" w:name="page54"/>
    <w:bookmarkEnd w:id="53"/>
    <w:p>
      <w:pPr>
        <w:ind w:left="4"/>
        <w:spacing w:after="0"/>
        <w:rPr>
          <w:sz w:val="20"/>
          <w:szCs w:val="20"/>
          <w:color w:val="auto"/>
        </w:rPr>
      </w:pPr>
      <w:r>
        <w:rPr>
          <w:rFonts w:ascii="Courier New" w:cs="Courier New" w:eastAsia="Courier New" w:hAnsi="Courier New"/>
          <w:sz w:val="16"/>
          <w:szCs w:val="16"/>
          <w:color w:val="auto"/>
        </w:rPr>
        <w:t>6.2 POWERS AND DUTIES OF THE OFFICERS.</w:t>
      </w:r>
    </w:p>
    <w:p>
      <w:pPr>
        <w:spacing w:after="0" w:line="186" w:lineRule="exact"/>
        <w:rPr>
          <w:sz w:val="20"/>
          <w:szCs w:val="20"/>
          <w:color w:val="auto"/>
        </w:rPr>
      </w:pPr>
    </w:p>
    <w:p>
      <w:pPr>
        <w:ind w:left="-856" w:right="2599" w:firstLine="856"/>
        <w:spacing w:after="0" w:line="253"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CHAIRMAN OF THE BOARD. The Chairman of the Board shall preside at all meetings of the Board of Directors and stockholders of the Corporation, shall generally supervise the affairs of the Corporation and see that all orders and resolutions of the Board of Directors are carried into effect, and, together with the President, shall have general supervision and direction of the other officers, employees and agents of the Corporation, subject to the control of the Board of Directors. The Chairman shall be ex officio a member of all committees of the Board of Directors except the Audit Committee, and shall have particular responsibility for supervision of the Corporation's investor relations, financial and legal affairs, and shall have such other powers and perform such other duties and functions as may from time to time be assigned by the Board of Directors.</w:t>
      </w:r>
    </w:p>
    <w:p>
      <w:pPr>
        <w:spacing w:after="0" w:line="91" w:lineRule="exact"/>
        <w:rPr>
          <w:rFonts w:ascii="Courier New" w:cs="Courier New" w:eastAsia="Courier New" w:hAnsi="Courier New"/>
          <w:sz w:val="16"/>
          <w:szCs w:val="16"/>
          <w:color w:val="auto"/>
        </w:rPr>
      </w:pPr>
    </w:p>
    <w:p>
      <w:pPr>
        <w:ind w:left="-856" w:right="2599" w:firstLine="856"/>
        <w:spacing w:after="0" w:line="254"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The President shall be the Chief Executive Officer of the Corporation, responsible for the general day-to-day management of the business of the Corporation. The President shall preside at all meetings of the Board of Directors and stockholders of the Corporation in the absence of the Chairman of the Board, and, together with the Chairman of the Board, shall have general supervision and direction of the other officers, employees and agents of the Corporation, subject to the control of the Board of Directors. The President shall from time to time make such reports of the affairs and operations of the Corporation as the Board of Directors may direct and shall have such other powers and perform such other duties and functions as may from time to time be assigned by the Board of Directors.</w:t>
      </w:r>
    </w:p>
    <w:p>
      <w:pPr>
        <w:spacing w:after="0" w:line="90" w:lineRule="exact"/>
        <w:rPr>
          <w:rFonts w:ascii="Courier New" w:cs="Courier New" w:eastAsia="Courier New" w:hAnsi="Courier New"/>
          <w:sz w:val="16"/>
          <w:szCs w:val="16"/>
          <w:color w:val="auto"/>
        </w:rPr>
      </w:pPr>
    </w:p>
    <w:p>
      <w:pPr>
        <w:ind w:left="-856" w:right="2599" w:firstLine="856"/>
        <w:spacing w:after="0" w:line="293" w:lineRule="auto"/>
        <w:tabs>
          <w:tab w:leader="none" w:pos="38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VICE PRESIDENTS. Each Senior Vice President shall have such powers and perform such duties and functions as may from time to time be assigned by the Board of Directors. One Senior Vice President shall be designated by the Board of Directors to, in the event of the President's absence or disability, perform all the duties and exercise the powers of the President.</w:t>
      </w:r>
    </w:p>
    <w:p>
      <w:pPr>
        <w:spacing w:after="0" w:line="63" w:lineRule="exact"/>
        <w:rPr>
          <w:rFonts w:ascii="Courier New" w:cs="Courier New" w:eastAsia="Courier New" w:hAnsi="Courier New"/>
          <w:sz w:val="15"/>
          <w:szCs w:val="15"/>
          <w:color w:val="auto"/>
        </w:rPr>
      </w:pPr>
    </w:p>
    <w:p>
      <w:pPr>
        <w:ind w:left="-856" w:right="2879" w:firstLine="856"/>
        <w:spacing w:after="0" w:line="299"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VICE PRESIDENTS. Each Vice President shall have such powers and perform such duties and functions as may from time to time be assigned by the Board of Directors.</w:t>
      </w:r>
    </w:p>
    <w:p>
      <w:pPr>
        <w:spacing w:after="0" w:line="56" w:lineRule="exact"/>
        <w:rPr>
          <w:rFonts w:ascii="Courier New" w:cs="Courier New" w:eastAsia="Courier New" w:hAnsi="Courier New"/>
          <w:sz w:val="16"/>
          <w:szCs w:val="16"/>
          <w:color w:val="auto"/>
        </w:rPr>
      </w:pPr>
    </w:p>
    <w:p>
      <w:pPr>
        <w:ind w:left="-856" w:right="2599" w:firstLine="856"/>
        <w:spacing w:after="0" w:line="253"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SECRETARY. The Secretary shall attend all meetings of the Board of Directors and of the stockholders of the Corporation and shall keep the minutes thereof in appropriate books. The Secretary shall give or cause to be given notice of all meetings of stockholders, and special meetings of the Board of Directors to the extent otherwise provided in the By-Laws, and shall perform such other duties as may be incidental to the office of Secretary or as may from time to time be assigned by the Board of Directors. The Secretary shall keep in safe custody the seal of the Corporation and affix it to any instrument when authorized by the Board of Directors. The Secretary shall have custody of the books and records of the Corporation, except such books and records as may be in the custody of the Treasurer or another person authorized by the Board of Directors to have such custody.</w:t>
      </w:r>
    </w:p>
    <w:p>
      <w:pPr>
        <w:spacing w:after="0" w:line="91" w:lineRule="exact"/>
        <w:rPr>
          <w:rFonts w:ascii="Courier New" w:cs="Courier New" w:eastAsia="Courier New" w:hAnsi="Courier New"/>
          <w:sz w:val="16"/>
          <w:szCs w:val="16"/>
          <w:color w:val="auto"/>
        </w:rPr>
      </w:pPr>
    </w:p>
    <w:p>
      <w:pPr>
        <w:ind w:left="-856" w:right="2599" w:firstLine="856"/>
        <w:spacing w:after="0" w:line="252"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TREASURER. The Treasurer shall have the custody of the corporate funds and securities of the Corporation and shall be responsible for the keeping of full and accurate accounts of receipts and disbursements in books belonging to the Corporation, for the deposit of all moneys and other valuable effects in the name and to the credit of the corporation, and for the disbursement of the funds of the Corporation subject to the order of the Board of Directors. The Treasurer shall render to the Chairman of the Board, the President and the Board of Directors whenever they may so require an account of all his or her transactions as Treasurer and of the financial condition of the Corporation. The Treasurer shall, if required by the Board of Directors, give the Corporation a bond in such sum or sums and with such surety or sureties as shall be satisfactory to the Board of Directors, conditioned upon the faithful performance of his or her duties.</w:t>
      </w:r>
    </w:p>
    <w:p>
      <w:pPr>
        <w:spacing w:after="0" w:line="93" w:lineRule="exact"/>
        <w:rPr>
          <w:rFonts w:ascii="Courier New" w:cs="Courier New" w:eastAsia="Courier New" w:hAnsi="Courier New"/>
          <w:sz w:val="16"/>
          <w:szCs w:val="16"/>
          <w:color w:val="auto"/>
        </w:rPr>
      </w:pPr>
    </w:p>
    <w:p>
      <w:pPr>
        <w:ind w:left="-856" w:right="2679" w:firstLine="856"/>
        <w:spacing w:after="0" w:line="271"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ASSISTANT SECRETARIES. The Board of Directors may appoint one or more Assistant Secretaries who shall perform the duties and exercise the powers of the Secretary in the Secretary's absence or disability and have such other powers and perform such other duties and functions of the Secretary as may from time to time be assigned by the Board of Directors.</w:t>
      </w:r>
    </w:p>
    <w:p>
      <w:pPr>
        <w:spacing w:after="0" w:line="77" w:lineRule="exact"/>
        <w:rPr>
          <w:rFonts w:ascii="Courier New" w:cs="Courier New" w:eastAsia="Courier New" w:hAnsi="Courier New"/>
          <w:sz w:val="16"/>
          <w:szCs w:val="16"/>
          <w:color w:val="auto"/>
        </w:rPr>
      </w:pPr>
    </w:p>
    <w:p>
      <w:pPr>
        <w:ind w:left="-856" w:right="2679" w:firstLine="856"/>
        <w:spacing w:after="0" w:line="271"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ASSISTANT TREASURERS. The Board of Directors may appoint one or more Assistant Treasurers who shall perform the duties and exercise the powers of the Treasurer in the Treasurer's absence or disability and have such other powers and perform such other duties and functions of the Treasurer as may from time to time be assigned by the Board of Directors.</w:t>
      </w:r>
    </w:p>
    <w:p>
      <w:pPr>
        <w:spacing w:after="0" w:line="200" w:lineRule="exact"/>
        <w:rPr>
          <w:sz w:val="20"/>
          <w:szCs w:val="20"/>
          <w:color w:val="auto"/>
        </w:rPr>
      </w:pPr>
    </w:p>
    <w:p>
      <w:pPr>
        <w:spacing w:after="0" w:line="244" w:lineRule="exact"/>
        <w:rPr>
          <w:sz w:val="20"/>
          <w:szCs w:val="20"/>
          <w:color w:val="auto"/>
        </w:rPr>
      </w:pPr>
    </w:p>
    <w:p>
      <w:pPr>
        <w:ind w:left="2764"/>
        <w:spacing w:after="0"/>
        <w:rPr>
          <w:sz w:val="20"/>
          <w:szCs w:val="20"/>
          <w:color w:val="auto"/>
        </w:rPr>
      </w:pPr>
      <w:r>
        <w:rPr>
          <w:rFonts w:ascii="Courier New" w:cs="Courier New" w:eastAsia="Courier New" w:hAnsi="Courier New"/>
          <w:sz w:val="16"/>
          <w:szCs w:val="16"/>
          <w:color w:val="auto"/>
        </w:rPr>
        <w:t>C-9</w:t>
      </w:r>
    </w:p>
    <w:p>
      <w:pPr>
        <w:sectPr>
          <w:pgSz w:w="11900" w:h="16838" w:orient="portrait"/>
          <w:cols w:equalWidth="0" w:num="1">
            <w:col w:w="9363"/>
          </w:cols>
          <w:pgMar w:left="1096" w:top="639" w:right="1440" w:bottom="1147" w:gutter="0" w:footer="0" w:header="0"/>
        </w:sectPr>
      </w:pPr>
    </w:p>
    <w:bookmarkStart w:id="54" w:name="page55"/>
    <w:bookmarkEnd w:id="54"/>
    <w:p>
      <w:pPr>
        <w:ind w:right="2679" w:firstLine="856"/>
        <w:spacing w:after="0" w:line="271" w:lineRule="auto"/>
        <w:tabs>
          <w:tab w:leader="none" w:pos="12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SUBORDINATE OFFICERS. The Corporation may have such subordinate officers as the Board of Directors may from time to time deem desirable. Each such officer shall hold office for such period and perform such duties as the Board of Directors, the Chairman of the Board or an officer designated pursuant to this Section 6 may prescribe.</w:t>
      </w:r>
    </w:p>
    <w:p>
      <w:pPr>
        <w:spacing w:after="0" w:line="77" w:lineRule="exact"/>
        <w:rPr>
          <w:rFonts w:ascii="Courier New" w:cs="Courier New" w:eastAsia="Courier New" w:hAnsi="Courier New"/>
          <w:sz w:val="16"/>
          <w:szCs w:val="16"/>
          <w:color w:val="auto"/>
        </w:rPr>
      </w:pPr>
    </w:p>
    <w:p>
      <w:pPr>
        <w:ind w:right="2599" w:firstLine="856"/>
        <w:spacing w:after="0" w:line="255" w:lineRule="auto"/>
        <w:tabs>
          <w:tab w:leader="none" w:pos="12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DELEGATION OF DUTIES. In case of the absence of any officer of the Corporation, or for any other reason that the Board of Directors may deem sufficient, the Chairman of the Board, the President or the Board of Directors may confer for the time-being the powers or duties, or any of them, of such officer upon any other officer. In the absence of an officer, that officer's duties shall be performed and his or her authority may be exercised by the next most senior officer, with seniority expressed by the order of appearance in this Section 6.2, and, within a category, by seniority in a particular position, with the right reserved to the Board of Directors to make such designation or supersede any designation so made.</w:t>
      </w:r>
    </w:p>
    <w:p>
      <w:pPr>
        <w:spacing w:after="0" w:line="92" w:lineRule="exact"/>
        <w:rPr>
          <w:sz w:val="20"/>
          <w:szCs w:val="20"/>
          <w:color w:val="auto"/>
        </w:rPr>
      </w:pPr>
    </w:p>
    <w:p>
      <w:pPr>
        <w:ind w:right="2679" w:firstLine="858"/>
        <w:spacing w:after="0" w:line="261" w:lineRule="auto"/>
        <w:rPr>
          <w:sz w:val="20"/>
          <w:szCs w:val="20"/>
          <w:color w:val="auto"/>
        </w:rPr>
      </w:pPr>
      <w:r>
        <w:rPr>
          <w:rFonts w:ascii="Courier New" w:cs="Courier New" w:eastAsia="Courier New" w:hAnsi="Courier New"/>
          <w:sz w:val="16"/>
          <w:szCs w:val="16"/>
          <w:color w:val="auto"/>
        </w:rPr>
        <w:t>6.3 ELECTION. The Board of Directors at its first meeting after each annual meeting of stockholders, or special meeting in place of an annual meeting, shall choose a Chairman, a President, a Secretary and a Treasurer. Other officers may be appointed by the Board of Directors at such meeting, at any other meeting or by written consent. At any time or from time to time, the directors may delegate to any officer their power to elect or appoint any other officer or any agents.</w:t>
      </w:r>
    </w:p>
    <w:p>
      <w:pPr>
        <w:spacing w:after="0" w:line="87" w:lineRule="exact"/>
        <w:rPr>
          <w:sz w:val="20"/>
          <w:szCs w:val="20"/>
          <w:color w:val="auto"/>
        </w:rPr>
      </w:pPr>
    </w:p>
    <w:p>
      <w:pPr>
        <w:ind w:right="2599" w:firstLine="858"/>
        <w:spacing w:after="0" w:line="258" w:lineRule="auto"/>
        <w:rPr>
          <w:sz w:val="20"/>
          <w:szCs w:val="20"/>
          <w:color w:val="auto"/>
        </w:rPr>
      </w:pPr>
      <w:r>
        <w:rPr>
          <w:rFonts w:ascii="Courier New" w:cs="Courier New" w:eastAsia="Courier New" w:hAnsi="Courier New"/>
          <w:sz w:val="16"/>
          <w:szCs w:val="16"/>
          <w:color w:val="auto"/>
        </w:rPr>
        <w:t>6.4 TENURE. Each officer shall hold office until the first meeting of the Board of Directors following the next annual meeting of the stockholders and until his successor is elected and qualified unless a shorter period shall have been specified in terms of his election or appointment, or in each case until he sooner dies, resigns, is removed or becomes disqualified. Each agent of the Corporation shall retain his authority at the pleasure of the directors, or the officer by whom he was appointed or by the officer who then holds agent appointive power.</w:t>
      </w:r>
    </w:p>
    <w:p>
      <w:pPr>
        <w:spacing w:after="0" w:line="92" w:lineRule="exact"/>
        <w:rPr>
          <w:sz w:val="20"/>
          <w:szCs w:val="20"/>
          <w:color w:val="auto"/>
        </w:rPr>
      </w:pPr>
    </w:p>
    <w:p>
      <w:pPr>
        <w:ind w:right="2599" w:firstLine="858"/>
        <w:spacing w:after="0" w:line="250" w:lineRule="auto"/>
        <w:rPr>
          <w:sz w:val="20"/>
          <w:szCs w:val="20"/>
          <w:color w:val="auto"/>
        </w:rPr>
      </w:pPr>
      <w:r>
        <w:rPr>
          <w:rFonts w:ascii="Courier New" w:cs="Courier New" w:eastAsia="Courier New" w:hAnsi="Courier New"/>
          <w:sz w:val="16"/>
          <w:szCs w:val="16"/>
          <w:color w:val="auto"/>
        </w:rPr>
        <w:t>6.5 RESIGNATION AND REMOVAL. Any officer may resign at any time by delivering his resignation in writing to the President or the Secretary or to 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(except where a right to receive compensation shall be expressly provided in a duly authorized written agreement with the Corporation) no officer removed shall have any right to any compensation as such officer for any period following his resignation or removal,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02" w:lineRule="exact"/>
        <w:rPr>
          <w:sz w:val="20"/>
          <w:szCs w:val="20"/>
          <w:color w:val="auto"/>
        </w:rPr>
      </w:pPr>
    </w:p>
    <w:p>
      <w:pPr>
        <w:ind w:right="2679" w:firstLine="858"/>
        <w:spacing w:after="0" w:line="256" w:lineRule="auto"/>
        <w:rPr>
          <w:sz w:val="20"/>
          <w:szCs w:val="20"/>
          <w:color w:val="auto"/>
        </w:rPr>
      </w:pPr>
      <w:r>
        <w:rPr>
          <w:rFonts w:ascii="Courier New" w:cs="Courier New" w:eastAsia="Courier New" w:hAnsi="Courier New"/>
          <w:sz w:val="16"/>
          <w:szCs w:val="16"/>
          <w:color w:val="auto"/>
        </w:rPr>
        <w:t>6.6 VACANCIES. If the office of the Chairman, the President, the Treasurer or the Secretary becomes vacant, the directors may elect a successor by vote of a majority of the directors then in office. If the office of any other officer becomes vacant, any person or body empowered to elect or appoint that office may choose a successor. Each such successor shall hold office for the unexpired term of his predecessor, and in the case of the Chairman, the President, the Treasurer and the Secretary until his successor is chosen and qualified, or in each case until he sooner dies, resigns, is removed or becomes disqualified.</w:t>
      </w:r>
    </w:p>
    <w:p>
      <w:pPr>
        <w:spacing w:after="0" w:line="9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5"/>
          <w:szCs w:val="15"/>
          <w:color w:val="auto"/>
        </w:rPr>
        <w:t>CAPITAL STOCK</w:t>
      </w:r>
    </w:p>
    <w:p>
      <w:pPr>
        <w:spacing w:after="0" w:line="186" w:lineRule="exact"/>
        <w:rPr>
          <w:sz w:val="20"/>
          <w:szCs w:val="20"/>
          <w:color w:val="auto"/>
        </w:rPr>
      </w:pPr>
    </w:p>
    <w:p>
      <w:pPr>
        <w:ind w:right="2599" w:firstLine="858"/>
        <w:spacing w:after="0" w:line="252" w:lineRule="auto"/>
        <w:rPr>
          <w:sz w:val="20"/>
          <w:szCs w:val="20"/>
          <w:color w:val="auto"/>
        </w:rPr>
      </w:pPr>
      <w:r>
        <w:rPr>
          <w:rFonts w:ascii="Courier New" w:cs="Courier New" w:eastAsia="Courier New" w:hAnsi="Courier New"/>
          <w:sz w:val="16"/>
          <w:szCs w:val="16"/>
          <w:color w:val="auto"/>
        </w:rPr>
        <w:t>7.1 STOCK CERTIFICATES. Each stockholder shall be entitled to a certificate stating the number and the class and the designation of the series, if any, of the shares held by him, in such form as shall, in conformity to law, the Articles of Incorporation and the By-Laws, be prescribed from time to time by the Board of Directors. Such certificate shall be signed by the President or a Vice-President and (i) the Treasurer or an Assistant Treasurer or (ii)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200" w:lineRule="exact"/>
        <w:rPr>
          <w:sz w:val="20"/>
          <w:szCs w:val="20"/>
          <w:color w:val="auto"/>
        </w:rPr>
      </w:pPr>
    </w:p>
    <w:p>
      <w:pPr>
        <w:spacing w:after="0" w:line="26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C-10</w:t>
      </w:r>
    </w:p>
    <w:p>
      <w:pPr>
        <w:sectPr>
          <w:pgSz w:w="11900" w:h="16838" w:orient="portrait"/>
          <w:cols w:equalWidth="0" w:num="1">
            <w:col w:w="10219"/>
          </w:cols>
          <w:pgMar w:left="240" w:top="639" w:right="1440" w:bottom="1147" w:gutter="0" w:footer="0" w:header="0"/>
        </w:sectPr>
      </w:pPr>
    </w:p>
    <w:bookmarkStart w:id="55" w:name="page56"/>
    <w:bookmarkEnd w:id="55"/>
    <w:p>
      <w:pPr>
        <w:ind w:right="2679" w:firstLine="858"/>
        <w:spacing w:after="0" w:line="271" w:lineRule="auto"/>
        <w:rPr>
          <w:sz w:val="20"/>
          <w:szCs w:val="20"/>
          <w:color w:val="auto"/>
        </w:rPr>
      </w:pPr>
      <w:r>
        <w:rPr>
          <w:rFonts w:ascii="Courier New" w:cs="Courier New" w:eastAsia="Courier New" w:hAnsi="Courier New"/>
          <w:sz w:val="15"/>
          <w:szCs w:val="15"/>
          <w:color w:val="auto"/>
        </w:rPr>
        <w:t>7.2 LOST CERTIFICATES.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82"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8.</w:t>
      </w:r>
      <w:r>
        <w:rPr>
          <w:sz w:val="20"/>
          <w:szCs w:val="20"/>
          <w:color w:val="auto"/>
        </w:rPr>
        <w:tab/>
      </w:r>
      <w:r>
        <w:rPr>
          <w:rFonts w:ascii="Courier New" w:cs="Courier New" w:eastAsia="Courier New" w:hAnsi="Courier New"/>
          <w:sz w:val="15"/>
          <w:szCs w:val="15"/>
          <w:color w:val="auto"/>
        </w:rPr>
        <w:t>TRANSFER OF SHARES OF STOCK</w:t>
      </w:r>
    </w:p>
    <w:p>
      <w:pPr>
        <w:spacing w:after="0" w:line="186" w:lineRule="exact"/>
        <w:rPr>
          <w:sz w:val="20"/>
          <w:szCs w:val="20"/>
          <w:color w:val="auto"/>
        </w:rPr>
      </w:pPr>
    </w:p>
    <w:p>
      <w:pPr>
        <w:ind w:right="2599" w:firstLine="858"/>
        <w:spacing w:after="0" w:line="250" w:lineRule="auto"/>
        <w:rPr>
          <w:sz w:val="20"/>
          <w:szCs w:val="20"/>
          <w:color w:val="auto"/>
        </w:rPr>
      </w:pPr>
      <w:r>
        <w:rPr>
          <w:rFonts w:ascii="Courier New" w:cs="Courier New" w:eastAsia="Courier New" w:hAnsi="Courier New"/>
          <w:sz w:val="16"/>
          <w:szCs w:val="16"/>
          <w:color w:val="auto"/>
        </w:rPr>
        <w:t>8.1 TRANSFER ON BOOKS. Subject to any restrictions with respect to the transfer of shares of stock,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Articles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102" w:lineRule="exact"/>
        <w:rPr>
          <w:sz w:val="20"/>
          <w:szCs w:val="20"/>
          <w:color w:val="auto"/>
        </w:rPr>
      </w:pPr>
    </w:p>
    <w:p>
      <w:pPr>
        <w:ind w:right="2779" w:firstLine="858"/>
        <w:spacing w:after="0" w:line="355" w:lineRule="auto"/>
        <w:rPr>
          <w:sz w:val="20"/>
          <w:szCs w:val="20"/>
          <w:color w:val="auto"/>
        </w:rPr>
      </w:pPr>
      <w:r>
        <w:rPr>
          <w:rFonts w:ascii="Courier New" w:cs="Courier New" w:eastAsia="Courier New" w:hAnsi="Courier New"/>
          <w:sz w:val="16"/>
          <w:szCs w:val="16"/>
          <w:color w:val="auto"/>
        </w:rPr>
        <w:t>It shall be the duty of each stockholder to notify the Corporation of his post office address.</w:t>
      </w:r>
    </w:p>
    <w:p>
      <w:pPr>
        <w:spacing w:after="0" w:line="1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9.</w:t>
      </w:r>
      <w:r>
        <w:rPr>
          <w:sz w:val="20"/>
          <w:szCs w:val="20"/>
          <w:color w:val="auto"/>
        </w:rPr>
        <w:tab/>
      </w:r>
      <w:r>
        <w:rPr>
          <w:rFonts w:ascii="Courier New" w:cs="Courier New" w:eastAsia="Courier New" w:hAnsi="Courier New"/>
          <w:sz w:val="15"/>
          <w:szCs w:val="15"/>
          <w:color w:val="auto"/>
        </w:rPr>
        <w:t>GENERAL PROVISIONS</w:t>
      </w:r>
    </w:p>
    <w:p>
      <w:pPr>
        <w:spacing w:after="0" w:line="186" w:lineRule="exact"/>
        <w:rPr>
          <w:sz w:val="20"/>
          <w:szCs w:val="20"/>
          <w:color w:val="auto"/>
        </w:rPr>
      </w:pPr>
    </w:p>
    <w:p>
      <w:pPr>
        <w:ind w:right="2599" w:firstLine="858"/>
        <w:spacing w:after="0" w:line="270" w:lineRule="auto"/>
        <w:rPr>
          <w:sz w:val="20"/>
          <w:szCs w:val="20"/>
          <w:color w:val="auto"/>
        </w:rPr>
      </w:pPr>
      <w:r>
        <w:rPr>
          <w:rFonts w:ascii="Courier New" w:cs="Courier New" w:eastAsia="Courier New" w:hAnsi="Courier New"/>
          <w:sz w:val="15"/>
          <w:szCs w:val="15"/>
          <w:color w:val="auto"/>
        </w:rPr>
        <w:t>9.1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A determination of stockholders of record entitled to notice of or to vote at a meeting of stockholders shall apply to any adjournment of the meeting; provided, however, that the Board of Directors may fix a new record date for the adjourned meeting. If no record date is fixed,</w:t>
      </w:r>
    </w:p>
    <w:p>
      <w:pPr>
        <w:spacing w:after="0" w:line="83" w:lineRule="exact"/>
        <w:rPr>
          <w:sz w:val="20"/>
          <w:szCs w:val="20"/>
          <w:color w:val="auto"/>
        </w:rPr>
      </w:pPr>
    </w:p>
    <w:p>
      <w:pPr>
        <w:ind w:right="2679" w:firstLine="1142"/>
        <w:spacing w:after="0" w:line="271" w:lineRule="auto"/>
        <w:tabs>
          <w:tab w:leader="none" w:pos="1526"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77" w:lineRule="exact"/>
        <w:rPr>
          <w:rFonts w:ascii="Courier New" w:cs="Courier New" w:eastAsia="Courier New" w:hAnsi="Courier New"/>
          <w:sz w:val="16"/>
          <w:szCs w:val="16"/>
          <w:color w:val="auto"/>
        </w:rPr>
      </w:pPr>
    </w:p>
    <w:p>
      <w:pPr>
        <w:ind w:right="2599" w:firstLine="1142"/>
        <w:spacing w:after="0" w:line="280" w:lineRule="auto"/>
        <w:tabs>
          <w:tab w:leader="none" w:pos="1526"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determining stockholders entitled to express consent to corporate action in writing without a meeting, when no prior action by the Board of Directors is necessary, shall be the day on which the first written consent is expressed; and</w:t>
      </w:r>
    </w:p>
    <w:p>
      <w:pPr>
        <w:spacing w:after="0" w:line="71" w:lineRule="exact"/>
        <w:rPr>
          <w:rFonts w:ascii="Courier New" w:cs="Courier New" w:eastAsia="Courier New" w:hAnsi="Courier New"/>
          <w:sz w:val="16"/>
          <w:szCs w:val="16"/>
          <w:color w:val="auto"/>
        </w:rPr>
      </w:pPr>
    </w:p>
    <w:p>
      <w:pPr>
        <w:jc w:val="both"/>
        <w:ind w:right="3159" w:firstLine="1142"/>
        <w:spacing w:after="0" w:line="299" w:lineRule="auto"/>
        <w:tabs>
          <w:tab w:leader="none" w:pos="1526"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determining stockholders for any other purpose shall be at the close of business on the day on which the Board of Directors adopts the resolution relating to such purpose.</w:t>
      </w:r>
    </w:p>
    <w:p>
      <w:pPr>
        <w:spacing w:after="0" w:line="56" w:lineRule="exact"/>
        <w:rPr>
          <w:sz w:val="20"/>
          <w:szCs w:val="20"/>
          <w:color w:val="auto"/>
        </w:rPr>
      </w:pPr>
    </w:p>
    <w:p>
      <w:pPr>
        <w:ind w:right="2599" w:firstLine="858"/>
        <w:spacing w:after="0" w:line="271" w:lineRule="auto"/>
        <w:rPr>
          <w:sz w:val="20"/>
          <w:szCs w:val="20"/>
          <w:color w:val="auto"/>
        </w:rPr>
      </w:pPr>
      <w:r>
        <w:rPr>
          <w:rFonts w:ascii="Courier New" w:cs="Courier New" w:eastAsia="Courier New" w:hAnsi="Courier New"/>
          <w:sz w:val="16"/>
          <w:szCs w:val="16"/>
          <w:color w:val="auto"/>
        </w:rPr>
        <w:t>9.2 DIVIDENDS. Dividends upon the capital stock of the Corporation may be declared by the Board of Directors at any regular or special meeting or by written consent, pursuant to law. Dividends may be paid in cash, in property, or in shares of the capital stock, subject to the provisions of the Articles of Incorporation.</w:t>
      </w:r>
    </w:p>
    <w:p>
      <w:pPr>
        <w:spacing w:after="0" w:line="77"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6"/>
          <w:szCs w:val="16"/>
          <w:color w:val="auto"/>
        </w:rPr>
        <w:t>9.3 PAYMENT OF DIVIDENDS.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w:t>
      </w:r>
    </w:p>
    <w:p>
      <w:pPr>
        <w:spacing w:after="0" w:line="200" w:lineRule="exact"/>
        <w:rPr>
          <w:sz w:val="20"/>
          <w:szCs w:val="20"/>
          <w:color w:val="auto"/>
        </w:rPr>
      </w:pPr>
    </w:p>
    <w:p>
      <w:pPr>
        <w:spacing w:after="0" w:line="24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C-11</w:t>
      </w:r>
    </w:p>
    <w:p>
      <w:pPr>
        <w:sectPr>
          <w:pgSz w:w="11900" w:h="16838" w:orient="portrait"/>
          <w:cols w:equalWidth="0" w:num="1">
            <w:col w:w="10219"/>
          </w:cols>
          <w:pgMar w:left="240" w:top="639" w:right="1440" w:bottom="964" w:gutter="0" w:footer="0" w:header="0"/>
        </w:sectPr>
      </w:pPr>
    </w:p>
    <w:bookmarkStart w:id="56" w:name="page57"/>
    <w:bookmarkEnd w:id="56"/>
    <w:p>
      <w:pPr>
        <w:ind w:right="2679"/>
        <w:spacing w:after="0" w:line="280" w:lineRule="auto"/>
        <w:rPr>
          <w:sz w:val="20"/>
          <w:szCs w:val="20"/>
          <w:color w:val="auto"/>
        </w:rPr>
      </w:pPr>
      <w:r>
        <w:rPr>
          <w:rFonts w:ascii="Courier New" w:cs="Courier New" w:eastAsia="Courier New" w:hAnsi="Courier New"/>
          <w:sz w:val="16"/>
          <w:szCs w:val="16"/>
          <w:color w:val="auto"/>
        </w:rPr>
        <w:t>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71" w:lineRule="exact"/>
        <w:rPr>
          <w:sz w:val="20"/>
          <w:szCs w:val="20"/>
          <w:color w:val="auto"/>
        </w:rPr>
      </w:pPr>
    </w:p>
    <w:p>
      <w:pPr>
        <w:ind w:right="2679" w:firstLine="858"/>
        <w:spacing w:after="0" w:line="299" w:lineRule="auto"/>
        <w:rPr>
          <w:sz w:val="20"/>
          <w:szCs w:val="20"/>
          <w:color w:val="auto"/>
        </w:rPr>
      </w:pPr>
      <w:r>
        <w:rPr>
          <w:rFonts w:ascii="Courier New" w:cs="Courier New" w:eastAsia="Courier New" w:hAnsi="Courier New"/>
          <w:sz w:val="16"/>
          <w:szCs w:val="16"/>
          <w:color w:val="auto"/>
        </w:rPr>
        <w:t>9.4 CHECKS. All checks or demands for money and notes of the Corporation shall be signed by such officer or officers or such other person or persons as the Board of Directors may from time to time designate.</w:t>
      </w:r>
    </w:p>
    <w:p>
      <w:pPr>
        <w:spacing w:after="0" w:line="56" w:lineRule="exact"/>
        <w:rPr>
          <w:sz w:val="20"/>
          <w:szCs w:val="20"/>
          <w:color w:val="auto"/>
        </w:rPr>
      </w:pPr>
    </w:p>
    <w:p>
      <w:pPr>
        <w:ind w:right="2599" w:firstLine="858"/>
        <w:spacing w:after="0" w:line="299" w:lineRule="auto"/>
        <w:rPr>
          <w:sz w:val="20"/>
          <w:szCs w:val="20"/>
          <w:color w:val="auto"/>
        </w:rPr>
      </w:pPr>
      <w:r>
        <w:rPr>
          <w:rFonts w:ascii="Courier New" w:cs="Courier New" w:eastAsia="Courier New" w:hAnsi="Courier New"/>
          <w:sz w:val="16"/>
          <w:szCs w:val="16"/>
          <w:color w:val="auto"/>
        </w:rPr>
        <w:t>9.5 FISCAL YEAR. The fiscal year of the Corporation shall end the Saturday closest to the 31st of January unless otherwise determined by the Board of Directors.</w:t>
      </w:r>
    </w:p>
    <w:p>
      <w:pPr>
        <w:spacing w:after="0" w:line="56" w:lineRule="exact"/>
        <w:rPr>
          <w:sz w:val="20"/>
          <w:szCs w:val="20"/>
          <w:color w:val="auto"/>
        </w:rPr>
      </w:pPr>
    </w:p>
    <w:p>
      <w:pPr>
        <w:ind w:right="2599"/>
        <w:spacing w:after="0" w:line="271" w:lineRule="auto"/>
        <w:rPr>
          <w:sz w:val="20"/>
          <w:szCs w:val="20"/>
          <w:color w:val="auto"/>
        </w:rPr>
      </w:pPr>
      <w:r>
        <w:rPr>
          <w:rFonts w:ascii="Courier New" w:cs="Courier New" w:eastAsia="Courier New" w:hAnsi="Courier New"/>
          <w:sz w:val="16"/>
          <w:szCs w:val="16"/>
          <w:color w:val="auto"/>
        </w:rPr>
        <w:t>9.6 SEAL. The Board of Directors may, by resolution, adopt a corporate seal. The corporate seal shall have inscribed thereon the name of the Corporation, the year of its organization and the word ["Nevada."] The seal may be used by causing it or a facsimile thereof to be impressed or affixed or reproduced or otherwise.</w:t>
      </w:r>
    </w:p>
    <w:p>
      <w:pPr>
        <w:spacing w:after="0" w:line="7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seal may be altered from time to time by the Board of Directors.</w:t>
      </w:r>
    </w:p>
    <w:p>
      <w:pPr>
        <w:spacing w:after="0" w:line="18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10.</w:t>
      </w:r>
      <w:r>
        <w:rPr>
          <w:sz w:val="20"/>
          <w:szCs w:val="20"/>
          <w:color w:val="auto"/>
        </w:rPr>
        <w:tab/>
      </w:r>
      <w:r>
        <w:rPr>
          <w:rFonts w:ascii="Courier New" w:cs="Courier New" w:eastAsia="Courier New" w:hAnsi="Courier New"/>
          <w:sz w:val="15"/>
          <w:szCs w:val="15"/>
          <w:color w:val="auto"/>
        </w:rPr>
        <w:t>INDEMNIFICATION</w:t>
      </w:r>
    </w:p>
    <w:p>
      <w:pPr>
        <w:spacing w:after="0" w:line="186" w:lineRule="exact"/>
        <w:rPr>
          <w:sz w:val="20"/>
          <w:szCs w:val="20"/>
          <w:color w:val="auto"/>
        </w:rPr>
      </w:pPr>
    </w:p>
    <w:p>
      <w:pPr>
        <w:ind w:right="2599" w:firstLine="858"/>
        <w:spacing w:after="0" w:line="251" w:lineRule="auto"/>
        <w:rPr>
          <w:sz w:val="20"/>
          <w:szCs w:val="20"/>
          <w:color w:val="auto"/>
        </w:rPr>
      </w:pPr>
      <w:r>
        <w:rPr>
          <w:rFonts w:ascii="Courier New" w:cs="Courier New" w:eastAsia="Courier New" w:hAnsi="Courier New"/>
          <w:sz w:val="16"/>
          <w:szCs w:val="16"/>
          <w:color w:val="auto"/>
        </w:rPr>
        <w:t>10.1 It being the intent of the Corporation to provide maximum protection available under the law to its officers and directors, the Corporation shall indemnify its officers and directors to the full extent the Corporation is permitted or required to do so by the Nevada Revised Statutes as the same exists or hereafter may be amended. Such indemnification shall include payment by the Corporation, in advance of the final disposition of a civil or criminal action, suit or proceedings, of expenses incurred by a director or officer in defending any such action, suit or proceeding upon receipt of any undertaking by or on behalf of such director or officer to repay such payment if it shall ultimately be determined that he is not entitled to be indemnified by the Corporation. The Corporation may accept any such undertaking without reference to the financial ability of the person to make such repayment. As used in this paragraph, the terms "director" and "officer" include their respective heirs, executors, and administrators.</w:t>
      </w:r>
    </w:p>
    <w:p>
      <w:pPr>
        <w:spacing w:after="0" w:line="9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11.</w:t>
      </w:r>
      <w:r>
        <w:rPr>
          <w:sz w:val="20"/>
          <w:szCs w:val="20"/>
          <w:color w:val="auto"/>
        </w:rPr>
        <w:tab/>
      </w:r>
      <w:r>
        <w:rPr>
          <w:rFonts w:ascii="Courier New" w:cs="Courier New" w:eastAsia="Courier New" w:hAnsi="Courier New"/>
          <w:sz w:val="15"/>
          <w:szCs w:val="15"/>
          <w:color w:val="auto"/>
        </w:rPr>
        <w:t>AMENDMENTS</w:t>
      </w:r>
    </w:p>
    <w:p>
      <w:pPr>
        <w:spacing w:after="0" w:line="186" w:lineRule="exact"/>
        <w:rPr>
          <w:sz w:val="20"/>
          <w:szCs w:val="20"/>
          <w:color w:val="auto"/>
        </w:rPr>
      </w:pPr>
    </w:p>
    <w:p>
      <w:pPr>
        <w:ind w:right="2679" w:firstLine="858"/>
        <w:spacing w:after="0" w:line="258" w:lineRule="auto"/>
        <w:rPr>
          <w:sz w:val="20"/>
          <w:szCs w:val="20"/>
          <w:color w:val="auto"/>
        </w:rPr>
      </w:pPr>
      <w:r>
        <w:rPr>
          <w:rFonts w:ascii="Courier New" w:cs="Courier New" w:eastAsia="Courier New" w:hAnsi="Courier New"/>
          <w:sz w:val="16"/>
          <w:szCs w:val="16"/>
          <w:color w:val="auto"/>
        </w:rPr>
        <w:t>11.1 These By-Laws may be altered, amended or repealed or new By-Laws may be adopted by the stockholders or by the Board of Directors when such power is conferred upon the Board of Directors by the Articles of Incorporation, at any regular meeting of the stockholders or of the Board of Directors or at any special meeting of the stockholders or of the Board of Directors. If the power to adopt, amend or repeal By-Laws is conferred upon the Board of Directors by the Articles of Incorporation, it shall not divest or limit the power of the stockholders to adopt, amend or repeal By-Laws.</w:t>
      </w:r>
    </w:p>
    <w:p>
      <w:pPr>
        <w:spacing w:after="0" w:line="200" w:lineRule="exact"/>
        <w:rPr>
          <w:sz w:val="20"/>
          <w:szCs w:val="20"/>
          <w:color w:val="auto"/>
        </w:rPr>
      </w:pPr>
    </w:p>
    <w:p>
      <w:pPr>
        <w:spacing w:after="0" w:line="2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C-12</w:t>
      </w:r>
    </w:p>
    <w:p>
      <w:pPr>
        <w:sectPr>
          <w:pgSz w:w="11900" w:h="16838" w:orient="portrait"/>
          <w:cols w:equalWidth="0" w:num="1">
            <w:col w:w="10219"/>
          </w:cols>
          <w:pgMar w:left="240" w:top="639" w:right="1440" w:bottom="1440" w:gutter="0" w:footer="0" w:header="0"/>
        </w:sectPr>
      </w:pPr>
    </w:p>
    <w:bookmarkStart w:id="57" w:name="page58"/>
    <w:bookmarkEnd w:id="57"/>
    <w:p>
      <w:pPr>
        <w:ind w:left="2"/>
        <w:spacing w:after="0"/>
        <w:rPr>
          <w:sz w:val="20"/>
          <w:szCs w:val="20"/>
          <w:color w:val="auto"/>
        </w:rPr>
      </w:pPr>
      <w:r>
        <w:rPr>
          <w:rFonts w:ascii="Courier New" w:cs="Courier New" w:eastAsia="Courier New" w:hAnsi="Courier New"/>
          <w:sz w:val="16"/>
          <w:szCs w:val="16"/>
          <w:color w:val="auto"/>
        </w:rPr>
        <w:t>DETACH HERE</w:t>
      </w:r>
    </w:p>
    <w:p>
      <w:pPr>
        <w:spacing w:after="0" w:line="186"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PROXY</w:t>
      </w:r>
    </w:p>
    <w:p>
      <w:pPr>
        <w:spacing w:after="0" w:line="186" w:lineRule="exact"/>
        <w:rPr>
          <w:sz w:val="20"/>
          <w:szCs w:val="20"/>
          <w:color w:val="auto"/>
        </w:rPr>
      </w:pPr>
    </w:p>
    <w:p>
      <w:pPr>
        <w:ind w:left="3242"/>
        <w:spacing w:after="0"/>
        <w:rPr>
          <w:sz w:val="20"/>
          <w:szCs w:val="20"/>
          <w:color w:val="auto"/>
        </w:rPr>
      </w:pPr>
      <w:r>
        <w:rPr>
          <w:rFonts w:ascii="Courier New" w:cs="Courier New" w:eastAsia="Courier New" w:hAnsi="Courier New"/>
          <w:sz w:val="16"/>
          <w:szCs w:val="16"/>
          <w:color w:val="auto"/>
        </w:rPr>
        <w:t>DESIGNS, INC.</w:t>
      </w:r>
    </w:p>
    <w:p>
      <w:pPr>
        <w:spacing w:after="0" w:line="186"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555 Turnpike Street, Canton, Massachusetts 02021</w:t>
      </w:r>
    </w:p>
    <w:p>
      <w:pPr>
        <w:spacing w:after="0" w:line="186" w:lineRule="exact"/>
        <w:rPr>
          <w:sz w:val="20"/>
          <w:szCs w:val="20"/>
          <w:color w:val="auto"/>
        </w:rPr>
      </w:pPr>
    </w:p>
    <w:p>
      <w:pPr>
        <w:jc w:val="center"/>
        <w:ind w:right="2877"/>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30" w:lineRule="exact"/>
        <w:rPr>
          <w:sz w:val="20"/>
          <w:szCs w:val="20"/>
          <w:color w:val="auto"/>
        </w:rPr>
      </w:pPr>
    </w:p>
    <w:p>
      <w:pPr>
        <w:jc w:val="center"/>
        <w:ind w:right="2877"/>
        <w:spacing w:after="0"/>
        <w:rPr>
          <w:sz w:val="20"/>
          <w:szCs w:val="20"/>
          <w:color w:val="auto"/>
        </w:rPr>
      </w:pPr>
      <w:r>
        <w:rPr>
          <w:rFonts w:ascii="Courier New" w:cs="Courier New" w:eastAsia="Courier New" w:hAnsi="Courier New"/>
          <w:sz w:val="16"/>
          <w:szCs w:val="16"/>
          <w:color w:val="auto"/>
        </w:rPr>
        <w:t>For The Annual Meeting Of Stockholders To Be Held On August 8, 2002</w:t>
      </w:r>
    </w:p>
    <w:p>
      <w:pPr>
        <w:spacing w:after="0" w:line="158" w:lineRule="exact"/>
        <w:rPr>
          <w:sz w:val="20"/>
          <w:szCs w:val="20"/>
          <w:color w:val="auto"/>
        </w:rPr>
      </w:pPr>
    </w:p>
    <w:p>
      <w:pPr>
        <w:ind w:left="2" w:right="2599" w:firstLine="572"/>
        <w:spacing w:after="0" w:line="252" w:lineRule="auto"/>
        <w:rPr>
          <w:sz w:val="20"/>
          <w:szCs w:val="20"/>
          <w:color w:val="auto"/>
        </w:rPr>
      </w:pPr>
      <w:r>
        <w:rPr>
          <w:rFonts w:ascii="Courier New" w:cs="Courier New" w:eastAsia="Courier New" w:hAnsi="Courier New"/>
          <w:sz w:val="16"/>
          <w:szCs w:val="16"/>
          <w:color w:val="auto"/>
        </w:rPr>
        <w:t>The undersigned stockholder of Designs, Inc., hereby appoints David A. Levin and Dennis R. Hernreich,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August 8, 2002, at 9:00 A.M. local time, at the Friars Club, 57 East 55th Street, New York, New York,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ectPr>
          <w:pgSz w:w="11900" w:h="16838" w:orient="portrait"/>
          <w:cols w:equalWidth="0" w:num="1">
            <w:col w:w="10221"/>
          </w:cols>
          <w:pgMar w:left="238" w:top="639" w:right="1440" w:bottom="1440" w:gutter="0" w:footer="0" w:header="0"/>
        </w:sectPr>
      </w:pPr>
    </w:p>
    <w:p>
      <w:pPr>
        <w:spacing w:after="0" w:line="94" w:lineRule="exact"/>
        <w:rPr>
          <w:sz w:val="20"/>
          <w:szCs w:val="20"/>
          <w:color w:val="auto"/>
        </w:rPr>
      </w:pPr>
    </w:p>
    <w:p>
      <w:pPr>
        <w:ind w:left="2"/>
        <w:spacing w:after="0" w:line="388" w:lineRule="auto"/>
        <w:rPr>
          <w:sz w:val="20"/>
          <w:szCs w:val="20"/>
          <w:color w:val="auto"/>
        </w:rPr>
      </w:pPr>
      <w:r>
        <w:rPr>
          <w:rFonts w:ascii="Courier New" w:cs="Courier New" w:eastAsia="Courier New" w:hAnsi="Courier New"/>
          <w:sz w:val="15"/>
          <w:szCs w:val="15"/>
          <w:color w:val="auto"/>
        </w:rPr>
        <w:t>SEE REVERSE SIDE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REVERSE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SIDE</w:t>
      </w:r>
    </w:p>
    <w:p>
      <w:pPr>
        <w:spacing w:after="0" w:line="157" w:lineRule="exact"/>
        <w:rPr>
          <w:sz w:val="20"/>
          <w:szCs w:val="20"/>
          <w:color w:val="auto"/>
        </w:rPr>
      </w:pPr>
    </w:p>
    <w:p>
      <w:pPr>
        <w:sectPr>
          <w:pgSz w:w="11900" w:h="16838" w:orient="portrait"/>
          <w:cols w:equalWidth="0" w:num="3">
            <w:col w:w="1042" w:space="380"/>
            <w:col w:w="4240" w:space="720"/>
            <w:col w:w="3839"/>
          </w:cols>
          <w:pgMar w:left="238" w:top="639" w:right="1440" w:bottom="1440" w:gutter="0" w:footer="0" w:header="0"/>
          <w:type w:val="continuous"/>
        </w:sectPr>
      </w:pPr>
    </w:p>
    <w:p>
      <w:pPr>
        <w:ind w:left="2"/>
        <w:spacing w:after="0"/>
        <w:rPr>
          <w:sz w:val="20"/>
          <w:szCs w:val="20"/>
          <w:color w:val="auto"/>
        </w:rPr>
      </w:pPr>
      <w:r>
        <w:rPr>
          <w:rFonts w:ascii="Courier New" w:cs="Courier New" w:eastAsia="Courier New" w:hAnsi="Courier New"/>
          <w:sz w:val="15"/>
          <w:szCs w:val="15"/>
          <w:color w:val="auto"/>
        </w:rPr>
        <w:t>DETACH HERE</w:t>
      </w:r>
    </w:p>
    <w:p>
      <w:pPr>
        <w:sectPr>
          <w:pgSz w:w="11900" w:h="16838" w:orient="portrait"/>
          <w:cols w:equalWidth="0" w:num="1">
            <w:col w:w="10221"/>
          </w:cols>
          <w:pgMar w:left="238" w:top="639" w:right="1440" w:bottom="1440" w:gutter="0" w:footer="0" w:header="0"/>
          <w:type w:val="continuous"/>
        </w:sectPr>
      </w:pPr>
    </w:p>
    <w:p>
      <w:pPr>
        <w:spacing w:after="0" w:line="197" w:lineRule="exact"/>
        <w:rPr>
          <w:sz w:val="20"/>
          <w:szCs w:val="20"/>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PLEASE MARK VOTES AS IN THIS EXAMPLE.</w:t>
      </w:r>
    </w:p>
    <w:p>
      <w:pPr>
        <w:spacing w:after="0" w:line="186" w:lineRule="exact"/>
        <w:rPr>
          <w:sz w:val="20"/>
          <w:szCs w:val="20"/>
          <w:color w:val="auto"/>
        </w:rPr>
      </w:pPr>
    </w:p>
    <w:p>
      <w:pPr>
        <w:ind w:left="2" w:right="2599" w:firstLine="572"/>
        <w:spacing w:after="0" w:line="280" w:lineRule="auto"/>
        <w:rPr>
          <w:sz w:val="20"/>
          <w:szCs w:val="20"/>
          <w:color w:val="auto"/>
        </w:rPr>
      </w:pPr>
      <w:r>
        <w:rPr>
          <w:rFonts w:ascii="Courier New" w:cs="Courier New" w:eastAsia="Courier New" w:hAnsi="Courier New"/>
          <w:sz w:val="16"/>
          <w:szCs w:val="16"/>
          <w:color w:val="auto"/>
        </w:rPr>
        <w:t>IF THIS PROXY IS PROPERLY EXECUTED AND RETURNED IT WILL BE VOTED AS SPECIFIED HEREIN. IF NO SPECIFIC DIRECTION IS GIVEN, IT WILL BE VOTED "FOR" EACH OF THE PROPOSALS. RECEIPT IS HEREBY ACKNOWLEDGED OF THE NOTICE OF ANNUAL MEETING AND PROXY STATEMENT OF DESIGNS, INC. DATED JULY 8, 2002.</w:t>
      </w:r>
    </w:p>
    <w:p>
      <w:pPr>
        <w:spacing w:after="0" w:line="71" w:lineRule="exact"/>
        <w:rPr>
          <w:sz w:val="20"/>
          <w:szCs w:val="20"/>
          <w:color w:val="auto"/>
        </w:rPr>
      </w:pPr>
    </w:p>
    <w:p>
      <w:pPr>
        <w:ind w:left="382" w:hanging="382"/>
        <w:spacing w:after="0"/>
        <w:tabs>
          <w:tab w:leader="none" w:pos="38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THE BOARD OF  DIRECTORS  RECOMMENDS  A VOTE "FOR"</w:t>
      </w:r>
    </w:p>
    <w:p>
      <w:pPr>
        <w:spacing w:after="0" w:line="30"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ALL NOMINEES NAMED BELOW.</w:t>
      </w:r>
    </w:p>
    <w:p>
      <w:pPr>
        <w:spacing w:after="0" w:line="158" w:lineRule="exact"/>
        <w:rPr>
          <w:sz w:val="20"/>
          <w:szCs w:val="20"/>
          <w:color w:val="auto"/>
        </w:rPr>
      </w:pPr>
    </w:p>
    <w:p>
      <w:pPr>
        <w:jc w:val="both"/>
        <w:ind w:left="2" w:right="2779" w:firstLine="572"/>
        <w:spacing w:after="0" w:line="299" w:lineRule="auto"/>
        <w:rPr>
          <w:sz w:val="20"/>
          <w:szCs w:val="20"/>
          <w:color w:val="auto"/>
        </w:rPr>
      </w:pPr>
      <w:r>
        <w:rPr>
          <w:rFonts w:ascii="Courier New" w:cs="Courier New" w:eastAsia="Courier New" w:hAnsi="Courier New"/>
          <w:sz w:val="16"/>
          <w:szCs w:val="16"/>
          <w:color w:val="auto"/>
        </w:rPr>
        <w:t>Nominees: (1) Seymour Holtzman, (2) David A. Levin, (3) Alan Cohen, (4) Jesse Choper, (5) Stephen M. Duff, (6) Jeremiah P. Murphy, Jr., (7) Joseph Pennacchio and (8) George T. Porter, Jr.</w:t>
      </w:r>
    </w:p>
    <w:p>
      <w:pPr>
        <w:spacing w:after="0" w:line="56" w:lineRule="exact"/>
        <w:rPr>
          <w:sz w:val="20"/>
          <w:szCs w:val="20"/>
          <w:color w:val="auto"/>
        </w:rPr>
      </w:pPr>
    </w:p>
    <w:p>
      <w:pPr>
        <w:ind w:left="582"/>
        <w:spacing w:after="0"/>
        <w:tabs>
          <w:tab w:leader="none" w:pos="2842" w:val="left"/>
        </w:tabs>
        <w:rPr>
          <w:sz w:val="20"/>
          <w:szCs w:val="20"/>
          <w:color w:val="auto"/>
        </w:rPr>
      </w:pPr>
      <w:r>
        <w:rPr>
          <w:rFonts w:ascii="Courier New" w:cs="Courier New" w:eastAsia="Courier New" w:hAnsi="Courier New"/>
          <w:sz w:val="16"/>
          <w:szCs w:val="16"/>
          <w:color w:val="auto"/>
        </w:rPr>
        <w:t>|_| FOR ALL NOMINEES</w:t>
      </w:r>
      <w:r>
        <w:rPr>
          <w:sz w:val="20"/>
          <w:szCs w:val="20"/>
          <w:color w:val="auto"/>
        </w:rPr>
        <w:tab/>
      </w:r>
      <w:r>
        <w:rPr>
          <w:rFonts w:ascii="Courier New" w:cs="Courier New" w:eastAsia="Courier New" w:hAnsi="Courier New"/>
          <w:sz w:val="15"/>
          <w:szCs w:val="15"/>
          <w:color w:val="auto"/>
        </w:rPr>
        <w:t>|_| WITHHELD FROM ALL NOMINEES</w:t>
      </w:r>
    </w:p>
    <w:p>
      <w:pPr>
        <w:spacing w:after="0" w:line="369"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|_| FOR, except vote withheld from the nominee(s) as noted above.</w:t>
      </w:r>
    </w:p>
    <w:p>
      <w:pPr>
        <w:spacing w:after="0" w:line="186" w:lineRule="exact"/>
        <w:rPr>
          <w:sz w:val="20"/>
          <w:szCs w:val="20"/>
          <w:color w:val="auto"/>
        </w:rPr>
      </w:pPr>
    </w:p>
    <w:p>
      <w:pPr>
        <w:jc w:val="both"/>
        <w:ind w:left="2" w:right="2779" w:hanging="2"/>
        <w:spacing w:after="0" w:line="299" w:lineRule="auto"/>
        <w:tabs>
          <w:tab w:leader="none" w:pos="38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the Company's Certificate of Incorporation to change the name of the Company to "Casual Male Retail Group, Inc.": THE BOARD OF DIRECTORS RECOMMENDS A VOTE "FOR" PROPOSAL 2.</w:t>
      </w:r>
    </w:p>
    <w:p>
      <w:pPr>
        <w:spacing w:after="0" w:line="56" w:lineRule="exact"/>
        <w:rPr>
          <w:sz w:val="20"/>
          <w:szCs w:val="20"/>
          <w:color w:val="auto"/>
        </w:rPr>
      </w:pPr>
    </w:p>
    <w:p>
      <w:pPr>
        <w:ind w:left="2"/>
        <w:spacing w:after="0"/>
        <w:tabs>
          <w:tab w:leader="none" w:pos="462" w:val="left"/>
          <w:tab w:leader="none" w:pos="2182" w:val="left"/>
          <w:tab w:leader="none" w:pos="3022" w:val="left"/>
          <w:tab w:leader="none" w:pos="4262" w:val="left"/>
          <w:tab w:leader="none" w:pos="5122" w:val="left"/>
        </w:tabs>
        <w:rPr>
          <w:sz w:val="20"/>
          <w:szCs w:val="20"/>
          <w:color w:val="auto"/>
        </w:rPr>
      </w:pPr>
      <w:r>
        <w:rPr>
          <w:rFonts w:ascii="Courier New" w:cs="Courier New" w:eastAsia="Courier New" w:hAnsi="Courier New"/>
          <w:sz w:val="16"/>
          <w:szCs w:val="16"/>
          <w:color w:val="auto"/>
        </w:rPr>
        <w:t>FOR</w:t>
        <w:tab/>
        <w:t>|_|</w:t>
      </w:r>
      <w:r>
        <w:rPr>
          <w:sz w:val="20"/>
          <w:szCs w:val="20"/>
          <w:color w:val="auto"/>
        </w:rPr>
        <w:tab/>
      </w:r>
      <w:r>
        <w:rPr>
          <w:rFonts w:ascii="Courier New" w:cs="Courier New" w:eastAsia="Courier New" w:hAnsi="Courier New"/>
          <w:sz w:val="16"/>
          <w:szCs w:val="16"/>
          <w:color w:val="auto"/>
        </w:rPr>
        <w:t>AGAINST</w:t>
        <w:tab/>
        <w:t>|_|</w:t>
      </w:r>
      <w:r>
        <w:rPr>
          <w:sz w:val="20"/>
          <w:szCs w:val="20"/>
          <w:color w:val="auto"/>
        </w:rPr>
        <w:tab/>
      </w:r>
      <w:r>
        <w:rPr>
          <w:rFonts w:ascii="Courier New" w:cs="Courier New" w:eastAsia="Courier New" w:hAnsi="Courier New"/>
          <w:sz w:val="16"/>
          <w:szCs w:val="16"/>
          <w:color w:val="auto"/>
        </w:rPr>
        <w:t>ABSTAIN</w:t>
        <w:tab/>
        <w:t>|_|</w:t>
      </w:r>
    </w:p>
    <w:p>
      <w:pPr>
        <w:spacing w:after="0" w:line="186" w:lineRule="exact"/>
        <w:rPr>
          <w:sz w:val="20"/>
          <w:szCs w:val="20"/>
          <w:color w:val="auto"/>
        </w:rPr>
      </w:pPr>
    </w:p>
    <w:p>
      <w:pPr>
        <w:jc w:val="both"/>
        <w:ind w:left="2" w:right="2779" w:hanging="2"/>
        <w:spacing w:after="0" w:line="299" w:lineRule="auto"/>
        <w:tabs>
          <w:tab w:leader="none" w:pos="38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the Company's Certificate of Incorporation to increase the authorized number of shares of common stock: THE BOARD OF DIRECTORS RECOMMENDS A VOTE "FOR" PROPOSAL 3.</w:t>
      </w:r>
    </w:p>
    <w:p>
      <w:pPr>
        <w:spacing w:after="0" w:line="56" w:lineRule="exact"/>
        <w:rPr>
          <w:sz w:val="20"/>
          <w:szCs w:val="20"/>
          <w:color w:val="auto"/>
        </w:rPr>
      </w:pPr>
    </w:p>
    <w:p>
      <w:pPr>
        <w:ind w:left="2"/>
        <w:spacing w:after="0"/>
        <w:tabs>
          <w:tab w:leader="none" w:pos="462" w:val="left"/>
          <w:tab w:leader="none" w:pos="2182" w:val="left"/>
          <w:tab w:leader="none" w:pos="3022" w:val="left"/>
          <w:tab w:leader="none" w:pos="4262" w:val="left"/>
          <w:tab w:leader="none" w:pos="5122" w:val="left"/>
        </w:tabs>
        <w:rPr>
          <w:sz w:val="20"/>
          <w:szCs w:val="20"/>
          <w:color w:val="auto"/>
        </w:rPr>
      </w:pPr>
      <w:r>
        <w:rPr>
          <w:rFonts w:ascii="Courier New" w:cs="Courier New" w:eastAsia="Courier New" w:hAnsi="Courier New"/>
          <w:sz w:val="16"/>
          <w:szCs w:val="16"/>
          <w:color w:val="auto"/>
        </w:rPr>
        <w:t>FOR</w:t>
        <w:tab/>
        <w:t>|_|</w:t>
      </w:r>
      <w:r>
        <w:rPr>
          <w:sz w:val="20"/>
          <w:szCs w:val="20"/>
          <w:color w:val="auto"/>
        </w:rPr>
        <w:tab/>
      </w:r>
      <w:r>
        <w:rPr>
          <w:rFonts w:ascii="Courier New" w:cs="Courier New" w:eastAsia="Courier New" w:hAnsi="Courier New"/>
          <w:sz w:val="16"/>
          <w:szCs w:val="16"/>
          <w:color w:val="auto"/>
        </w:rPr>
        <w:t>AGAINST</w:t>
        <w:tab/>
        <w:t>|_|</w:t>
      </w:r>
      <w:r>
        <w:rPr>
          <w:sz w:val="20"/>
          <w:szCs w:val="20"/>
          <w:color w:val="auto"/>
        </w:rPr>
        <w:tab/>
      </w:r>
      <w:r>
        <w:rPr>
          <w:rFonts w:ascii="Courier New" w:cs="Courier New" w:eastAsia="Courier New" w:hAnsi="Courier New"/>
          <w:sz w:val="16"/>
          <w:szCs w:val="16"/>
          <w:color w:val="auto"/>
        </w:rPr>
        <w:t>ABSTAIN</w:t>
        <w:tab/>
        <w:t>|_|</w:t>
      </w:r>
    </w:p>
    <w:p>
      <w:pPr>
        <w:sectPr>
          <w:pgSz w:w="11900" w:h="16838" w:orient="portrait"/>
          <w:cols w:equalWidth="0" w:num="1">
            <w:col w:w="10221"/>
          </w:cols>
          <w:pgMar w:left="238" w:top="639" w:right="1440" w:bottom="1440" w:gutter="0" w:footer="0" w:header="0"/>
          <w:type w:val="continuous"/>
        </w:sectPr>
      </w:pPr>
    </w:p>
    <w:bookmarkStart w:id="58" w:name="page59"/>
    <w:bookmarkEnd w:id="58"/>
    <w:p>
      <w:pPr>
        <w:ind w:left="2" w:right="2779" w:hanging="2"/>
        <w:spacing w:after="0" w:line="355" w:lineRule="auto"/>
        <w:tabs>
          <w:tab w:leader="none" w:pos="38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issuance of additional common stock: THE BOARD OF DIRECTORS RECOMMENDS A VOTE "FOR" PROPOSAL 4.</w:t>
      </w:r>
    </w:p>
    <w:p>
      <w:pPr>
        <w:spacing w:after="0" w:line="14" w:lineRule="exact"/>
        <w:rPr>
          <w:sz w:val="20"/>
          <w:szCs w:val="20"/>
          <w:color w:val="auto"/>
        </w:rPr>
      </w:pPr>
    </w:p>
    <w:p>
      <w:pPr>
        <w:ind w:left="2"/>
        <w:spacing w:after="0"/>
        <w:tabs>
          <w:tab w:leader="none" w:pos="462" w:val="left"/>
          <w:tab w:leader="none" w:pos="2182" w:val="left"/>
          <w:tab w:leader="none" w:pos="3022" w:val="left"/>
          <w:tab w:leader="none" w:pos="4262" w:val="left"/>
          <w:tab w:leader="none" w:pos="5122" w:val="left"/>
        </w:tabs>
        <w:rPr>
          <w:sz w:val="20"/>
          <w:szCs w:val="20"/>
          <w:color w:val="auto"/>
        </w:rPr>
      </w:pPr>
      <w:r>
        <w:rPr>
          <w:rFonts w:ascii="Courier New" w:cs="Courier New" w:eastAsia="Courier New" w:hAnsi="Courier New"/>
          <w:sz w:val="16"/>
          <w:szCs w:val="16"/>
          <w:color w:val="auto"/>
        </w:rPr>
        <w:t>FOR</w:t>
        <w:tab/>
        <w:t>|_|</w:t>
      </w:r>
      <w:r>
        <w:rPr>
          <w:sz w:val="20"/>
          <w:szCs w:val="20"/>
          <w:color w:val="auto"/>
        </w:rPr>
        <w:tab/>
      </w:r>
      <w:r>
        <w:rPr>
          <w:rFonts w:ascii="Courier New" w:cs="Courier New" w:eastAsia="Courier New" w:hAnsi="Courier New"/>
          <w:sz w:val="16"/>
          <w:szCs w:val="16"/>
          <w:color w:val="auto"/>
        </w:rPr>
        <w:t>AGAINST</w:t>
        <w:tab/>
        <w:t>|_|</w:t>
      </w:r>
      <w:r>
        <w:rPr>
          <w:sz w:val="20"/>
          <w:szCs w:val="20"/>
          <w:color w:val="auto"/>
        </w:rPr>
        <w:tab/>
      </w:r>
      <w:r>
        <w:rPr>
          <w:rFonts w:ascii="Courier New" w:cs="Courier New" w:eastAsia="Courier New" w:hAnsi="Courier New"/>
          <w:sz w:val="16"/>
          <w:szCs w:val="16"/>
          <w:color w:val="auto"/>
        </w:rPr>
        <w:t>ABSTAIN</w:t>
        <w:tab/>
        <w:t>|_|</w:t>
      </w:r>
    </w:p>
    <w:p>
      <w:pPr>
        <w:spacing w:after="0" w:line="186" w:lineRule="exact"/>
        <w:rPr>
          <w:sz w:val="20"/>
          <w:szCs w:val="20"/>
          <w:color w:val="auto"/>
        </w:rPr>
      </w:pPr>
    </w:p>
    <w:p>
      <w:pPr>
        <w:jc w:val="both"/>
        <w:ind w:left="2" w:right="2779"/>
        <w:spacing w:after="0" w:line="299" w:lineRule="auto"/>
        <w:rPr>
          <w:sz w:val="20"/>
          <w:szCs w:val="20"/>
          <w:color w:val="auto"/>
        </w:rPr>
      </w:pPr>
      <w:r>
        <w:rPr>
          <w:rFonts w:ascii="Courier New" w:cs="Courier New" w:eastAsia="Courier New" w:hAnsi="Courier New"/>
          <w:sz w:val="16"/>
          <w:szCs w:val="16"/>
          <w:color w:val="auto"/>
        </w:rPr>
        <w:t>5. Approval of reincorporation of the Company to change the Company's state of incorporation from Delaware to Nevada: THE BOARD OF DIRECTORS RECOMMENDS A VOTE "FOR" PROPOSAL 5.</w:t>
      </w:r>
    </w:p>
    <w:p>
      <w:pPr>
        <w:spacing w:after="0" w:line="56" w:lineRule="exact"/>
        <w:rPr>
          <w:sz w:val="20"/>
          <w:szCs w:val="20"/>
          <w:color w:val="auto"/>
        </w:rPr>
      </w:pPr>
    </w:p>
    <w:p>
      <w:pPr>
        <w:ind w:left="2"/>
        <w:spacing w:after="0"/>
        <w:tabs>
          <w:tab w:leader="none" w:pos="462" w:val="left"/>
          <w:tab w:leader="none" w:pos="2182" w:val="left"/>
          <w:tab w:leader="none" w:pos="3022" w:val="left"/>
          <w:tab w:leader="none" w:pos="4262" w:val="left"/>
          <w:tab w:leader="none" w:pos="5122" w:val="left"/>
        </w:tabs>
        <w:rPr>
          <w:sz w:val="20"/>
          <w:szCs w:val="20"/>
          <w:color w:val="auto"/>
        </w:rPr>
      </w:pPr>
      <w:r>
        <w:rPr>
          <w:rFonts w:ascii="Courier New" w:cs="Courier New" w:eastAsia="Courier New" w:hAnsi="Courier New"/>
          <w:sz w:val="16"/>
          <w:szCs w:val="16"/>
          <w:color w:val="auto"/>
        </w:rPr>
        <w:t>FOR</w:t>
        <w:tab/>
        <w:t>|_|</w:t>
      </w:r>
      <w:r>
        <w:rPr>
          <w:sz w:val="20"/>
          <w:szCs w:val="20"/>
          <w:color w:val="auto"/>
        </w:rPr>
        <w:tab/>
      </w:r>
      <w:r>
        <w:rPr>
          <w:rFonts w:ascii="Courier New" w:cs="Courier New" w:eastAsia="Courier New" w:hAnsi="Courier New"/>
          <w:sz w:val="16"/>
          <w:szCs w:val="16"/>
          <w:color w:val="auto"/>
        </w:rPr>
        <w:t>AGAINST</w:t>
        <w:tab/>
        <w:t>|_|</w:t>
      </w:r>
      <w:r>
        <w:rPr>
          <w:sz w:val="20"/>
          <w:szCs w:val="20"/>
          <w:color w:val="auto"/>
        </w:rPr>
        <w:tab/>
      </w:r>
      <w:r>
        <w:rPr>
          <w:rFonts w:ascii="Courier New" w:cs="Courier New" w:eastAsia="Courier New" w:hAnsi="Courier New"/>
          <w:sz w:val="16"/>
          <w:szCs w:val="16"/>
          <w:color w:val="auto"/>
        </w:rPr>
        <w:t>ABSTAIN</w:t>
        <w:tab/>
        <w:t>|_|</w:t>
      </w:r>
    </w:p>
    <w:p>
      <w:pPr>
        <w:spacing w:after="0" w:line="186" w:lineRule="exact"/>
        <w:rPr>
          <w:sz w:val="20"/>
          <w:szCs w:val="20"/>
          <w:color w:val="auto"/>
        </w:rPr>
      </w:pPr>
    </w:p>
    <w:p>
      <w:pPr>
        <w:ind w:left="2" w:right="2779" w:hanging="2"/>
        <w:spacing w:after="0" w:line="355" w:lineRule="auto"/>
        <w:tabs>
          <w:tab w:leader="none" w:pos="38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Ratification of selection of Ernst &amp; Young LLP as independent auditors for the Company: THE BOARD OF DIRECTORS RECOMMENDS A VOTE "FOR" PROPOSAL 6.</w:t>
      </w:r>
    </w:p>
    <w:p>
      <w:pPr>
        <w:sectPr>
          <w:pgSz w:w="11900" w:h="16838" w:orient="portrait"/>
          <w:cols w:equalWidth="0" w:num="1">
            <w:col w:w="10221"/>
          </w:cols>
          <w:pgMar w:left="238" w:top="639" w:right="1440" w:bottom="1440" w:gutter="0" w:footer="0" w:header="0"/>
        </w:sectPr>
      </w:pPr>
    </w:p>
    <w:p>
      <w:pPr>
        <w:spacing w:after="0" w:line="14"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ABSTAIN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0" w:lineRule="exact"/>
        <w:rPr>
          <w:sz w:val="20"/>
          <w:szCs w:val="20"/>
          <w:color w:val="auto"/>
        </w:rPr>
      </w:pPr>
    </w:p>
    <w:p>
      <w:pPr>
        <w:sectPr>
          <w:pgSz w:w="11900" w:h="16838" w:orient="portrait"/>
          <w:cols w:equalWidth="0" w:num="6">
            <w:col w:w="282" w:space="200"/>
            <w:col w:w="1000" w:space="720"/>
            <w:col w:w="660" w:space="180"/>
            <w:col w:w="520" w:space="720"/>
            <w:col w:w="680" w:space="180"/>
            <w:col w:w="5079"/>
          </w:cols>
          <w:pgMar w:left="238" w:top="639" w:right="1440" w:bottom="1440" w:gutter="0" w:footer="0" w:header="0"/>
          <w:type w:val="continuous"/>
        </w:sectPr>
      </w:pPr>
    </w:p>
    <w:p>
      <w:pPr>
        <w:spacing w:after="0" w:line="169" w:lineRule="exact"/>
        <w:rPr>
          <w:sz w:val="20"/>
          <w:szCs w:val="20"/>
          <w:color w:val="auto"/>
        </w:rPr>
      </w:pPr>
    </w:p>
    <w:p>
      <w:pPr>
        <w:jc w:val="center"/>
        <w:ind w:left="582"/>
        <w:spacing w:after="0"/>
        <w:rPr>
          <w:sz w:val="20"/>
          <w:szCs w:val="20"/>
          <w:color w:val="auto"/>
        </w:rPr>
      </w:pPr>
      <w:r>
        <w:rPr>
          <w:rFonts w:ascii="Courier New" w:cs="Courier New" w:eastAsia="Courier New" w:hAnsi="Courier New"/>
          <w:sz w:val="15"/>
          <w:szCs w:val="15"/>
          <w:color w:val="auto"/>
        </w:rPr>
        <w:t>MARK HERE IF YOU PLAN TO ATTEND THE MEETING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w:t>
      </w:r>
    </w:p>
    <w:p>
      <w:pPr>
        <w:spacing w:after="0" w:line="197" w:lineRule="exact"/>
        <w:rPr>
          <w:sz w:val="20"/>
          <w:szCs w:val="20"/>
          <w:color w:val="auto"/>
        </w:rPr>
      </w:pPr>
    </w:p>
    <w:p>
      <w:pPr>
        <w:sectPr>
          <w:pgSz w:w="11900" w:h="16838" w:orient="portrait"/>
          <w:cols w:equalWidth="0" w:num="2">
            <w:col w:w="4682" w:space="560"/>
            <w:col w:w="4979"/>
          </w:cols>
          <w:pgMar w:left="238" w:top="639" w:right="1440" w:bottom="1440" w:gutter="0" w:footer="0" w:header="0"/>
          <w:type w:val="continuous"/>
        </w:sectPr>
      </w:pPr>
    </w:p>
    <w:p>
      <w:pPr>
        <w:ind w:left="582"/>
        <w:spacing w:after="0"/>
        <w:rPr>
          <w:sz w:val="20"/>
          <w:szCs w:val="20"/>
          <w:color w:val="auto"/>
        </w:rPr>
      </w:pPr>
      <w:r>
        <w:rPr>
          <w:rFonts w:ascii="Courier New" w:cs="Courier New" w:eastAsia="Courier New" w:hAnsi="Courier New"/>
          <w:sz w:val="15"/>
          <w:szCs w:val="15"/>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w:t>
      </w:r>
    </w:p>
    <w:p>
      <w:pPr>
        <w:spacing w:after="0" w:line="197" w:lineRule="exact"/>
        <w:rPr>
          <w:sz w:val="20"/>
          <w:szCs w:val="20"/>
          <w:color w:val="auto"/>
        </w:rPr>
      </w:pPr>
    </w:p>
    <w:p>
      <w:pPr>
        <w:sectPr>
          <w:pgSz w:w="11900" w:h="16838" w:orient="portrait"/>
          <w:cols w:equalWidth="0" w:num="2">
            <w:col w:w="4862" w:space="380"/>
            <w:col w:w="4979"/>
          </w:cols>
          <w:pgMar w:left="238" w:top="639" w:right="1440" w:bottom="1440" w:gutter="0" w:footer="0" w:header="0"/>
          <w:type w:val="continuous"/>
        </w:sectPr>
      </w:pPr>
    </w:p>
    <w:p>
      <w:pPr>
        <w:ind w:left="3142"/>
        <w:spacing w:after="0"/>
        <w:rPr>
          <w:sz w:val="20"/>
          <w:szCs w:val="20"/>
          <w:color w:val="auto"/>
        </w:rPr>
      </w:pPr>
      <w:r>
        <w:rPr>
          <w:rFonts w:ascii="Courier New" w:cs="Courier New" w:eastAsia="Courier New" w:hAnsi="Courier New"/>
          <w:sz w:val="16"/>
          <w:szCs w:val="16"/>
          <w:color w:val="auto"/>
        </w:rPr>
        <w:t>IMPORTANT: Please sign your name or names</w:t>
      </w:r>
    </w:p>
    <w:p>
      <w:pPr>
        <w:spacing w:after="0" w:line="30"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exactly as printed on this proxy and fill in</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the date next to your signature. If more than</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one person is named, each must sign. When</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signing as attorney, executor, administrator,</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5"/>
          <w:szCs w:val="15"/>
          <w:color w:val="auto"/>
        </w:rPr>
        <w:t>trustee or guardian, give title as such. If the</w:t>
      </w:r>
    </w:p>
    <w:p>
      <w:pPr>
        <w:spacing w:after="0" w:line="13" w:lineRule="exact"/>
        <w:rPr>
          <w:sz w:val="20"/>
          <w:szCs w:val="20"/>
          <w:color w:val="auto"/>
        </w:rPr>
      </w:pPr>
    </w:p>
    <w:p>
      <w:pPr>
        <w:ind w:left="3142"/>
        <w:spacing w:after="0"/>
        <w:rPr>
          <w:sz w:val="20"/>
          <w:szCs w:val="20"/>
          <w:color w:val="auto"/>
        </w:rPr>
      </w:pPr>
      <w:r>
        <w:rPr>
          <w:rFonts w:ascii="Courier New" w:cs="Courier New" w:eastAsia="Courier New" w:hAnsi="Courier New"/>
          <w:sz w:val="15"/>
          <w:szCs w:val="15"/>
          <w:color w:val="auto"/>
        </w:rPr>
        <w:t>stockholder is a corporation, this proxy should</w:t>
      </w:r>
    </w:p>
    <w:p>
      <w:pPr>
        <w:spacing w:after="0" w:line="13"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be signed by an authorized officer and such</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officer should state his/her title.</w:t>
      </w:r>
    </w:p>
    <w:p>
      <w:pPr>
        <w:spacing w:after="0" w:line="158" w:lineRule="exact"/>
        <w:rPr>
          <w:sz w:val="20"/>
          <w:szCs w:val="20"/>
          <w:color w:val="auto"/>
        </w:rPr>
      </w:pPr>
    </w:p>
    <w:p>
      <w:pPr>
        <w:ind w:left="2"/>
        <w:spacing w:after="0"/>
        <w:tabs>
          <w:tab w:leader="none" w:pos="1122" w:val="left"/>
          <w:tab w:leader="none" w:pos="2942" w:val="left"/>
          <w:tab w:leader="none" w:pos="3802" w:val="left"/>
          <w:tab w:leader="none" w:pos="5042" w:val="left"/>
        </w:tabs>
        <w:rPr>
          <w:sz w:val="20"/>
          <w:szCs w:val="20"/>
          <w:color w:val="auto"/>
        </w:rPr>
      </w:pPr>
      <w:r>
        <w:rPr>
          <w:rFonts w:ascii="Courier New" w:cs="Courier New" w:eastAsia="Courier New" w:hAnsi="Courier New"/>
          <w:sz w:val="16"/>
          <w:szCs w:val="16"/>
          <w:color w:val="auto"/>
        </w:rPr>
        <w:t>Signature:</w:t>
        <w:tab/>
        <w:t>___________ Date:</w:t>
        <w:tab/>
        <w:t>_______</w:t>
        <w:tab/>
        <w:t>Signature:</w:t>
      </w:r>
      <w:r>
        <w:rPr>
          <w:sz w:val="20"/>
          <w:szCs w:val="20"/>
          <w:color w:val="auto"/>
        </w:rPr>
        <w:tab/>
      </w:r>
      <w:r>
        <w:rPr>
          <w:rFonts w:ascii="Courier New" w:cs="Courier New" w:eastAsia="Courier New" w:hAnsi="Courier New"/>
          <w:sz w:val="15"/>
          <w:szCs w:val="15"/>
          <w:color w:val="auto"/>
        </w:rPr>
        <w:t>____________Date: ______</w:t>
      </w:r>
    </w:p>
    <w:sectPr>
      <w:pgSz w:w="11900" w:h="16838" w:orient="portrait"/>
      <w:cols w:equalWidth="0" w:num="1">
        <w:col w:w="10221"/>
      </w:cols>
      <w:pgMar w:left="238" w:top="6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upperLetter"/>
      <w:start w:val="24"/>
    </w:lvl>
  </w:abstractNum>
  <w:abstractNum w:abstractNumId="3">
    <w:nsid w:val="2443A858"/>
    <w:multiLevelType w:val="hybridMultilevel"/>
    <w:lvl w:ilvl="0">
      <w:lvlJc w:val="left"/>
      <w:lvlText w:val="["/>
      <w:numFmt w:val="bullet"/>
      <w:start w:val="1"/>
    </w:lvl>
    <w:lvl w:ilvl="1">
      <w:lvlJc w:val="left"/>
      <w:lvlText w:val="%2)"/>
      <w:numFmt w:val="decimal"/>
      <w:start w:val="1"/>
    </w:lvl>
  </w:abstractNum>
  <w:abstractNum w:abstractNumId="4">
    <w:nsid w:val="2D1D5AE9"/>
    <w:multiLevelType w:val="hybridMultilevel"/>
    <w:lvl w:ilvl="0">
      <w:lvlJc w:val="left"/>
      <w:lvlText w:val="["/>
      <w:numFmt w:val="bullet"/>
      <w:start w:val="1"/>
    </w:lvl>
    <w:lvl w:ilvl="1">
      <w:lvlJc w:val="left"/>
      <w:lvlText w:val="%2)"/>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lowerRoman"/>
      <w:start w:val="3"/>
    </w:lvl>
  </w:abstractNum>
  <w:abstractNum w:abstractNumId="8">
    <w:nsid w:val="79838CB2"/>
    <w:multiLevelType w:val="hybridMultilevel"/>
    <w:lvl w:ilvl="0">
      <w:lvlJc w:val="left"/>
      <w:lvlText w:val="(%1)"/>
      <w:numFmt w:val="lowerRoman"/>
      <w:start w:val="7"/>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lvl w:ilvl="1">
      <w:lvlJc w:val="left"/>
      <w:lvlText w:val="(%2)"/>
      <w:numFmt w:val="lowerRoman"/>
      <w:start w:val="1"/>
    </w:lvl>
  </w:abstractNum>
  <w:abstractNum w:abstractNumId="11">
    <w:nsid w:val="189A769B"/>
    <w:multiLevelType w:val="hybridMultilevel"/>
    <w:lvl w:ilvl="0">
      <w:lvlJc w:val="left"/>
      <w:lvlText w:val="(%1)"/>
      <w:numFmt w:val="decimal"/>
      <w:start w:val="4"/>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3"/>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2"/>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o"/>
      <w:numFmt w:val="bullet"/>
      <w:start w:val="1"/>
    </w:lvl>
  </w:abstractNum>
  <w:abstractNum w:abstractNumId="20">
    <w:nsid w:val="7C3DBD3D"/>
    <w:multiLevelType w:val="hybridMultilevel"/>
    <w:lvl w:ilvl="0">
      <w:lvlJc w:val="left"/>
      <w:lvlText w:val="o"/>
      <w:numFmt w:val="bullet"/>
      <w:start w:val="1"/>
    </w:lvl>
  </w:abstractNum>
  <w:abstractNum w:abstractNumId="21">
    <w:nsid w:val="737B8DDC"/>
    <w:multiLevelType w:val="hybridMultilevel"/>
    <w:lvl w:ilvl="0">
      <w:lvlJc w:val="left"/>
      <w:lvlText w:val="(%1)"/>
      <w:numFmt w:val="lowerRoman"/>
      <w:start w:val="2"/>
    </w:lvl>
  </w:abstractNum>
  <w:abstractNum w:abstractNumId="22">
    <w:nsid w:val="6CEAF087"/>
    <w:multiLevelType w:val="hybridMultilevel"/>
    <w:lvl w:ilvl="0">
      <w:lvlJc w:val="left"/>
      <w:lvlText w:val="(%1)"/>
      <w:numFmt w:val="lowerLetter"/>
      <w:start w:val="3"/>
    </w:lvl>
  </w:abstractNum>
  <w:abstractNum w:abstractNumId="23">
    <w:nsid w:val="22221A70"/>
    <w:multiLevelType w:val="hybridMultilevel"/>
    <w:lvl w:ilvl="0">
      <w:lvlJc w:val="left"/>
      <w:lvlText w:val="o"/>
      <w:numFmt w:val="bullet"/>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lvl w:ilvl="1">
      <w:lvlJc w:val="left"/>
      <w:lvlText w:val="(%2)"/>
      <w:numFmt w:val="decimal"/>
      <w:start w:val="1"/>
    </w:lvl>
  </w:abstractNum>
  <w:abstractNum w:abstractNumId="26">
    <w:nsid w:val="614FD4A1"/>
    <w:multiLevelType w:val="hybridMultilevel"/>
    <w:lvl w:ilvl="0">
      <w:lvlJc w:val="left"/>
      <w:lvlText w:val="(%1)"/>
      <w:numFmt w:val="lowerLetter"/>
      <w:start w:val="2"/>
    </w:lvl>
    <w:lvl w:ilvl="1">
      <w:lvlJc w:val="left"/>
      <w:lvlText w:val="%2"/>
      <w:numFmt w:val="decimal"/>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4"/>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lowerLetter"/>
      <w:start w:val="1"/>
    </w:lvl>
    <w:lvl w:ilvl="1">
      <w:lvlJc w:val="left"/>
      <w:lvlText w:val="(%2)"/>
      <w:numFmt w:val="decimal"/>
      <w:start w:val="1"/>
    </w:lvl>
  </w:abstractNum>
  <w:abstractNum w:abstractNumId="32">
    <w:nsid w:val="77465F01"/>
    <w:multiLevelType w:val="hybridMultilevel"/>
    <w:lvl w:ilvl="0">
      <w:lvlJc w:val="left"/>
      <w:lvlText w:val="(%1)"/>
      <w:numFmt w:val="lowerRoman"/>
      <w:start w:val="4"/>
    </w:lvl>
  </w:abstractNum>
  <w:abstractNum w:abstractNumId="33">
    <w:nsid w:val="7724C67E"/>
    <w:multiLevelType w:val="hybridMultilevel"/>
    <w:lvl w:ilvl="0">
      <w:lvlJc w:val="left"/>
      <w:lvlText w:val="(%1)"/>
      <w:numFmt w:val="upperLetter"/>
      <w:start w:val="1"/>
    </w:lvl>
  </w:abstractNum>
  <w:abstractNum w:abstractNumId="34">
    <w:nsid w:val="5C482A97"/>
    <w:multiLevelType w:val="hybridMultilevel"/>
    <w:lvl w:ilvl="0">
      <w:lvlJc w:val="left"/>
      <w:lvlText w:val="(%1)"/>
      <w:numFmt w:val="upperLetter"/>
      <w:start w:val="9"/>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2"/>
    </w:lvl>
  </w:abstractNum>
  <w:abstractNum w:abstractNumId="38">
    <w:nsid w:val="2D517796"/>
    <w:multiLevelType w:val="hybridMultilevel"/>
    <w:lvl w:ilvl="0">
      <w:lvlJc w:val="left"/>
      <w:lvlText w:val="%1."/>
      <w:numFmt w:val="decimal"/>
      <w:start w:val="3"/>
    </w:lvl>
  </w:abstractNum>
  <w:abstractNum w:abstractNumId="39">
    <w:nsid w:val="580BD78F"/>
    <w:multiLevelType w:val="hybridMultilevel"/>
    <w:lvl w:ilvl="0">
      <w:lvlJc w:val="left"/>
      <w:lvlText w:val="%1."/>
      <w:numFmt w:val="decimal"/>
      <w:start w:val="4"/>
    </w:lvl>
  </w:abstractNum>
  <w:abstractNum w:abstractNumId="40">
    <w:nsid w:val="153EA43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2019-12-20T01:07:52Z</dcterms:created>
  <dcterms:modified xsi:type="dcterms:W3CDTF">2019-12-20T01:07:52Z</dcterms:modified>
</cp:coreProperties>
</file>