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April 30, 2005</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26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May 31, 2005 was 34,259,075.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April 30, 2005</w:t>
            </w: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105,073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4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73,716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277,043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29,986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27,401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116,820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117,296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4"/>
              </w:rPr>
              <w:t>Preferred stock, $0.01 par value, 1,000,000 shares authorized, none outstanding at April 30, 2005 and January 29,</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9"/>
                <w:szCs w:val="19"/>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$0.01 par value, 75,000,000 shares authorized, 39,424,101 and 39,398,947 shares issued at April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30, 2005 and January 29, 2005, respectively</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154,859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(56,522)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Treasury stock at cost, 5,171,930 shares at April 30, 2005 and January 29, 2005, respectively</w:t>
            </w:r>
          </w:p>
        </w:tc>
        <w:tc>
          <w:tcPr>
            <w:tcW w:w="1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(23,362)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277,043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-4085590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-4085590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-4085590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-4085590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-4085590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-4085590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00" w:type="dxa"/>
            <w:vAlign w:val="bottom"/>
          </w:tcPr>
          <w:p>
            <w:pPr>
              <w:spacing w:after="0"/>
              <w:rPr>
                <w:sz w:val="22"/>
                <w:szCs w:val="22"/>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30, 2005</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May 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57,059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(1,980)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minority interest and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12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24"/>
                <w:szCs w:val="24"/>
                <w:color w:val="auto"/>
              </w:rPr>
            </w:pPr>
          </w:p>
        </w:tc>
        <w:tc>
          <w:tcPr>
            <w:tcW w:w="12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34,234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-1231900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-1231900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-1231900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-1231900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-1231900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-374015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-374015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-374015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-374015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-374015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-374015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9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April 30, 2005</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May 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0" w:type="dxa"/>
            <w:vAlign w:val="bottom"/>
          </w:tcPr>
          <w:p>
            <w:pPr>
              <w:spacing w:after="0"/>
              <w:rPr>
                <w:sz w:val="20"/>
                <w:szCs w:val="20"/>
                <w:color w:val="auto"/>
              </w:rPr>
            </w:pPr>
            <w:r>
              <w:rPr>
                <w:rFonts w:ascii="Arial" w:cs="Arial" w:eastAsia="Arial" w:hAnsi="Arial"/>
                <w:sz w:val="18"/>
                <w:szCs w:val="18"/>
                <w:color w:val="auto"/>
                <w:w w:val="79"/>
              </w:rPr>
              <w:t>$</w:t>
            </w:r>
          </w:p>
        </w:tc>
        <w:tc>
          <w:tcPr>
            <w:tcW w:w="1310" w:type="dxa"/>
            <w:vAlign w:val="bottom"/>
            <w:gridSpan w:val="2"/>
          </w:tcPr>
          <w:p>
            <w:pPr>
              <w:jc w:val="right"/>
              <w:ind w:right="520"/>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w:t>
            </w:r>
          </w:p>
        </w:tc>
        <w:tc>
          <w:tcPr>
            <w:tcW w:w="90" w:type="dxa"/>
            <w:vAlign w:val="bottom"/>
          </w:tcPr>
          <w:p>
            <w:pPr>
              <w:spacing w:after="0"/>
              <w:rPr>
                <w:sz w:val="18"/>
                <w:szCs w:val="18"/>
                <w:color w:val="auto"/>
              </w:rPr>
            </w:pPr>
          </w:p>
        </w:tc>
        <w:tc>
          <w:tcPr>
            <w:tcW w:w="1330" w:type="dxa"/>
            <w:vAlign w:val="bottom"/>
            <w:gridSpan w:val="3"/>
          </w:tcPr>
          <w:p>
            <w:pPr>
              <w:ind w:lef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Accretion of warrants</w:t>
            </w:r>
          </w:p>
        </w:tc>
        <w:tc>
          <w:tcPr>
            <w:tcW w:w="90" w:type="dxa"/>
            <w:vAlign w:val="bottom"/>
          </w:tcPr>
          <w:p>
            <w:pPr>
              <w:spacing w:after="0"/>
              <w:rPr>
                <w:sz w:val="18"/>
                <w:szCs w:val="18"/>
                <w:color w:val="auto"/>
              </w:rPr>
            </w:pPr>
          </w:p>
        </w:tc>
        <w:tc>
          <w:tcPr>
            <w:tcW w:w="1330" w:type="dxa"/>
            <w:vAlign w:val="bottom"/>
            <w:gridSpan w:val="3"/>
          </w:tcPr>
          <w:p>
            <w:pPr>
              <w:ind w:lef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of common stock to related party</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90" w:type="dxa"/>
            <w:vAlign w:val="bottom"/>
            <w:shd w:val="clear" w:color="auto" w:fill="CCEEFF"/>
          </w:tcPr>
          <w:p>
            <w:pPr>
              <w:spacing w:after="0"/>
              <w:rPr>
                <w:sz w:val="18"/>
                <w:szCs w:val="18"/>
                <w:color w:val="auto"/>
              </w:rPr>
            </w:pPr>
          </w:p>
        </w:tc>
        <w:tc>
          <w:tcPr>
            <w:tcW w:w="1330" w:type="dxa"/>
            <w:vAlign w:val="bottom"/>
            <w:gridSpan w:val="3"/>
            <w:shd w:val="clear" w:color="auto" w:fill="CCEEFF"/>
          </w:tcPr>
          <w:p>
            <w:pPr>
              <w:ind w:left="4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Loss on disposal of fixed assets</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519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1,562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2,876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(10,179)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Additions to property and equipment</w:t>
            </w:r>
          </w:p>
        </w:tc>
        <w:tc>
          <w:tcPr>
            <w:tcW w:w="90" w:type="dxa"/>
            <w:vAlign w:val="bottom"/>
          </w:tcPr>
          <w:p>
            <w:pPr>
              <w:spacing w:after="0"/>
              <w:rPr>
                <w:sz w:val="19"/>
                <w:szCs w:val="19"/>
                <w:color w:val="auto"/>
              </w:rPr>
            </w:pPr>
          </w:p>
        </w:tc>
        <w:tc>
          <w:tcPr>
            <w:tcW w:w="1310" w:type="dxa"/>
            <w:vAlign w:val="bottom"/>
            <w:gridSpan w:val="2"/>
          </w:tcPr>
          <w:p>
            <w:pPr>
              <w:jc w:val="right"/>
              <w:ind w:right="520"/>
              <w:spacing w:after="0"/>
              <w:rPr>
                <w:sz w:val="20"/>
                <w:szCs w:val="20"/>
                <w:color w:val="auto"/>
              </w:rPr>
            </w:pPr>
            <w:r>
              <w:rPr>
                <w:rFonts w:ascii="Arial" w:cs="Arial" w:eastAsia="Arial" w:hAnsi="Arial"/>
                <w:sz w:val="18"/>
                <w:szCs w:val="18"/>
                <w:color w:val="auto"/>
              </w:rPr>
              <w:t>(1,763)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8,090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gridSpan w:val="2"/>
          </w:tcPr>
          <w:p>
            <w:pPr>
              <w:ind w:left="2700"/>
              <w:spacing w:after="0"/>
              <w:rPr>
                <w:sz w:val="20"/>
                <w:szCs w:val="20"/>
                <w:color w:val="auto"/>
              </w:rPr>
            </w:pPr>
            <w:r>
              <w:rPr>
                <w:rFonts w:ascii="Arial" w:cs="Arial" w:eastAsia="Arial" w:hAnsi="Arial"/>
                <w:sz w:val="18"/>
                <w:szCs w:val="18"/>
                <w:color w:val="auto"/>
                <w:w w:val="95"/>
              </w:rPr>
              <w:t>The accompanying notes are an integral part of the consolidated financial statements.</w:t>
            </w: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2005 (included in the Company’s Annual Report on Form 10-K, which was filed with the Securities and Exchange Commission on April 11, 2005).</w:t>
      </w:r>
    </w:p>
    <w:p>
      <w:pPr>
        <w:spacing w:after="0" w:line="1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results of operations for the first quarter of fiscal 2005 include the operations since October 30, 2004 of Rochester Big &amp; Tall Clothing, which is discussed in full in Note 2 below. The results of operations for the first quarter of fiscal 2004 include the operating results from the Company’s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joint venture which was sold during the second quarter of fiscal 2004. Discontinued operations for the first quarter of fiscal 2004 include the results of operations from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which was divested during fiscal 2004.</w:t>
      </w:r>
    </w:p>
    <w:p>
      <w:pPr>
        <w:spacing w:after="0" w:line="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Certain amounts for the three months ended May 1, 2004 have been reclassified to conform to the presentation for the three months ended April 30, 2005.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5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2005 is a 52-week period ending on January 28,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Rochester Big &amp; Tall Clothing</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29, 2004, the Company completed the acquisition of substantially all of the assets of Rochester Big &amp; Tall Clothing (the “Rochester Acquisition”). The purchase price was $15.0 million in cash and the assumption of bank and subordinated debt of approximately $5.0 million, in addition to the assumption of identified operating liabilities such as accounts payable and accrued liabilities. The $5.0 million that the Company assumed in subordinated debt from Rochester was paid in full on October 29, 2004. There is a potential payment over a three-year period of an additional $4.0 million, which is subject to an earn-out provision.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allocated the purchase price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Debit (credit)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980" w:type="dxa"/>
            <w:vAlign w:val="bottom"/>
            <w:gridSpan w:val="4"/>
          </w:tcPr>
          <w:p>
            <w:pPr>
              <w:ind w:left="20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Prepaid expenses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Trademarks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payable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2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 w:name="page6"/>
    <w:bookmarkEnd w:id="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financed the transaction with a $7.5 million term loan from Bank of America Retail Group, Inc., together with borrowings on its existing credit facility, which was amended in connection with the acquisition. See Note 3 for a detailed discussion of the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with Bank of America Retail Group, Inc</w:t>
      </w:r>
      <w:r>
        <w:rPr>
          <w:rFonts w:ascii="Arial" w:cs="Arial" w:eastAsia="Arial" w:hAnsi="Arial"/>
          <w:sz w:val="18"/>
          <w:szCs w:val="18"/>
          <w:i w:val="1"/>
          <w:iCs w:val="1"/>
          <w:color w:val="auto"/>
        </w:rPr>
        <w:t>.</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29, 2004, in connection with the financing of the Rochester Acquisition, the Company amended its credit facility with Bank of America Retail Group, Inc.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obligations under the Amended Credit Facility continue to be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Credit Facility at April 30, 2005.</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April 30, 2005, the Company had borrowings outstanding under the Amended Credit Facility of $27.4 million and outstanding standby letters of credit of $2.0 million, with no outstanding documentary letters of credit. Average borrowings outstanding under this facility during the first three months of fiscal 2005 were approximately $23.8 million, resulting in an average unused excess availability of approximately $36.9 million. Unused excess availability at April 30, 2005 was $42.9 million.</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April 30, 2005. At the Company’s option, any portion of the outstanding borrowings can be converted to LIBOR-based contracts; the remainder bears interest based on prime. At April 30, 2005, the prime-based borrowings interest rate was 6.00% and the Company had approximately $20.5 million of borrowing converted to LIBOR contracts with interest rates ranging from 4.64% to 4.80%.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April 30, 2005</w:t>
            </w: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convertible senior subordinated notes due 2024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5% senior subordinated notes due 2007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Mortgage note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9,518</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122,518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(5,698)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116,820</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ind w:right="9980" w:firstLine="8"/>
        <w:spacing w:after="0" w:line="373" w:lineRule="auto"/>
        <w:tabs>
          <w:tab w:leader="none" w:pos="17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9"/>
              </w:rPr>
              <w:t>For the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 2005</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w w:val="93"/>
              </w:rPr>
              <w:t>Stock options, excluding the effect of anti-dilutive options and warrants totaling 2,027 shares and 2,194</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shares for the three months ended April 30, 2005 and May 1, 2004, respectively</w:t>
            </w:r>
          </w:p>
        </w:tc>
        <w:tc>
          <w:tcPr>
            <w:tcW w:w="4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addition, the following potential Common Stock equivalents were also excluded from the computation of diluted earnings per share in each period because the exercise price of such options, warrants and convertible notes was greater than the average market price per share of Common Stock for the respective periods:</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50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6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April 30, 2005</w:t>
            </w:r>
          </w:p>
        </w:tc>
        <w:tc>
          <w:tcPr>
            <w:tcW w:w="300" w:type="dxa"/>
            <w:vAlign w:val="bottom"/>
          </w:tcPr>
          <w:p>
            <w:pPr>
              <w:spacing w:after="0"/>
              <w:rPr>
                <w:sz w:val="22"/>
                <w:szCs w:val="22"/>
                <w:color w:val="auto"/>
              </w:rPr>
            </w:pP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auto"/>
              </w:rPr>
              <w:t>May 1, 2004</w:t>
            </w:r>
          </w:p>
        </w:tc>
        <w:tc>
          <w:tcPr>
            <w:tcW w:w="0" w:type="dxa"/>
            <w:vAlign w:val="bottom"/>
          </w:tcPr>
          <w:p>
            <w:pPr>
              <w:spacing w:after="0"/>
              <w:rPr>
                <w:sz w:val="1"/>
                <w:szCs w:val="1"/>
                <w:color w:val="auto"/>
              </w:rPr>
            </w:pPr>
          </w:p>
        </w:tc>
      </w:tr>
      <w:tr>
        <w:trPr>
          <w:trHeight w:val="68"/>
        </w:trPr>
        <w:tc>
          <w:tcPr>
            <w:tcW w:w="642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Warrants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1,868</w:t>
            </w:r>
          </w:p>
        </w:tc>
        <w:tc>
          <w:tcPr>
            <w:tcW w:w="300" w:type="dxa"/>
            <w:vAlign w:val="bottom"/>
          </w:tcPr>
          <w:p>
            <w:pPr>
              <w:spacing w:after="0"/>
              <w:rPr>
                <w:sz w:val="18"/>
                <w:szCs w:val="18"/>
                <w:color w:val="auto"/>
              </w:rPr>
            </w:pP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 convertible notes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$ 6.20 -$10.65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$ 10.15 - $10.65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color w:val="auto"/>
        </w:rPr>
        <w:t xml:space="preserve">The above options, warrants and convertible notes which were outstanding and out-of-the-money at April 30, 2005 expire from June 13, 2005 to April 27, 2024. </w:t>
      </w:r>
      <w:r>
        <w:rPr>
          <w:rFonts w:ascii="Arial" w:cs="Arial" w:eastAsia="Arial" w:hAnsi="Arial"/>
          <w:sz w:val="18"/>
          <w:szCs w:val="18"/>
          <w:u w:val="single" w:color="auto"/>
          <w:color w:val="auto"/>
        </w:rPr>
        <w:t>Stock-Based Compensation</w:t>
      </w:r>
    </w:p>
    <w:p>
      <w:pPr>
        <w:spacing w:after="0" w:line="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 xml:space="preserve">As permitted by SFAS No. 123, the Company currently accounts for share-based payments to its employees and directors using the intrinsic value method as determined under APB No. 25, </w:t>
      </w:r>
      <w:r>
        <w:rPr>
          <w:rFonts w:ascii="Arial" w:cs="Arial" w:eastAsia="Arial" w:hAnsi="Arial"/>
          <w:sz w:val="16"/>
          <w:szCs w:val="16"/>
          <w:i w:val="1"/>
          <w:iCs w:val="1"/>
          <w:color w:val="auto"/>
        </w:rPr>
        <w:t>Accounting for Stock Issue to Employees</w:t>
      </w:r>
      <w:r>
        <w:rPr>
          <w:rFonts w:ascii="Arial" w:cs="Arial" w:eastAsia="Arial" w:hAnsi="Arial"/>
          <w:sz w:val="16"/>
          <w:szCs w:val="16"/>
          <w:color w:val="auto"/>
        </w:rPr>
        <w:t>, and, as such, generally recognizes no compensation cost for such payments.</w:t>
      </w:r>
    </w:p>
    <w:p>
      <w:pPr>
        <w:spacing w:after="0" w:line="72"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Company has disclosed the pro forma net loss and per share amounts using the fair value based method. Had compensation costs for the Company’s grants for stock-based compensation been determined consistent with SFAS 123, the Company’s net loss and loss per share would have been as indicated below:</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2"/>
              </w:rPr>
              <w:t>For the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4020" w:type="dxa"/>
            <w:vAlign w:val="bottom"/>
            <w:gridSpan w:val="4"/>
          </w:tcPr>
          <w:p>
            <w:pPr>
              <w:ind w:left="2640"/>
              <w:spacing w:after="0"/>
              <w:rPr>
                <w:sz w:val="20"/>
                <w:szCs w:val="20"/>
                <w:color w:val="auto"/>
              </w:rPr>
            </w:pPr>
            <w:r>
              <w:rPr>
                <w:rFonts w:ascii="Arial" w:cs="Arial" w:eastAsia="Arial" w:hAnsi="Arial"/>
                <w:sz w:val="14"/>
                <w:szCs w:val="14"/>
                <w:b w:val="1"/>
                <w:bCs w:val="1"/>
                <w:color w:val="auto"/>
              </w:rPr>
              <w:t xml:space="preserve">April 30, 2005 </w:t>
            </w:r>
            <w:r>
              <w:rPr>
                <w:rFonts w:ascii="Arial" w:cs="Arial" w:eastAsia="Arial" w:hAnsi="Arial"/>
                <w:sz w:val="22"/>
                <w:szCs w:val="22"/>
                <w:b w:val="1"/>
                <w:bCs w:val="1"/>
                <w:color w:val="auto"/>
                <w:vertAlign w:val="superscript"/>
              </w:rPr>
              <w:t>(1)</w:t>
            </w:r>
          </w:p>
        </w:tc>
        <w:tc>
          <w:tcPr>
            <w:tcW w:w="1120" w:type="dxa"/>
            <w:vAlign w:val="bottom"/>
            <w:gridSpan w:val="4"/>
          </w:tcPr>
          <w:p>
            <w:pPr>
              <w:ind w:left="340"/>
              <w:spacing w:after="0"/>
              <w:rPr>
                <w:sz w:val="20"/>
                <w:szCs w:val="20"/>
                <w:color w:val="auto"/>
              </w:rPr>
            </w:pPr>
            <w:r>
              <w:rPr>
                <w:rFonts w:ascii="Arial" w:cs="Arial" w:eastAsia="Arial" w:hAnsi="Arial"/>
                <w:sz w:val="14"/>
                <w:szCs w:val="14"/>
                <w:b w:val="1"/>
                <w:bCs w:val="1"/>
                <w:color w:val="auto"/>
                <w:w w:val="97"/>
              </w:rPr>
              <w:t>May 1, 2004</w:t>
            </w:r>
          </w:p>
        </w:tc>
        <w:tc>
          <w:tcPr>
            <w:tcW w:w="0" w:type="dxa"/>
            <w:vAlign w:val="bottom"/>
          </w:tcPr>
          <w:p>
            <w:pPr>
              <w:spacing w:after="0"/>
              <w:rPr>
                <w:sz w:val="1"/>
                <w:szCs w:val="1"/>
                <w:color w:val="auto"/>
              </w:rPr>
            </w:pPr>
          </w:p>
        </w:tc>
      </w:tr>
      <w:tr>
        <w:trPr>
          <w:trHeight w:val="40"/>
        </w:trPr>
        <w:tc>
          <w:tcPr>
            <w:tcW w:w="5140" w:type="dxa"/>
            <w:vAlign w:val="bottom"/>
            <w:gridSpan w:val="2"/>
            <w:vMerge w:val="continue"/>
          </w:tcPr>
          <w:p>
            <w:pPr>
              <w:spacing w:after="0"/>
              <w:rPr>
                <w:sz w:val="3"/>
                <w:szCs w:val="3"/>
                <w:color w:val="auto"/>
              </w:rPr>
            </w:pPr>
          </w:p>
        </w:tc>
        <w:tc>
          <w:tcPr>
            <w:tcW w:w="2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29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 pro forma</w:t>
            </w:r>
          </w:p>
        </w:tc>
        <w:tc>
          <w:tcPr>
            <w:tcW w:w="290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(1,892)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diluted as reported</w:t>
            </w:r>
          </w:p>
        </w:tc>
        <w:tc>
          <w:tcPr>
            <w:tcW w:w="29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Loss per share – diluted pro-forma</w:t>
            </w:r>
          </w:p>
        </w:tc>
        <w:tc>
          <w:tcPr>
            <w:tcW w:w="290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9, the Company accelerated all options outstanding as of January 27, 2005. Accordingly, the only pro forma adjustment for the first quarter of fiscal 2005 related to options granted since January 27, 2005.</w:t>
      </w:r>
    </w:p>
    <w:p>
      <w:pPr>
        <w:sectPr>
          <w:pgSz w:w="11900" w:h="16838" w:orient="portrait"/>
          <w:cols w:equalWidth="0" w:num="1">
            <w:col w:w="11340"/>
          </w:cols>
          <w:pgMar w:left="240" w:top="274" w:right="319" w:bottom="1440" w:gutter="0" w:footer="0" w:header="0"/>
        </w:sectPr>
      </w:pPr>
    </w:p>
    <w:bookmarkStart w:id="7" w:name="page8"/>
    <w:bookmarkEnd w:id="7"/>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fair value of each option grant is estimated on the date of grant using the Black-Scholes Option Pricing Model with the following weighted-average assumptions used for grants for the three months ended April 30, 2005 and May 1, 2004:</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April 30, 2005</w:t>
            </w:r>
          </w:p>
        </w:tc>
        <w:tc>
          <w:tcPr>
            <w:tcW w:w="1420" w:type="dxa"/>
            <w:vAlign w:val="bottom"/>
            <w:gridSpan w:val="2"/>
          </w:tcPr>
          <w:p>
            <w:pPr>
              <w:jc w:val="center"/>
              <w:ind w:left="599"/>
              <w:spacing w:after="0"/>
              <w:rPr>
                <w:sz w:val="20"/>
                <w:szCs w:val="20"/>
                <w:color w:val="auto"/>
              </w:rPr>
            </w:pPr>
            <w:r>
              <w:rPr>
                <w:rFonts w:ascii="Arial" w:cs="Arial" w:eastAsia="Arial" w:hAnsi="Arial"/>
                <w:sz w:val="14"/>
                <w:szCs w:val="14"/>
                <w:b w:val="1"/>
                <w:bCs w:val="1"/>
                <w:color w:val="auto"/>
                <w:w w:val="89"/>
              </w:rPr>
              <w:t>May 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1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65.0%</w:t>
            </w:r>
          </w:p>
        </w:tc>
        <w:tc>
          <w:tcPr>
            <w:tcW w:w="1420" w:type="dxa"/>
            <w:vAlign w:val="bottom"/>
            <w:gridSpan w:val="2"/>
            <w:shd w:val="clear" w:color="auto" w:fill="CCEEFF"/>
          </w:tcPr>
          <w:p>
            <w:pPr>
              <w:jc w:val="center"/>
              <w:ind w:left="599"/>
              <w:spacing w:after="0"/>
              <w:rPr>
                <w:sz w:val="20"/>
                <w:szCs w:val="20"/>
                <w:color w:val="auto"/>
              </w:rPr>
            </w:pPr>
            <w:r>
              <w:rPr>
                <w:rFonts w:ascii="Arial" w:cs="Arial" w:eastAsia="Arial" w:hAnsi="Arial"/>
                <w:sz w:val="18"/>
                <w:szCs w:val="18"/>
                <w:color w:val="auto"/>
                <w:w w:val="90"/>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3.97%-4.15%</w:t>
            </w:r>
          </w:p>
        </w:tc>
        <w:tc>
          <w:tcPr>
            <w:tcW w:w="1420" w:type="dxa"/>
            <w:vAlign w:val="bottom"/>
            <w:gridSpan w:val="2"/>
          </w:tcPr>
          <w:p>
            <w:pPr>
              <w:jc w:val="center"/>
              <w:ind w:left="599"/>
              <w:spacing w:after="0"/>
              <w:rPr>
                <w:sz w:val="20"/>
                <w:szCs w:val="20"/>
                <w:color w:val="auto"/>
              </w:rPr>
            </w:pPr>
            <w:r>
              <w:rPr>
                <w:rFonts w:ascii="Arial" w:cs="Arial" w:eastAsia="Arial" w:hAnsi="Arial"/>
                <w:sz w:val="18"/>
                <w:szCs w:val="18"/>
                <w:color w:val="auto"/>
                <w:w w:val="90"/>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Dividend rate</w:t>
            </w:r>
          </w:p>
        </w:tc>
        <w:tc>
          <w:tcPr>
            <w:tcW w:w="3180" w:type="dxa"/>
            <w:vAlign w:val="bottom"/>
          </w:tcPr>
          <w:p>
            <w:pPr>
              <w:spacing w:after="0"/>
              <w:rPr>
                <w:sz w:val="19"/>
                <w:szCs w:val="19"/>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three months of fiscal 2005 and fiscal 2004 were $3.35 and $5.38,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83" w:lineRule="exact"/>
        <w:rPr>
          <w:sz w:val="20"/>
          <w:szCs w:val="20"/>
          <w:color w:val="auto"/>
        </w:rPr>
      </w:pPr>
    </w:p>
    <w:p>
      <w:pPr>
        <w:jc w:val="both"/>
        <w:ind w:right="160"/>
        <w:spacing w:after="0" w:line="220" w:lineRule="auto"/>
        <w:rPr>
          <w:sz w:val="20"/>
          <w:szCs w:val="20"/>
          <w:color w:val="auto"/>
        </w:rPr>
      </w:pPr>
      <w:r>
        <w:rPr>
          <w:rFonts w:ascii="Arial" w:cs="Arial" w:eastAsia="Arial" w:hAnsi="Arial"/>
          <w:sz w:val="18"/>
          <w:szCs w:val="18"/>
          <w:color w:val="auto"/>
        </w:rPr>
        <w:t>In fiscal 2004, the Company completed its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In accordance with the provisions of SFAS 144, the Company’s operating results for the three months ended May 1, 2004 were reclassed to reflect the operating results for the Company’s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as discontinued operations.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Due to the consolidated tax position for the three months ended May 1, 2004, no tax benefit or provision was realized on discontinued operations. Below is a summary of the results of operations for these stores for the three months ended May 1, 2004:</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440" w:type="dxa"/>
            <w:vAlign w:val="bottom"/>
            <w:gridSpan w:val="4"/>
          </w:tcPr>
          <w:p>
            <w:pPr>
              <w:ind w:left="25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6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Gross margin</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76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April 30, 2005, the Company had total gross deferred tax assets of approximately $43.3 million, which are fully reserved. These tax assets principally relate to federal net operating loss carryforwards that expire from 2017 through 2024. The ability to reduce the Company’s corresponding valuation allowance of $43.3 million in the future is dependent upon the Company’s ability to achieve sustained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Due to the circumstances described above, no tax benefit has been recognized for the three months ended April 30,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Through the end of fiscal 2004, the Company operated its business under two reportable segments: (i) the Big &amp; Tall business and (ii) the Other Branded Apparel businesses. Beginning in the first quarter of fiscal 2005, with the divesture of the Company’s Other Branded Apparel businesses in fiscal 2004, the Company operates under a single reportable segment, Big &amp; Tall Business.</w:t>
      </w:r>
    </w:p>
    <w:p>
      <w:pPr>
        <w:spacing w:after="0" w:line="1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the three months ended May 1, 2004, the Big &amp; Tall business segment included the Company’s Casual Male Big &amp; Tall retail and outlet stores, and its Casual Male catalog and e-commerce businesses. The Company’s Other Branded Apparel business reflect the results of operations of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owned and operated through a joint venture with Ecko.Complex, LLC through July 30, 2004 when the Company sold its 50.5% interest in the joint venture to Ecko.Complex, LLC.</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accounting policies of the reportable segments were consistent with the consolidated financial statements of the Company. The Company evaluates individual store profitability in terms of a store’s “Operating Income (Loss),”</w:t>
      </w:r>
    </w:p>
    <w:p>
      <w:pPr>
        <w:sectPr>
          <w:pgSz w:w="11900" w:h="16838" w:orient="portrait"/>
          <w:cols w:equalWidth="0" w:num="1">
            <w:col w:w="11420"/>
          </w:cols>
          <w:pgMar w:left="240" w:top="280" w:right="239" w:bottom="1440" w:gutter="0" w:footer="0" w:header="0"/>
        </w:sectPr>
      </w:pPr>
    </w:p>
    <w:bookmarkStart w:id="8" w:name="page9"/>
    <w:bookmarkEnd w:id="8"/>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is defined by the Company as gross margin less occupancy costs, direct selling costs and an allocation of indirect selling costs. Below are the results of operations on a segment basis for the three months ended May 1, 2004: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i w:val="1"/>
                <w:iCs w:val="1"/>
                <w:color w:val="auto"/>
                <w:w w:val="89"/>
              </w:rPr>
              <w:t>May 1, 2004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Branded</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Big &amp; Tall</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Apparel</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business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8"/>
              </w:rPr>
              <w:t>business</w:t>
            </w:r>
            <w:r>
              <w:rPr>
                <w:rFonts w:ascii="Arial" w:cs="Arial" w:eastAsia="Arial" w:hAnsi="Arial"/>
                <w:sz w:val="22"/>
                <w:szCs w:val="22"/>
                <w:b w:val="1"/>
                <w:bCs w:val="1"/>
                <w:color w:val="auto"/>
                <w:w w:val="78"/>
                <w:vertAlign w:val="superscript"/>
              </w:rPr>
              <w:t>(1)</w:t>
            </w:r>
          </w:p>
        </w:tc>
        <w:tc>
          <w:tcPr>
            <w:tcW w:w="8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i w:val="1"/>
                <w:iCs w:val="1"/>
                <w:color w:val="auto"/>
              </w:rPr>
              <w:t>Statement of Operations: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1"/>
        </w:trPr>
        <w:tc>
          <w:tcPr>
            <w:tcW w:w="8420" w:type="dxa"/>
            <w:vAlign w:val="bottom"/>
            <w:gridSpan w:val="3"/>
          </w:tcPr>
          <w:p>
            <w:pPr>
              <w:spacing w:after="0"/>
              <w:rPr>
                <w:sz w:val="20"/>
                <w:szCs w:val="20"/>
                <w:color w:val="auto"/>
              </w:rPr>
            </w:pPr>
            <w:r>
              <w:rPr>
                <w:rFonts w:ascii="Arial" w:cs="Arial" w:eastAsia="Arial" w:hAnsi="Arial"/>
                <w:sz w:val="18"/>
                <w:szCs w:val="18"/>
                <w:i w:val="1"/>
                <w:iCs w:val="1"/>
                <w:color w:val="auto"/>
              </w:rPr>
              <w:t>Balance Sheet: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Trade accounts payable</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3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 Sheet amounts for the Company’s Other Branded Apparel businesses at May 1, 2004 include assets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still open at the end of the first quarter of fiscal 2004. The operating results of these stores were reclassed to discontinued operations, see Note 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Jewelcor Management, Inc.</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15.87% of the outstanding Common Stock of the Company (principally held by JMI). He is also the president and chief executive officer, and indirectly, with his wife, the primary shareholder of JMI.</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August 26, 2004, the Compensation Committee of the Board of Directors approved an increase in the annual compensation to JMI pursuant to the consulting agreement, effective May 1, 2004, to $392,000 from $326,000. Subsequent to the end of the first quarter of fiscal 2005, on May 9, 2005 the Compensation Committee approved an increase in JMI annual compensation to $412,000 from $392,000. JMI will continue to receive an additional $24,000 per annum for expense reimbursements.</w:t>
      </w:r>
    </w:p>
    <w:p>
      <w:pPr>
        <w:spacing w:after="0" w:line="13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consulting agreement dated April 29, 2003, and most recently amended on August 26, 2004, is for a three-year term commencing on April 29, 2003 and ending on April 28, 2006. The consulting agreement will automatically renew each year thereafter on its anniversary date for additional one-year terms, unless either party notifies the other at least ninety days prior to such anniversary date that it will not renew such agreement. The consulting agreement with JMI includes a significant disincentive for non-performance, which would require JMI to pay to the Company a penalty equal to 150% of any unearned consulting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New Accounting Pronouncement</w:t>
      </w:r>
    </w:p>
    <w:p>
      <w:pPr>
        <w:spacing w:after="0" w:line="83"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 xml:space="preserve">On December 16, 2004, the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which is a revision of SFAS No. 123. The approach in SFAS No. 123R requires all share-based payments to employees, including grants of employee stock options, to be recognized in the income statement based on their fair values. Pro forma disclosure is no longer an alternative.</w:t>
      </w:r>
    </w:p>
    <w:p>
      <w:pPr>
        <w:sectPr>
          <w:pgSz w:w="11900" w:h="16838" w:orient="portrait"/>
          <w:cols w:equalWidth="0" w:num="1">
            <w:col w:w="11420"/>
          </w:cols>
          <w:pgMar w:left="240" w:top="280" w:right="239" w:bottom="1440" w:gutter="0" w:footer="0" w:header="0"/>
        </w:sectPr>
      </w:pPr>
    </w:p>
    <w:bookmarkStart w:id="9" w:name="page10"/>
    <w:bookmarkEnd w:id="9"/>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SFAS No.123R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No.123 for the pro forma disclosure. The Company plans to adopt SFAS No.123R using the modified prospective method. Since the Company currently accounts for stock options granted to employees and shares issued under its employee stock purchase plans in accordance with the intrinsic value method permitted under APB Opinion No.25, no compensation expense is currently recognized.</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impact of adopting SFAS No.123R cannot be accurately estimated at this time, as it will depend on the market value and the amount of share based awards granted in future periods. However, had the Company adopted SFAS No.123R in a prior period, the impact would approximate the impact of SFAS No.123 as described in the disclosure of pro forma net income and earnings per share in the Notes to the Consolidated Financial Statements on Form 10-K for the year ended January 29, 2005.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27, 2005, the Company’s Board of Directors approved the vesting of all outstanding and unvested options held by directors, officers and employees under the Company’s 1992 Stock Incentive Plan. As a result of the acceleration, options to acquire 1,903,252 shares of the Company’s common stock, which otherwise would have vested from time to time over the next three years, became immediately exercisable. This action was taken to eliminate, to the extent permitted, the transition expense that the Company otherwise would incur in connection with the adoption of SFAS No. 123R. Under the accounting guidance of APB 25, the accelerated vesting resulted in a charge for stock-based compensation of approximately $70,000, which was recognized by the Company in the fourth quarter of fiscal 2004. Additionally, the Company’s pro forma disclosure for fiscal 2004 included the effect of this accelerated vesting, as calculated under SFAS 123 rules, of $6.1 million. Had the Company not accelerated its outstanding options, the remaining unvested portion of the $6.1 million, which the Company estimated to be $3.6 million would have otherwise been recognized in the Company’s consolidated statements of operations over the following three fiscal years, beginning in fiscal 2005.</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14, 2005, the Securities and Exchange Commission announced that it would delay the required implementation of SFAS No. 123R, allowing companies that are not small business issuers to adopt the statement no later than the beginning of the first fiscal year beginning after June 15, 2005. The Company plans to adopt SFAS No. 123R during fiscal 2005.</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8, 2005, which identifies certain risks and uncertainties that may have an impact on future earnings and the direction of the Company.</w:t>
      </w:r>
    </w:p>
    <w:p>
      <w:pPr>
        <w:spacing w:after="0" w:line="10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with retail operations throughout the United States, Canada and London, England. The Company operates 495 Casual Male Big &amp; Tall stores, 13 Casual Male at Sears Canada stores, 22 Rochester Big &amp; Tall stores and a direct to consumer business, which includes a catalog business and two e-commerce sites. The Company is also the exclusive retailer of the Comfort Zone by George Foreman</w:t>
      </w:r>
      <w:r>
        <w:rPr>
          <w:rFonts w:ascii="Arial" w:cs="Arial" w:eastAsia="Arial" w:hAnsi="Arial"/>
          <w:sz w:val="20"/>
          <w:szCs w:val="20"/>
          <w:color w:val="auto"/>
          <w:vertAlign w:val="superscript"/>
        </w:rPr>
        <w:t>™</w:t>
      </w:r>
      <w:r>
        <w:rPr>
          <w:rFonts w:ascii="Arial" w:cs="Arial" w:eastAsia="Arial" w:hAnsi="Arial"/>
          <w:sz w:val="16"/>
          <w:szCs w:val="16"/>
          <w:color w:val="auto"/>
        </w:rPr>
        <w:t>, GF Sport by George Foreman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Signature Collection by George Foreman</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January 28, 2006 and January 29, 2005 as “fiscal 2005” and “fiscal 2004,”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EVENTS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fiscal 2004, the Company completed the divestiture of its other non-core businesses and for the first time since the Company acquired the Casual Male business in May 2002 operated for the first quarter of fiscal 2005 solely as a big &amp; tall men’s apparel retailer. These operating results for the first quarter of fiscal 2005 include the operations of Rochester Big &amp; Tall Clothing (“Rochester”), a 22 store chain with operations in major cities in the United States, as well as a store in London, England, which the Company acquired on October 29, 2004.</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objective since acquiring the Casual Male business in fiscal 2002 was to become the premier retailer in the big &amp; tall industry by (1) 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 base and (3) divesting the Company’s other businesses to enable strategic focus towards the Company’s core business. The Company made substantial steps over the past year toward achieving its overall goal by clearly defining the Company and its business as a specialty retailer of big and tall men’s apparel.</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STORE CLOSINGS/DISCONTINUED OPERATIONS</w:t>
      </w:r>
    </w:p>
    <w:p>
      <w:pPr>
        <w:spacing w:after="0" w:line="83"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 xml:space="preserve">In accordance with the provisions of Statement of Financial Accounting Standard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(“SFAS No. 144”), results of operations for the first three months ending May 1, 2004 for the Company’s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as discontinued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 2005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May 1, 2004</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Other</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Branded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Branded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Big &amp; Tall</w:t>
            </w:r>
          </w:p>
        </w:tc>
        <w:tc>
          <w:tcPr>
            <w:tcW w:w="3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Apparel</w:t>
            </w:r>
          </w:p>
        </w:tc>
        <w:tc>
          <w:tcPr>
            <w:tcW w:w="140" w:type="dxa"/>
            <w:vAlign w:val="bottom"/>
          </w:tcPr>
          <w:p>
            <w:pPr>
              <w:spacing w:after="0"/>
              <w:rPr>
                <w:sz w:val="12"/>
                <w:szCs w:val="12"/>
                <w:color w:val="auto"/>
              </w:rPr>
            </w:pPr>
          </w:p>
        </w:tc>
        <w:tc>
          <w:tcPr>
            <w:tcW w:w="10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Big &amp; Tall</w:t>
            </w:r>
          </w:p>
        </w:tc>
        <w:tc>
          <w:tcPr>
            <w:tcW w:w="24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Apparel</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4"/>
              </w:rPr>
              <w:t>Businesses</w:t>
            </w:r>
          </w:p>
        </w:tc>
        <w:tc>
          <w:tcPr>
            <w:tcW w:w="3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Business</w:t>
            </w:r>
          </w:p>
        </w:tc>
        <w:tc>
          <w:tcPr>
            <w:tcW w:w="14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Company</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4"/>
              </w:rPr>
              <w:t>Businesses</w:t>
            </w:r>
          </w:p>
        </w:tc>
        <w:tc>
          <w:tcPr>
            <w:tcW w:w="240" w:type="dxa"/>
            <w:vAlign w:val="bottom"/>
          </w:tcPr>
          <w:p>
            <w:pPr>
              <w:spacing w:after="0"/>
              <w:rPr>
                <w:sz w:val="15"/>
                <w:szCs w:val="15"/>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0"/>
              </w:rPr>
              <w:t>Business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Company</w:t>
            </w:r>
          </w:p>
        </w:tc>
        <w:tc>
          <w:tcPr>
            <w:tcW w:w="0" w:type="dxa"/>
            <w:vAlign w:val="bottom"/>
          </w:tcPr>
          <w:p>
            <w:pPr>
              <w:spacing w:after="0"/>
              <w:rPr>
                <w:sz w:val="1"/>
                <w:szCs w:val="1"/>
                <w:color w:val="auto"/>
              </w:rPr>
            </w:pPr>
          </w:p>
        </w:tc>
      </w:tr>
      <w:tr>
        <w:trPr>
          <w:trHeight w:val="95"/>
        </w:trPr>
        <w:tc>
          <w:tcPr>
            <w:tcW w:w="434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34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97.3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97.3</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78.1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margin, net of occupancy costs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5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profit margin</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41.4%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41.4%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40.7%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31.1%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first quarter of fiscal 2005, sales, which include its e-commerce and catalog businesses, increased 15.6% to $97.3 million as compared to sales of $84.2 million for the first quarter of fiscal 2004. Sales for the Company’s Big &amp; Tall businesses increased 24.6% as compared to the prior year, primarily due to the addition of the Rochester stores which had sales of $17.4 million for the first quarter of fiscal 2005. Comparable store sales, which include stores that have been open for at least one full year, e-commerce and catalog sales increased 2.3% for the first quarter of fiscal 2005 as compared to the same period of the prior year. Also included in comparable store sales are the comparable store sales results for the Company’s Rochester stores based on their first quarter 2004 results. This positive comparable store increase of 2.3% was against a 9.2% comparable store increase in the first quarter of fiscal 2004 and the Company’s national launch last year of its George Foreman product line.</w:t>
      </w:r>
    </w:p>
    <w:p>
      <w:pPr>
        <w:spacing w:after="0" w:line="10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George Foreman product line continued to perform strongly, representing an increase of approximately 30% over the prior first quarter of fiscal 2004. In addition, the Company continues to expand its offering of branded merchandise within its Casual Male stores and, as of April 30, 2005, branded merchandise represented approximately 51% of the Company’s merchandise.</w:t>
      </w:r>
    </w:p>
    <w:p>
      <w:pPr>
        <w:spacing w:after="0" w:line="12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Sales for the Company’s internet and catalog businesses for the first quarter of fiscal 2005 were up 19% as compared to the first quarter of fiscal 2004. Sales for the first quarter of fiscal 2004 include sales of $6.1 million from the Company’s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subsequently sold in the second quarter of fiscal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the first quarter of fiscal 2005, the Company’s gross margin rate, inclusive of occupancy costs, was 41.4%, which was an increase of 1.3 percentage points as compared to a gross margin rate of 40.1% for the first quarter of fiscal 2004. This increase was attributable to improved merchandise margins of approximately 1.3 percentage points over the prior year and unchanged occupancy rates as a percent of sales. The increase in merchandise margin for the first quarter of fiscal 2005 as compared to the prior year is partially related to the higher merchandise margins attributable to the Company’s Rochester stores as well as overall improvements in merchandise margins from the Company’s Casual Male stores.</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General and Administrative Expenses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Selling, general and administrative (“SG&amp;A”) expenses as a percentage of sales for the first quarter of fiscal 2005 were 38.2% of sales as compared to 39.4% for the first quarter of fiscal 2004. This decrease in SG&amp;A expenses as a percentage of sales was primarily due to more efficient marketing expenditures during the first quarter of fiscal 2005 as compared to fiscal 2004. During the first quarter of fiscal 2004, the Company expensed approximately $4.6 million in a national marketing campaign of George Foreman and the introduction of the George Foreman product lines of clothing.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interest expense was $2.0 million for the first quarter of fiscal 2005 as compared to $2.2 million for the first quarter of fiscal 2004. This decrease was the result of the Company’s amendment to its revolving line of credit in the third quarter of fiscal 2004 and the early prepayment of its remaining 2010 senior subordinated notes in the second quarter of fiscal 2004 which has resulted in an overall reduced interest rate. This rate decrease was partially offset by an increase in average borrowings for the first quarter of fiscal 2005 over the first quarter of fiscal 2004, which was primarily related to borrowings in the third quarter of fiscal 2004 to fund the Company’s acquisition of Rochester.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the provisions of SFAS 144, the Company’s discontinued operations for the first quarter of fiscal 2004 reflect the operating results for the Company’s Levi’s®/Dockers® outlet stores which were subsequently closed or sold during fiscal 2004. For more detail on the results of discontinued operations, see Note 5 to the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April 30, 2005, the Company had total gross deferred tax assets of approximately $43.3 million, which are fully reserved. These tax assets principally relate to federal net operating loss carryforwards that expire from 2017 through 2024. The ability to reduce the Company’s corresponding valuation allowance of $43.3 million in the future is dependent upon the Company’s ability to achieve sustained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first quarter of fiscal 2005 the Company had a net loss of $1.8 million, or $0.05 per diluted share, as compared to a net loss of $5.1 million, or $0.15 per diluted share, for the first quarter of fiscal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At April 30, 2005, total inventory equaled $92.2 million compared to $109.8 million at May 30, 2004. The decrease in inventory over the prior year is due to approximately $33.7 million related to the closure and divesture in fiscal 2004 of the Company’s Levi’s®/Dockers® outlet stores and its Ecko Unltd.® stores. This decrease is partially offset by an increase of approximately $14.5 million from the addition of the Company’s Rochester Big &amp; Tall stores.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w:t>
      </w:r>
    </w:p>
    <w:p>
      <w:pPr>
        <w:sectPr>
          <w:pgSz w:w="11900" w:h="16838" w:orient="portrait"/>
          <w:cols w:equalWidth="0" w:num="1">
            <w:col w:w="11380"/>
          </w:cols>
          <w:pgMar w:left="240" w:top="280" w:right="279" w:bottom="1440" w:gutter="0" w:footer="0" w:header="0"/>
        </w:sectPr>
      </w:pPr>
    </w:p>
    <w:bookmarkStart w:id="13" w:name="page14"/>
    <w:bookmarkEnd w:id="13"/>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proceeds from equity and debt offerings. The Company’s objective is to maintain a positive cash flow after capital expenditures such that it can support its growth activities with operational cash flows and without the use of incurring any additional debt.</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the first three months of fiscal 2005, cash used by operating activities was $4.7 million as compared to $10.2 million for the corresponding period of the prior year. The improvement in cash flow from operations for the first quarter of fiscal 2005 as compared to fiscal 2004 was primarily due to the improved profitability of the Company during the first quarter of fiscal 2005.</w:t>
      </w:r>
    </w:p>
    <w:p>
      <w:pPr>
        <w:spacing w:after="0" w:line="1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with Bank of America Retail Group, Inc., which was most recently amended on October 29, 2004 in connection with the Rochester Acquisition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 Bank’s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April 30, 2005, the Company had borrowings outstanding under the Amended Credit Facility of $27.4 million and outstanding standby letters of credit of $2.0 million, with no outstanding documentary letters of credit. Average borrowings outstanding under this facility during the first three months of fiscal 2005 were approximately $23.8 million, resulting in an average unused excess availability of approximately $36.9 million. Unused excess availability at April 30, 2004 was $42.9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April 30, 2005 and May 1, 2004,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280" w:type="dxa"/>
            <w:vAlign w:val="bottom"/>
            <w:gridSpan w:val="4"/>
          </w:tcPr>
          <w:p>
            <w:pPr>
              <w:ind w:left="800"/>
              <w:spacing w:after="0"/>
              <w:rPr>
                <w:sz w:val="20"/>
                <w:szCs w:val="20"/>
                <w:color w:val="auto"/>
              </w:rPr>
            </w:pPr>
            <w:r>
              <w:rPr>
                <w:rFonts w:ascii="Arial" w:cs="Arial" w:eastAsia="Arial" w:hAnsi="Arial"/>
                <w:sz w:val="14"/>
                <w:szCs w:val="14"/>
                <w:b w:val="1"/>
                <w:bCs w:val="1"/>
                <w:color w:val="auto"/>
              </w:rPr>
              <w:t>At April 30, 2005</w:t>
            </w:r>
          </w:p>
        </w:tc>
        <w:tc>
          <w:tcPr>
            <w:tcW w:w="2620" w:type="dxa"/>
            <w:vAlign w:val="bottom"/>
            <w:gridSpan w:val="4"/>
          </w:tcPr>
          <w:p>
            <w:pPr>
              <w:ind w:left="860"/>
              <w:spacing w:after="0"/>
              <w:rPr>
                <w:sz w:val="20"/>
                <w:szCs w:val="20"/>
                <w:color w:val="auto"/>
              </w:rPr>
            </w:pPr>
            <w:r>
              <w:rPr>
                <w:rFonts w:ascii="Arial" w:cs="Arial" w:eastAsia="Arial" w:hAnsi="Arial"/>
                <w:sz w:val="14"/>
                <w:szCs w:val="14"/>
                <w:b w:val="1"/>
                <w:bCs w:val="1"/>
                <w:color w:val="auto"/>
              </w:rPr>
              <w:t>At May 1, 2004</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45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Square Footage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Casual Male Big &amp; Tall retail and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495</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3,417</w:t>
            </w: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7,813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1,160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Levi’s®/Dockers® outlet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Ecko Unltd.®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12,390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cash outlays for capital expenditures for the first three months of fiscal 2005 were $1.8 million as compared to $4.3 million for the first three months of fiscal 2004. Below is a summary of store openings and closings since January 29, 2005:</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6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Sears</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Casual Male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Big &amp; Tall</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Canada</w:t>
            </w: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At January 29, 2005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New outlet stores</w:t>
            </w:r>
          </w:p>
        </w:tc>
        <w:tc>
          <w:tcPr>
            <w:tcW w:w="2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Closed stores</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At April 30, 2005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Remodels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expects that its total capital expenditures for fiscal 2005 will be approximately $14.0 million, of which approximately $5.6 million will relate to store expansion. Included in store expansion are funds to remodel an additional 50 of the Company’s existing Casual Male Big &amp; Tall retail stores at an estimated $35,000 to $45,000 for each location, including store signage and fixtures. The Company currently plans to open a combination of 12 new Casual Male Big &amp; Tall retail and outlet stores and 3 Rochester Big &amp; Tall stores in fiscal 2005. Another $7.0 million of the 2005 budget is expected to be used for system infrastructure and upgrades specifically related to the roll-out of the Company’s new point of sale system and its new customer relationship management package. Also included are funds to integrate the Rochester stores onto the Casual Male framework.</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utilizes cash from operations and the Amended Credit Facility to fund its working capital needs. The Amended Credit Facility is not used for trading or speculative purposes. In addition, the Company has available letters of credit as sources of financing for its working capital requirements. Borrowings under the Amended Credit Facility, which expires in October 29, 2007, bear interest at variable rates based on Fleet National Bank’s prime rate or the London Interbank Offering Rate (“LIBOR”). At April 30, 2005, the Company had outstanding LIBOR contracts with rates ranging from 4.64% to 4.80% and the interest rate on its prime based borrowings was 6.00%. Based upon a sensitivity analysis as of April 30, 2005, assuming average outstanding borrowing during fiscal 2005 of $23.8 million, a 50 basis point increase in the prime based interest rates would have resulted in a potential increase in interest expense of approximately $119,000.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77"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The Company’s Sears Canada store locations conduct business in Canadian dollars and the Company’s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to U.S. dollars may decline. As of April 30, 2005,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April 30, 2005.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the Company’s Chief Executive Officer and Chief Financial Officer concluded that, as of April 30, 2005,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quarter ended April 30, 2005 that has materially affected, or is reasonably likely to materially affect, the Company’s internal control over financial reporting.</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developments in the legal proceedings reported in the Company’s Annual Report on Form 10-K for the fiscal year ended January 29,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77" w:lineRule="exact"/>
        <w:rPr>
          <w:sz w:val="20"/>
          <w:szCs w:val="20"/>
          <w:color w:val="auto"/>
        </w:rPr>
      </w:pPr>
    </w:p>
    <w:p>
      <w:pPr>
        <w:ind w:left="500" w:right="420" w:hanging="485"/>
        <w:spacing w:after="0" w:line="306" w:lineRule="auto"/>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forward-looking information (included as Exhibit 99.1 to the Company’s Current Report on Form 8-K filed on April 8, 2005,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ectPr>
          <w:pgSz w:w="11900" w:h="16838" w:orient="portrait"/>
          <w:cols w:equalWidth="0" w:num="1">
            <w:col w:w="11380"/>
          </w:cols>
          <w:pgMar w:left="240" w:top="274" w:right="279" w:bottom="1440" w:gutter="0" w:footer="0" w:header="0"/>
        </w:sectPr>
      </w:pPr>
    </w:p>
    <w:bookmarkStart w:id="17" w:name="page18"/>
    <w:bookmarkEnd w:id="17"/>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360" w:val="left"/>
        </w:tabs>
        <w:rPr>
          <w:sz w:val="20"/>
          <w:szCs w:val="20"/>
          <w:color w:val="auto"/>
        </w:rPr>
      </w:pPr>
      <w:r>
        <w:rPr>
          <w:rFonts w:ascii="Arial" w:cs="Arial" w:eastAsia="Arial" w:hAnsi="Arial"/>
          <w:sz w:val="18"/>
          <w:szCs w:val="18"/>
          <w:color w:val="auto"/>
        </w:rPr>
        <w:t>Date: June 6, 2005</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5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2005</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422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2240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15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2005</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672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30, 2005, as filed with the Securities and Exchange Commission on the date hereof (the “Report”), I, David A. Levin, Chief Executive Officer of the Company, certify pursuant to 18 U.S.C. § 1350, as adopted pursuant to § 906 of the Sarbanes-Oxley Act of 2002, that:</w:t>
      </w:r>
    </w:p>
    <w:p>
      <w:pPr>
        <w:spacing w:after="0" w:line="127" w:lineRule="exact"/>
        <w:rPr>
          <w:sz w:val="20"/>
          <w:szCs w:val="20"/>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Dated: June 6, 2005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630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30, 2005,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127" w:lineRule="exact"/>
        <w:rPr>
          <w:sz w:val="20"/>
          <w:szCs w:val="20"/>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Dated: June 6, 2005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630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2019-12-11T21:20:28Z</dcterms:created>
  <dcterms:modified xsi:type="dcterms:W3CDTF">2019-12-11T21:20:28Z</dcterms:modified>
</cp:coreProperties>
</file>