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Destination XL Group,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25065K104</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2016</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8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w:t>
      </w:r>
    </w:p>
    <w:p>
      <w:pPr>
        <w:spacing w:after="0" w:line="46" w:lineRule="exact"/>
        <w:rPr>
          <w:sz w:val="24"/>
          <w:szCs w:val="24"/>
          <w:color w:val="auto"/>
        </w:rPr>
      </w:pPr>
    </w:p>
    <w:p>
      <w:pPr>
        <w:ind w:right="300"/>
        <w:spacing w:after="0" w:line="261" w:lineRule="auto"/>
        <w:rPr>
          <w:sz w:val="20"/>
          <w:szCs w:val="20"/>
          <w:color w:val="auto"/>
        </w:rPr>
      </w:pPr>
      <w:r>
        <w:rPr>
          <w:rFonts w:ascii="Arial" w:cs="Arial" w:eastAsia="Arial" w:hAnsi="Arial"/>
          <w:sz w:val="18"/>
          <w:szCs w:val="18"/>
          <w:color w:val="auto"/>
        </w:rPr>
        <w:t>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p>
    <w:p>
      <w:pPr>
        <w:spacing w:after="0" w:line="144"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377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377180"/>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I.R.S. Identification Nos. of above persons (entities only).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RBC Global Asset Management (U.S.) Inc.</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98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300" w:type="dxa"/>
            <w:vAlign w:val="bottom"/>
            <w:gridSpan w:val="2"/>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98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3"/>
          </w:tcPr>
          <w:p>
            <w:pPr>
              <w:ind w:left="300"/>
              <w:spacing w:after="0"/>
              <w:rPr>
                <w:sz w:val="20"/>
                <w:szCs w:val="20"/>
                <w:color w:val="auto"/>
              </w:rPr>
            </w:pPr>
            <w:r>
              <w:rPr>
                <w:rFonts w:ascii="Arial" w:cs="Arial" w:eastAsia="Arial" w:hAnsi="Arial"/>
                <w:sz w:val="22"/>
                <w:szCs w:val="22"/>
                <w:color w:val="auto"/>
              </w:rPr>
              <w:t>Minnesota</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5"/>
              </w:rPr>
              <w:t>Number of</w:t>
            </w:r>
          </w:p>
        </w:tc>
        <w:tc>
          <w:tcPr>
            <w:tcW w:w="30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140" w:type="dxa"/>
            <w:vAlign w:val="bottom"/>
            <w:tcBorders>
              <w:right w:val="single" w:sz="8" w:color="auto"/>
            </w:tcBorders>
            <w:gridSpan w:val="3"/>
            <w:vMerge w:val="continue"/>
          </w:tcPr>
          <w:p>
            <w:pPr>
              <w:spacing w:after="0"/>
              <w:rPr>
                <w:sz w:val="4"/>
                <w:szCs w:val="4"/>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1000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4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84"/>
              </w:rPr>
              <w:t>Shares</w:t>
            </w:r>
          </w:p>
        </w:tc>
        <w:tc>
          <w:tcPr>
            <w:tcW w:w="300" w:type="dxa"/>
            <w:vAlign w:val="bottom"/>
            <w:tcBorders>
              <w:right w:val="single" w:sz="8" w:color="auto"/>
            </w:tcBorders>
            <w:vMerge w:val="continue"/>
          </w:tcPr>
          <w:p>
            <w:pPr>
              <w:spacing w:after="0"/>
              <w:rPr>
                <w:sz w:val="15"/>
                <w:szCs w:val="15"/>
                <w:color w:val="auto"/>
              </w:rPr>
            </w:pPr>
          </w:p>
        </w:tc>
        <w:tc>
          <w:tcPr>
            <w:tcW w:w="10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740" w:type="dxa"/>
            <w:vAlign w:val="bottom"/>
            <w:tcBorders>
              <w:right w:val="single" w:sz="8" w:color="auto"/>
            </w:tcBorders>
            <w:gridSpan w:val="2"/>
            <w:vMerge w:val="continue"/>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10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300" w:type="dxa"/>
            <w:vAlign w:val="bottom"/>
            <w:tcBorders>
              <w:right w:val="single" w:sz="8" w:color="auto"/>
            </w:tcBorders>
          </w:tcPr>
          <w:p>
            <w:pPr>
              <w:spacing w:after="0"/>
              <w:rPr>
                <w:sz w:val="18"/>
                <w:szCs w:val="18"/>
                <w:color w:val="auto"/>
              </w:rPr>
            </w:pPr>
          </w:p>
        </w:tc>
        <w:tc>
          <w:tcPr>
            <w:tcW w:w="10000" w:type="dxa"/>
            <w:vAlign w:val="bottom"/>
            <w:vMerge w:val="restart"/>
          </w:tcPr>
          <w:p>
            <w:pPr>
              <w:ind w:left="320"/>
              <w:spacing w:after="0"/>
              <w:rPr>
                <w:sz w:val="20"/>
                <w:szCs w:val="20"/>
                <w:color w:val="auto"/>
              </w:rPr>
            </w:pPr>
            <w:r>
              <w:rPr>
                <w:rFonts w:ascii="Arial" w:cs="Arial" w:eastAsia="Arial" w:hAnsi="Arial"/>
                <w:sz w:val="22"/>
                <w:szCs w:val="22"/>
                <w:color w:val="auto"/>
              </w:rPr>
              <w:t>5,633,937</w:t>
            </w:r>
          </w:p>
        </w:tc>
        <w:tc>
          <w:tcPr>
            <w:tcW w:w="0" w:type="dxa"/>
            <w:vAlign w:val="bottom"/>
          </w:tcPr>
          <w:p>
            <w:pPr>
              <w:spacing w:after="0"/>
              <w:rPr>
                <w:sz w:val="1"/>
                <w:szCs w:val="1"/>
                <w:color w:val="auto"/>
              </w:rPr>
            </w:pPr>
          </w:p>
        </w:tc>
      </w:tr>
      <w:tr>
        <w:trPr>
          <w:trHeight w:val="230"/>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300" w:type="dxa"/>
            <w:vAlign w:val="bottom"/>
            <w:tcBorders>
              <w:bottom w:val="single" w:sz="8" w:color="auto"/>
              <w:right w:val="single" w:sz="8" w:color="auto"/>
            </w:tcBorders>
          </w:tcPr>
          <w:p>
            <w:pPr>
              <w:spacing w:after="0"/>
              <w:rPr>
                <w:sz w:val="20"/>
                <w:szCs w:val="20"/>
                <w:color w:val="auto"/>
              </w:rPr>
            </w:pPr>
          </w:p>
        </w:tc>
        <w:tc>
          <w:tcPr>
            <w:tcW w:w="10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24"/>
              <w:spacing w:after="0" w:line="182" w:lineRule="exact"/>
              <w:rPr>
                <w:sz w:val="20"/>
                <w:szCs w:val="20"/>
                <w:color w:val="auto"/>
              </w:rPr>
            </w:pPr>
            <w:r>
              <w:rPr>
                <w:rFonts w:ascii="Arial" w:cs="Arial" w:eastAsia="Arial" w:hAnsi="Arial"/>
                <w:sz w:val="18"/>
                <w:szCs w:val="18"/>
                <w:color w:val="auto"/>
                <w:w w:val="87"/>
              </w:rPr>
              <w:t>Each</w:t>
            </w:r>
          </w:p>
        </w:tc>
        <w:tc>
          <w:tcPr>
            <w:tcW w:w="30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1000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300" w:type="dxa"/>
            <w:vAlign w:val="bottom"/>
            <w:tcBorders>
              <w:right w:val="single" w:sz="8" w:color="auto"/>
            </w:tcBorders>
          </w:tcPr>
          <w:p>
            <w:pPr>
              <w:spacing w:after="0"/>
              <w:rPr>
                <w:sz w:val="18"/>
                <w:szCs w:val="18"/>
                <w:color w:val="auto"/>
              </w:rPr>
            </w:pPr>
          </w:p>
        </w:tc>
        <w:tc>
          <w:tcPr>
            <w:tcW w:w="10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74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84"/>
              </w:rPr>
              <w:t>Person</w:t>
            </w:r>
          </w:p>
        </w:tc>
        <w:tc>
          <w:tcPr>
            <w:tcW w:w="300" w:type="dxa"/>
            <w:vAlign w:val="bottom"/>
            <w:tcBorders>
              <w:right w:val="single" w:sz="8" w:color="auto"/>
            </w:tcBorders>
          </w:tcPr>
          <w:p>
            <w:pPr>
              <w:spacing w:after="0"/>
              <w:rPr>
                <w:sz w:val="20"/>
                <w:szCs w:val="20"/>
                <w:color w:val="auto"/>
              </w:rPr>
            </w:pPr>
          </w:p>
        </w:tc>
        <w:tc>
          <w:tcPr>
            <w:tcW w:w="10000" w:type="dxa"/>
            <w:vAlign w:val="bottom"/>
          </w:tcPr>
          <w:p>
            <w:pPr>
              <w:ind w:left="32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74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97"/>
              </w:rPr>
              <w:t>With:</w:t>
            </w:r>
          </w:p>
        </w:tc>
        <w:tc>
          <w:tcPr>
            <w:tcW w:w="300" w:type="dxa"/>
            <w:vAlign w:val="bottom"/>
            <w:tcBorders>
              <w:bottom w:val="single" w:sz="8" w:color="auto"/>
              <w:right w:val="single" w:sz="8" w:color="auto"/>
            </w:tcBorders>
          </w:tcPr>
          <w:p>
            <w:pPr>
              <w:spacing w:after="0"/>
              <w:rPr>
                <w:sz w:val="6"/>
                <w:szCs w:val="6"/>
                <w:color w:val="auto"/>
              </w:rPr>
            </w:pPr>
          </w:p>
        </w:tc>
        <w:tc>
          <w:tcPr>
            <w:tcW w:w="10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740" w:type="dxa"/>
            <w:vAlign w:val="bottom"/>
            <w:tcBorders>
              <w:right w:val="single" w:sz="8" w:color="auto"/>
            </w:tcBorders>
            <w:gridSpan w:val="2"/>
            <w:vMerge w:val="continue"/>
          </w:tcPr>
          <w:p>
            <w:pPr>
              <w:spacing w:after="0"/>
              <w:rPr>
                <w:sz w:val="11"/>
                <w:szCs w:val="11"/>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000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300" w:type="dxa"/>
            <w:vAlign w:val="bottom"/>
            <w:tcBorders>
              <w:right w:val="single" w:sz="8" w:color="auto"/>
            </w:tcBorders>
            <w:vMerge w:val="continue"/>
          </w:tcPr>
          <w:p>
            <w:pPr>
              <w:spacing w:after="0"/>
              <w:rPr>
                <w:sz w:val="8"/>
                <w:szCs w:val="8"/>
                <w:color w:val="auto"/>
              </w:rPr>
            </w:pPr>
          </w:p>
        </w:tc>
        <w:tc>
          <w:tcPr>
            <w:tcW w:w="10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6,399,672</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100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tcBorders>
            <w:gridSpan w:val="3"/>
          </w:tcPr>
          <w:p>
            <w:pPr>
              <w:ind w:left="300"/>
              <w:spacing w:after="0"/>
              <w:rPr>
                <w:sz w:val="20"/>
                <w:szCs w:val="20"/>
                <w:color w:val="auto"/>
              </w:rPr>
            </w:pPr>
            <w:r>
              <w:rPr>
                <w:rFonts w:ascii="Arial" w:cs="Arial" w:eastAsia="Arial" w:hAnsi="Arial"/>
                <w:sz w:val="22"/>
                <w:szCs w:val="22"/>
                <w:color w:val="auto"/>
              </w:rPr>
              <w:t>6,399,672</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60" w:type="dxa"/>
            <w:vAlign w:val="bottom"/>
            <w:tcBorders>
              <w:bottom w:val="single" w:sz="8" w:color="auto"/>
              <w:right w:val="single" w:sz="8" w:color="auto"/>
            </w:tcBorders>
            <w:gridSpan w:val="2"/>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300"/>
              <w:spacing w:after="0"/>
              <w:rPr>
                <w:sz w:val="20"/>
                <w:szCs w:val="20"/>
                <w:color w:val="auto"/>
              </w:rPr>
            </w:pPr>
            <w:r>
              <w:rPr>
                <w:rFonts w:ascii="Arial" w:cs="Arial" w:eastAsia="Arial" w:hAnsi="Arial"/>
                <w:sz w:val="22"/>
                <w:szCs w:val="22"/>
                <w:color w:val="auto"/>
              </w:rPr>
              <w:t>12.6%</w:t>
            </w: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IA</w:t>
            </w:r>
          </w:p>
        </w:tc>
        <w:tc>
          <w:tcPr>
            <w:tcW w:w="30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p>
    <w:p>
      <w:pPr>
        <w:spacing w:after="0" w:line="135"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55"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555 Turnpike Street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Canton, Massachusetts 02021</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5"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55"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55" w:lineRule="exact"/>
        <w:rPr>
          <w:sz w:val="20"/>
          <w:szCs w:val="20"/>
          <w:color w:val="auto"/>
        </w:rPr>
      </w:pPr>
    </w:p>
    <w:p>
      <w:pPr>
        <w:ind w:left="920" w:right="8260" w:hanging="466"/>
        <w:spacing w:after="0" w:line="431" w:lineRule="auto"/>
        <w:tabs>
          <w:tab w:leader="none" w:pos="898" w:val="left"/>
        </w:tabs>
        <w:numPr>
          <w:ilvl w:val="0"/>
          <w:numId w:val="8"/>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920" w:right="9040" w:hanging="466"/>
        <w:spacing w:after="0" w:line="483" w:lineRule="auto"/>
        <w:tabs>
          <w:tab w:leader="none" w:pos="898" w:val="left"/>
        </w:tabs>
        <w:numPr>
          <w:ilvl w:val="0"/>
          <w:numId w:val="8"/>
        </w:numPr>
        <w:rPr>
          <w:rFonts w:ascii="Arial" w:cs="Arial" w:eastAsia="Arial" w:hAnsi="Arial"/>
          <w:sz w:val="16"/>
          <w:szCs w:val="16"/>
          <w:color w:val="auto"/>
        </w:rPr>
      </w:pPr>
      <w:r>
        <w:rPr>
          <w:rFonts w:ascii="Arial" w:cs="Arial" w:eastAsia="Arial" w:hAnsi="Arial"/>
          <w:sz w:val="16"/>
          <w:szCs w:val="16"/>
          <w:color w:val="auto"/>
        </w:rPr>
        <w:t>CUSIP Number 25065K104</w:t>
      </w:r>
    </w:p>
    <w:p>
      <w:pPr>
        <w:spacing w:after="0" w:line="1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4" w:lineRule="exact"/>
        <w:rPr>
          <w:sz w:val="20"/>
          <w:szCs w:val="20"/>
          <w:color w:val="auto"/>
        </w:rPr>
      </w:pPr>
    </w:p>
    <w:p>
      <w:pPr>
        <w:ind w:left="920" w:hanging="453"/>
        <w:spacing w:after="0" w:line="207" w:lineRule="exact"/>
        <w:tabs>
          <w:tab w:leader="none" w:pos="9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920" w:hanging="453"/>
        <w:spacing w:after="0" w:line="207" w:lineRule="exact"/>
        <w:tabs>
          <w:tab w:leader="none" w:pos="9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920" w:hanging="453"/>
        <w:spacing w:after="0" w:line="207" w:lineRule="exact"/>
        <w:tabs>
          <w:tab w:leader="none" w:pos="9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920" w:hanging="453"/>
        <w:spacing w:after="0" w:line="207" w:lineRule="exact"/>
        <w:tabs>
          <w:tab w:leader="none" w:pos="9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920" w:hanging="453"/>
        <w:spacing w:after="0" w:line="207" w:lineRule="exact"/>
        <w:tabs>
          <w:tab w:leader="none" w:pos="9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920" w:hanging="453"/>
        <w:spacing w:after="0" w:line="207" w:lineRule="exact"/>
        <w:tabs>
          <w:tab w:leader="none" w:pos="9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920" w:hanging="453"/>
        <w:spacing w:after="0" w:line="207" w:lineRule="exact"/>
        <w:tabs>
          <w:tab w:leader="none" w:pos="9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920" w:hanging="453"/>
        <w:spacing w:after="0" w:line="207" w:lineRule="exact"/>
        <w:tabs>
          <w:tab w:leader="none" w:pos="9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340" w:hanging="873"/>
        <w:spacing w:after="0" w:line="239" w:lineRule="exact"/>
        <w:tabs>
          <w:tab w:leader="none" w:pos="908"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920" w:hanging="453"/>
        <w:spacing w:after="0" w:line="207" w:lineRule="exact"/>
        <w:tabs>
          <w:tab w:leader="none" w:pos="9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13d-1(b)(1)(ii)(J);</w:t>
      </w:r>
    </w:p>
    <w:p>
      <w:pPr>
        <w:spacing w:after="0" w:line="117" w:lineRule="exact"/>
        <w:rPr>
          <w:rFonts w:ascii="Arial" w:cs="Arial" w:eastAsia="Arial" w:hAnsi="Arial"/>
          <w:sz w:val="18"/>
          <w:szCs w:val="18"/>
          <w:color w:val="auto"/>
        </w:rPr>
      </w:pPr>
    </w:p>
    <w:p>
      <w:pPr>
        <w:ind w:left="920" w:hanging="453"/>
        <w:spacing w:after="0" w:line="207" w:lineRule="exact"/>
        <w:tabs>
          <w:tab w:leader="none" w:pos="9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w:t>
      </w:r>
    </w:p>
    <w:p>
      <w:pPr>
        <w:sectPr>
          <w:pgSz w:w="11900" w:h="16838" w:orient="portrait"/>
          <w:cols w:equalWidth="0" w:num="1">
            <w:col w:w="11080"/>
          </w:cols>
          <w:pgMar w:left="240" w:top="270" w:right="579" w:bottom="1440" w:gutter="0" w:footer="0" w:header="0"/>
        </w:sectPr>
      </w:pPr>
    </w:p>
    <w:bookmarkStart w:id="3" w:name="page4"/>
    <w:bookmarkEnd w:id="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142"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 See Item 9 of the Cover Page.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See Item 11 of the Cover Page.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30" w:lineRule="exact"/>
        <w:rPr>
          <w:rFonts w:ascii="Arial" w:cs="Arial" w:eastAsia="Arial" w:hAnsi="Arial"/>
          <w:sz w:val="18"/>
          <w:szCs w:val="18"/>
          <w:color w:val="auto"/>
        </w:rPr>
      </w:pPr>
    </w:p>
    <w:p>
      <w:pPr>
        <w:ind w:left="1500" w:right="7140" w:hanging="587"/>
        <w:spacing w:after="0" w:line="406" w:lineRule="auto"/>
        <w:tabs>
          <w:tab w:leader="none" w:pos="1489" w:val="left"/>
        </w:tabs>
        <w:numPr>
          <w:ilvl w:val="1"/>
          <w:numId w:val="10"/>
        </w:numPr>
        <w:rPr>
          <w:rFonts w:ascii="Arial" w:cs="Arial" w:eastAsia="Arial" w:hAnsi="Arial"/>
          <w:sz w:val="17"/>
          <w:szCs w:val="17"/>
          <w:color w:val="auto"/>
        </w:rPr>
      </w:pPr>
      <w:r>
        <w:rPr>
          <w:rFonts w:ascii="Arial" w:cs="Arial" w:eastAsia="Arial" w:hAnsi="Arial"/>
          <w:sz w:val="17"/>
          <w:szCs w:val="17"/>
          <w:color w:val="auto"/>
        </w:rPr>
        <w:t>Sole power to vote or to direct the vote See Item 5 of the Cover Page.</w:t>
      </w:r>
    </w:p>
    <w:p>
      <w:pPr>
        <w:ind w:left="1500" w:right="6960" w:hanging="587"/>
        <w:spacing w:after="0" w:line="383" w:lineRule="auto"/>
        <w:tabs>
          <w:tab w:leader="none" w:pos="1489"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See Item 6 of the Cover Page.</w:t>
      </w:r>
    </w:p>
    <w:p>
      <w:pPr>
        <w:spacing w:after="0" w:line="1" w:lineRule="exact"/>
        <w:rPr>
          <w:rFonts w:ascii="Arial" w:cs="Arial" w:eastAsia="Arial" w:hAnsi="Arial"/>
          <w:sz w:val="18"/>
          <w:szCs w:val="18"/>
          <w:color w:val="auto"/>
        </w:rPr>
      </w:pPr>
    </w:p>
    <w:p>
      <w:pPr>
        <w:ind w:left="1500" w:right="6220" w:hanging="587"/>
        <w:spacing w:after="0" w:line="383" w:lineRule="auto"/>
        <w:tabs>
          <w:tab w:leader="none" w:pos="1489"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Item 7 of the Cover Page.</w:t>
      </w:r>
    </w:p>
    <w:p>
      <w:pPr>
        <w:spacing w:after="0" w:line="1" w:lineRule="exact"/>
        <w:rPr>
          <w:rFonts w:ascii="Arial" w:cs="Arial" w:eastAsia="Arial" w:hAnsi="Arial"/>
          <w:sz w:val="18"/>
          <w:szCs w:val="18"/>
          <w:color w:val="auto"/>
        </w:rPr>
      </w:pPr>
    </w:p>
    <w:p>
      <w:pPr>
        <w:ind w:left="1500" w:right="6040" w:hanging="587"/>
        <w:spacing w:after="0" w:line="375" w:lineRule="auto"/>
        <w:tabs>
          <w:tab w:leader="none" w:pos="1489"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Item 8 of the Cover Page.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 see §240.13d-3(d)(1).</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jc w:val="both"/>
        <w:ind w:left="92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270" w:right="239" w:bottom="1440" w:gutter="0" w:footer="0" w:header="0"/>
        </w:sectPr>
      </w:pPr>
    </w:p>
    <w:bookmarkStart w:id="4" w:name="page5"/>
    <w:bookmarkEnd w:id="4"/>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10,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RBC GLOBAL ASSET MANAGEMENT (U.S.) INC.</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Carol Kuha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Carol Kuha /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Name/Title</w:t>
      </w:r>
    </w:p>
    <w:sectPr>
      <w:pgSz w:w="11900" w:h="16838" w:orient="portrait"/>
      <w:cols w:equalWidth="0" w:num="1">
        <w:col w:w="10920"/>
      </w:cols>
      <w:pgMar w:left="240" w:top="27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2"/>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4"/>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2019-12-18T17:41:31Z</dcterms:created>
  <dcterms:modified xsi:type="dcterms:W3CDTF">2019-12-18T17:41:31Z</dcterms:modified>
</cp:coreProperties>
</file>