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180975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176530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680" w:type="dxa"/>
            <w:vAlign w:val="bottom"/>
          </w:tcPr>
          <w:p>
            <w:pPr>
              <w:jc w:val="right"/>
              <w:ind w:right="149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32"/>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424"/>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r>
              <w:rPr>
                <w:rFonts w:ascii="Times New Roman" w:cs="Times New Roman" w:eastAsia="Times New Roman" w:hAnsi="Times New Roman"/>
                <w:sz w:val="21"/>
                <w:szCs w:val="21"/>
                <w:b w:val="1"/>
                <w:bCs w:val="1"/>
                <w:color w:val="auto"/>
                <w:w w:val="98"/>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(781) 828-9300</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04"/>
        </w:trPr>
        <w:tc>
          <w:tcPr>
            <w:tcW w:w="4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DXLG</w:t>
            </w:r>
          </w:p>
        </w:tc>
        <w:tc>
          <w:tcPr>
            <w:tcW w:w="4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60"/>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72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3.01 Notice of Delisting or Failure to Satisfy a Continued Listing Rule or Standard; Transfer of Listing.</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On September 2, 2020, Destination XL Group, Inc. (the “Company”) received a letter (the “Notice”) from the Listing Qualifications staff of The Nasdaq Stock Market LLC (“Nasdaq”) notifying the Company that it is not in compliance with Nasdaq Listing Rule 5450(b)(1)(A) based on information provided in the Company’s Quarterly Report on Form 10-Q for the quarter ended August 1, 2020, which reported that the Company’s stockholders’ equity was below the $10.0 million minimum required for continued listing on the Nasdaq Global Market (the “Stockholder's Equity Requirement”).</w:t>
      </w:r>
    </w:p>
    <w:p>
      <w:pPr>
        <w:spacing w:after="0" w:line="177"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The Company has 45 calendar days from the date of the Notice to submit a plan to regain compliance with the Stockholders’ Equity Requirement. If the plan is accepted, Nasdaq may grant the Company an extension of up to 180 calendar days from the date of the Notice for the Company to regain compliance. If Nasdaq determines that such plan is not sufficient, the Company will have an opportunity to appeal the decision to a hearings panel. Alternatively, the Company may consider applying to transfer the listing of its common stock to the Nasdaq Capital Market.</w:t>
      </w:r>
    </w:p>
    <w:p>
      <w:pPr>
        <w:spacing w:after="0" w:line="177" w:lineRule="exact"/>
        <w:rPr>
          <w:sz w:val="20"/>
          <w:szCs w:val="20"/>
          <w:color w:val="auto"/>
        </w:rPr>
      </w:pPr>
    </w:p>
    <w:p>
      <w:pPr>
        <w:jc w:val="both"/>
        <w:ind w:right="20" w:firstLine="864"/>
        <w:spacing w:after="0" w:line="244" w:lineRule="auto"/>
        <w:rPr>
          <w:sz w:val="20"/>
          <w:szCs w:val="20"/>
          <w:color w:val="auto"/>
        </w:rPr>
      </w:pPr>
      <w:r>
        <w:rPr>
          <w:rFonts w:ascii="Times New Roman" w:cs="Times New Roman" w:eastAsia="Times New Roman" w:hAnsi="Times New Roman"/>
          <w:sz w:val="22"/>
          <w:szCs w:val="22"/>
          <w:color w:val="auto"/>
        </w:rPr>
        <w:t>The Notice has no immediate effect on the listing of the Company's common stock on the Nasdaq Global Market. The Company is evaluating various courses of action, including transferring the listing of its common stock to the Nasdaq Capital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40" w:val="left"/>
          <w:tab w:leader="none" w:pos="8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September 4, 2020</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10795</wp:posOffset>
            </wp:positionV>
            <wp:extent cx="2922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160"/>
      </w:cols>
      <w:pgMar w:left="320" w:top="1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2020-09-04T15:47:48Z</dcterms:created>
  <dcterms:modified xsi:type="dcterms:W3CDTF">2020-09-04T15:47:48Z</dcterms:modified>
</cp:coreProperties>
</file>