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March 30, 2006</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r>
        <w:trPr>
          <w:trHeight w:val="507"/>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00" w:type="dxa"/>
            <w:vAlign w:val="bottom"/>
          </w:tcPr>
          <w:p>
            <w:pPr>
              <w:jc w:val="center"/>
              <w:ind w:left="7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020" w:type="dxa"/>
            <w:vAlign w:val="bottom"/>
            <w:gridSpan w:val="2"/>
          </w:tcPr>
          <w:p>
            <w:pPr>
              <w:jc w:val="center"/>
              <w:ind w:left="960"/>
              <w:spacing w:after="0"/>
              <w:rPr>
                <w:sz w:val="20"/>
                <w:szCs w:val="20"/>
                <w:color w:val="auto"/>
              </w:rPr>
            </w:pPr>
            <w:r>
              <w:rPr>
                <w:rFonts w:ascii="Arial" w:cs="Arial" w:eastAsia="Arial" w:hAnsi="Arial"/>
                <w:sz w:val="18"/>
                <w:szCs w:val="18"/>
                <w:b w:val="1"/>
                <w:bCs w:val="1"/>
                <w:color w:val="auto"/>
                <w:w w:val="89"/>
              </w:rPr>
              <w:t>(781) 828-9300</w:t>
            </w:r>
          </w:p>
        </w:tc>
        <w:tc>
          <w:tcPr>
            <w:tcW w:w="31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60" w:type="dxa"/>
            <w:vAlign w:val="bottom"/>
            <w:gridSpan w:val="2"/>
          </w:tcPr>
          <w:p>
            <w:pPr>
              <w:jc w:val="center"/>
              <w:ind w:right="305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March 30, 2006, Casual Male Retail Group, Inc. (the “Company”) issued a press release announcing the Company’s results of operations for the fourth quarter and fiscal year ended January 28, 2006. A copy of this press release is attached hereto as Exhibit 99.1.</w:t>
      </w:r>
    </w:p>
    <w:p>
      <w:pPr>
        <w:spacing w:after="0" w:line="13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9.01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140" w:type="dxa"/>
            <w:vAlign w:val="bottom"/>
            <w:gridSpan w:val="2"/>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8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Press Release announcing results of operations for the fourth quarter and fiscal year ended January 28, 2006 for Casual Male</w:t>
            </w:r>
          </w:p>
        </w:tc>
      </w:tr>
      <w:tr>
        <w:trPr>
          <w:trHeight w:val="222"/>
        </w:trPr>
        <w:tc>
          <w:tcPr>
            <w:tcW w:w="660" w:type="dxa"/>
            <w:vAlign w:val="bottom"/>
          </w:tcPr>
          <w:p>
            <w:pPr>
              <w:spacing w:after="0"/>
              <w:rPr>
                <w:sz w:val="19"/>
                <w:szCs w:val="19"/>
                <w:color w:val="auto"/>
              </w:rPr>
            </w:pPr>
          </w:p>
        </w:tc>
        <w:tc>
          <w:tcPr>
            <w:tcW w:w="9140" w:type="dxa"/>
            <w:vAlign w:val="bottom"/>
            <w:gridSpan w:val="2"/>
          </w:tcPr>
          <w:p>
            <w:pPr>
              <w:ind w:left="360"/>
              <w:spacing w:after="0"/>
              <w:rPr>
                <w:sz w:val="20"/>
                <w:szCs w:val="20"/>
                <w:color w:val="auto"/>
              </w:rPr>
            </w:pPr>
            <w:r>
              <w:rPr>
                <w:rFonts w:ascii="Arial" w:cs="Arial" w:eastAsia="Arial" w:hAnsi="Arial"/>
                <w:sz w:val="18"/>
                <w:szCs w:val="18"/>
                <w:color w:val="auto"/>
              </w:rPr>
              <w:t>Retail Group, Inc.</w:t>
            </w:r>
          </w:p>
        </w:tc>
      </w:tr>
      <w:tr>
        <w:trPr>
          <w:trHeight w:val="365"/>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80" w:type="dxa"/>
            <w:vAlign w:val="bottom"/>
          </w:tcPr>
          <w:p>
            <w:pPr>
              <w:ind w:left="3640"/>
              <w:spacing w:after="0"/>
              <w:rPr>
                <w:sz w:val="20"/>
                <w:szCs w:val="20"/>
                <w:color w:val="auto"/>
              </w:rPr>
            </w:pPr>
            <w:r>
              <w:rPr>
                <w:rFonts w:ascii="Arial" w:cs="Arial" w:eastAsia="Arial" w:hAnsi="Arial"/>
                <w:sz w:val="18"/>
                <w:szCs w:val="18"/>
                <w:color w:val="auto"/>
              </w:rPr>
              <w:t>Page 2</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30, 2006</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118110</wp:posOffset>
            </wp:positionV>
            <wp:extent cx="2160905" cy="1020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90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561-514-0115</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212-445-8368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SIGNIFICANTLY IMPROVED RESULTS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FISCAL 2005</w:t>
      </w:r>
    </w:p>
    <w:p>
      <w:pPr>
        <w:spacing w:after="0" w:line="159"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CANTON, MA (March 30, 2006) — Casual Male Retail Group, Inc. (NASDAQ/NMS: “CMRG”)</w:t>
      </w:r>
      <w:r>
        <w:rPr>
          <w:rFonts w:ascii="Arial" w:cs="Arial" w:eastAsia="Arial" w:hAnsi="Arial"/>
          <w:sz w:val="16"/>
          <w:szCs w:val="16"/>
          <w:color w:val="auto"/>
        </w:rPr>
        <w:t>,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Big &amp; Tall, Casual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Male XL </w:t>
      </w:r>
      <w:r>
        <w:rPr>
          <w:rFonts w:ascii="Arial" w:cs="Arial" w:eastAsia="Arial" w:hAnsi="Arial"/>
          <w:sz w:val="16"/>
          <w:szCs w:val="16"/>
          <w:color w:val="auto"/>
        </w:rPr>
        <w:t>and</w:t>
      </w:r>
      <w:r>
        <w:rPr>
          <w:rFonts w:ascii="Arial" w:cs="Arial" w:eastAsia="Arial" w:hAnsi="Arial"/>
          <w:sz w:val="16"/>
          <w:szCs w:val="16"/>
          <w:i w:val="1"/>
          <w:iCs w:val="1"/>
          <w:color w:val="auto"/>
        </w:rPr>
        <w:t xml:space="preserve"> Rochester Big &amp; Tall</w:t>
      </w:r>
      <w:r>
        <w:rPr>
          <w:rFonts w:ascii="Arial" w:cs="Arial" w:eastAsia="Arial" w:hAnsi="Arial"/>
          <w:sz w:val="16"/>
          <w:szCs w:val="16"/>
          <w:color w:val="auto"/>
        </w:rPr>
        <w:t>, announced its operating results for the fourth quarter and fiscal year ended January 28, 2006 (“fiscal 2005”).</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fourth quarter of fiscal 2005, net income was $13.5 million, or $0.38 per diluted share, compared to net income of $7.9 million, or $0.22 per diluted share, for the fourth quarter of fiscal 2004. Results for the fourth quarter of fiscal 2005 include a net tax benefit of $2.8 million primarily related to the reversal of a portion of the Company’s deferred tax valuation allowance. In addition, the results for the fourth quarter of fiscal 2005 include a net charge of $1.0 million associated with the Company’s $1.2 million expense for the prepayment of its mortgage note payable partially offset by a gain from the buyback of $5.3 million of its convertible notes. Assuming a normalized tax rate of 37.5% and without regard to these special items, earnings per share for the fourth quarter of fiscal 2005 was $0.21 per diluted share versus $0.14 per diluted share for the fourth quarter of fiscal 2004.</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For fiscal 2005, the Company reported net income of $10.8 million, or $0.30 per diluted share, compared to a net income of $1.5 million, or $0.04 per diluted share, in fiscal 2004. Assuming a normalized tax rate of 37.5% and without regard to the special items noted above, earnings per share for the fiscal year 2005 was $0.16 per diluted share compared to $0.03 per diluted share for fiscal year 2004.</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Dennis Hernreich, Executive Vice President, COO and CFO, stated, “The fourth quarter of fiscal 2005 was our most successful quarter since the acquisition of Casual Male in 2002. We believe our comparable sales increase of 7.9% for the fourth quarter resulted from the culmination of a number of key initiatives that we started over two years ago. Just as important, the Company generated a 340 basis point improvement in gross margin during the fourth quarter which drove a sustainable operating margin improvement for the year of 200 basis points.” Mr. Hernreich added, “As a result of our growing profitability, the Company’s earnings for fiscal 2005 benefited from approximately $0.08 per diluted share as we were able to recognize a portion of the Company’s previously reserved tax assets, which had been previously written off due to prior year losses.”</w:t>
      </w:r>
    </w:p>
    <w:p>
      <w:pPr>
        <w:sectPr>
          <w:pgSz w:w="11900" w:h="16838" w:orient="portrait"/>
          <w:cols w:equalWidth="0" w:num="1">
            <w:col w:w="11420"/>
          </w:cols>
          <w:pgMar w:left="240" w:top="125" w:right="239" w:bottom="1440" w:gutter="0" w:footer="0" w:header="0"/>
        </w:sectPr>
      </w:pPr>
    </w:p>
    <w:bookmarkStart w:id="4" w:name="page5"/>
    <w:bookmarkEnd w:id="4"/>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Investors are invited to listen to a broadcast of the Company’s conference call to discuss its fiscal 2005 earnings results. The conference call will broadcast live today on Thursday, March 30, 2006 at 11:00 a.m. Eastern Time at www.casualmale.com/investor.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3"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a normalized tax rate, which is a non-GAAP measure. Normalized tax basis reflects a 37.5% effective tax rate on pre-tax income (loss).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 The following table shows the reconciliation of net income for the fourth quarter and fiscal year of 2005 of $0.21 and $0.16 per diluted share, respectively, as compared to net income for the fourth quarter and fiscal year of 2004 of $0.14 and $0.03 per diluted share, respectively, on a GAAP basis affected for the adjustment for normalized taxes and without the net tax benefit of $2.8 million, primarily related to the reversal of the Company’s valuation allowance, and the $1.0 million in net charges incurred in connection with the retirement of the Company’s long-term debt.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i w:val="1"/>
                <w:iCs w:val="1"/>
                <w:color w:val="auto"/>
                <w:w w:val="86"/>
              </w:rPr>
              <w:t>For the fiscal year ended: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1/28/2006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w w:val="88"/>
              </w:rPr>
              <w:t>Diluted</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99"/>
              </w:rPr>
              <w:t>1/29/2005</w:t>
            </w:r>
          </w:p>
        </w:tc>
        <w:tc>
          <w:tcPr>
            <w:tcW w:w="26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w w:val="88"/>
              </w:rPr>
              <w:t>Diluted</w:t>
            </w:r>
          </w:p>
        </w:tc>
        <w:tc>
          <w:tcPr>
            <w:tcW w:w="8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6"/>
              </w:rPr>
              <w:t>1/28/2006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i w:val="1"/>
                <w:iCs w:val="1"/>
                <w:color w:val="auto"/>
                <w:w w:val="88"/>
              </w:rPr>
              <w:t>Diluted</w:t>
            </w: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99"/>
              </w:rPr>
              <w:t>1/29/2005</w:t>
            </w:r>
          </w:p>
        </w:tc>
        <w:tc>
          <w:tcPr>
            <w:tcW w:w="260" w:type="dxa"/>
            <w:vAlign w:val="bottom"/>
          </w:tcPr>
          <w:p>
            <w:pPr>
              <w:spacing w:after="0"/>
              <w:rPr>
                <w:sz w:val="12"/>
                <w:szCs w:val="12"/>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i w:val="1"/>
                <w:iCs w:val="1"/>
                <w:color w:val="auto"/>
                <w:w w:val="88"/>
              </w:rPr>
              <w:t>Diluted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for earnings per share(EPS) amounts)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rPr>
              <w:t>EPS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rPr>
              <w:t>EPS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rPr>
              <w:t>EPS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i w:val="1"/>
                <w:iCs w:val="1"/>
                <w:color w:val="auto"/>
              </w:rPr>
              <w:t>EPS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as reported</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7.9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$ 0.22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0.30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w w:val="89"/>
              </w:rPr>
              <w:t>Add back of other expense, net (associated with the prepayment of certain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i w:val="1"/>
                <w:iCs w:val="1"/>
                <w:color w:val="auto"/>
              </w:rPr>
              <w:t>long-term debt)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1.0</w:t>
            </w:r>
          </w:p>
        </w:tc>
        <w:tc>
          <w:tcPr>
            <w:tcW w:w="6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1.0</w:t>
            </w:r>
          </w:p>
        </w:tc>
        <w:tc>
          <w:tcPr>
            <w:tcW w:w="640" w:type="dxa"/>
            <w:vAlign w:val="bottom"/>
            <w:gridSpan w:val="2"/>
          </w:tcPr>
          <w:p>
            <w:pPr>
              <w:jc w:val="right"/>
              <w:spacing w:after="0"/>
              <w:rPr>
                <w:sz w:val="20"/>
                <w:szCs w:val="20"/>
                <w:color w:val="auto"/>
              </w:rPr>
            </w:pPr>
            <w:r>
              <w:rPr>
                <w:rFonts w:ascii="Arial" w:cs="Arial" w:eastAsia="Arial" w:hAnsi="Arial"/>
                <w:sz w:val="18"/>
                <w:szCs w:val="18"/>
                <w:i w:val="1"/>
                <w:iCs w:val="1"/>
                <w:color w:val="auto"/>
              </w:rPr>
              <w:t>0.03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Deduct benefit from valuation allowance reversal, net of tax accrual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tax provision, assuming normalized tax rate of 37.5%</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i w:val="1"/>
                <w:iCs w:val="1"/>
                <w:color w:val="auto"/>
              </w:rPr>
              <w:t>(4.4)</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(0.08)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(0.09)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(0.6)</w:t>
            </w:r>
          </w:p>
        </w:tc>
        <w:tc>
          <w:tcPr>
            <w:tcW w:w="540" w:type="dxa"/>
            <w:vAlign w:val="bottom"/>
            <w:gridSpan w:val="2"/>
          </w:tcPr>
          <w:p>
            <w:pPr>
              <w:jc w:val="right"/>
              <w:spacing w:after="0"/>
              <w:rPr>
                <w:sz w:val="20"/>
                <w:szCs w:val="20"/>
                <w:color w:val="auto"/>
              </w:rPr>
            </w:pPr>
            <w:r>
              <w:rPr>
                <w:rFonts w:ascii="Arial" w:cs="Arial" w:eastAsia="Arial" w:hAnsi="Arial"/>
                <w:sz w:val="18"/>
                <w:szCs w:val="18"/>
                <w:i w:val="1"/>
                <w:iCs w:val="1"/>
                <w:color w:val="auto"/>
              </w:rPr>
              <w:t>(0.01)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net income, after normalized tax benefit</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7.3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$ 0.21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4.9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$ 0.14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$ 0.16</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1"/>
              </w:rPr>
              <w:t>$ 0.03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Weighted average shares outstanding –diluted</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35.8</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35.7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35.9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36.7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retail operations throughout the United States, Canada and London, England, operates 484 Casual Male Big &amp; Tall and Casual Male XL stores, the Casual Male e-commerce site, Casual Male catalog business, 13 Casual Male at Sears-Canada stores, 23 Rochester Big &amp; Tall stores and a direct to consumer business. The Company is headquartered in Canton, Massachusetts, and its common stock is listed on the NASDAQ National Market under the symbol “CMRG.”</w:t>
      </w:r>
    </w:p>
    <w:p>
      <w:pPr>
        <w:sectPr>
          <w:pgSz w:w="11900" w:h="16838" w:orient="portrait"/>
          <w:cols w:equalWidth="0" w:num="1">
            <w:col w:w="11420"/>
          </w:cols>
          <w:pgMar w:left="240" w:top="280" w:right="2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280"/>
          </w:cols>
          <w:pgMar w:left="240" w:top="280"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6"/>
              </w:rPr>
              <w:t>For the three months ended</w:t>
            </w:r>
          </w:p>
        </w:tc>
        <w:tc>
          <w:tcPr>
            <w:tcW w:w="260" w:type="dxa"/>
            <w:vAlign w:val="bottom"/>
          </w:tcPr>
          <w:p>
            <w:pPr>
              <w:spacing w:after="0"/>
              <w:rPr>
                <w:sz w:val="14"/>
                <w:szCs w:val="14"/>
                <w:color w:val="auto"/>
              </w:rPr>
            </w:pPr>
          </w:p>
        </w:tc>
        <w:tc>
          <w:tcPr>
            <w:tcW w:w="23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For the 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28, 2006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52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January 28, 2006</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January 29,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129,695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421,383</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67,827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239,203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182,180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37,379</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151,890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12,737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164,627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10,301</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17,553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(2,030)</w:t>
            </w:r>
          </w:p>
        </w:tc>
        <w:tc>
          <w:tcPr>
            <w:tcW w:w="2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minority interest and income</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10,727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8,031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57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8,271</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10,760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7,885</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10,760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5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5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34,360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34,224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34,306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35,860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28, 2006 and January 29,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28,</w:t>
            </w:r>
          </w:p>
        </w:tc>
        <w:tc>
          <w:tcPr>
            <w:tcW w:w="2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January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0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5,568</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 (land and building)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51,273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283,831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283,831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2019-12-11T21:14:16Z</dcterms:created>
  <dcterms:modified xsi:type="dcterms:W3CDTF">2019-12-11T21:14:16Z</dcterms:modified>
</cp:coreProperties>
</file>