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19)*</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NOVEMBER 5,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1,608,650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1,608,650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1"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10.07%</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supplementally amended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 November 5, 1999, Jewelcor Management, Inc. ("JMI") purchased</w:t>
      </w:r>
    </w:p>
    <w:p>
      <w:pPr>
        <w:spacing w:after="0" w:line="238" w:lineRule="auto"/>
        <w:rPr>
          <w:sz w:val="20"/>
          <w:szCs w:val="20"/>
          <w:color w:val="auto"/>
        </w:rPr>
      </w:pPr>
      <w:r>
        <w:rPr>
          <w:rFonts w:ascii="Courier New" w:cs="Courier New" w:eastAsia="Courier New" w:hAnsi="Courier New"/>
          <w:sz w:val="18"/>
          <w:szCs w:val="18"/>
          <w:color w:val="auto"/>
        </w:rPr>
        <w:t>38,450 shares of Common Stock at a total cost (including fees) of</w:t>
      </w:r>
    </w:p>
    <w:p>
      <w:pPr>
        <w:spacing w:after="0"/>
        <w:rPr>
          <w:sz w:val="20"/>
          <w:szCs w:val="20"/>
          <w:color w:val="auto"/>
        </w:rPr>
      </w:pPr>
      <w:r>
        <w:rPr>
          <w:rFonts w:ascii="Courier New" w:cs="Courier New" w:eastAsia="Courier New" w:hAnsi="Courier New"/>
          <w:sz w:val="18"/>
          <w:szCs w:val="18"/>
          <w:color w:val="auto"/>
        </w:rPr>
        <w:t>$51,067.38 from funds borrowed by JMI against its margin account with Bear</w:t>
      </w:r>
    </w:p>
    <w:p>
      <w:pPr>
        <w:spacing w:after="0" w:line="237" w:lineRule="auto"/>
        <w:rPr>
          <w:sz w:val="20"/>
          <w:szCs w:val="20"/>
          <w:color w:val="auto"/>
        </w:rPr>
      </w:pPr>
      <w:r>
        <w:rPr>
          <w:rFonts w:ascii="Courier New" w:cs="Courier New" w:eastAsia="Courier New" w:hAnsi="Courier New"/>
          <w:sz w:val="18"/>
          <w:szCs w:val="18"/>
          <w:color w:val="auto"/>
        </w:rPr>
        <w:t>Stearns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5 is supplementally amended as follows:</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As of November 5, 1999, JMI beneficially owns an aggregate of 1,608,650 shares of Common Stock. Based upon Designs' Form 10-Q filed September 14, 1999 which reports the number of outstanding shares of the Company to be 15,973,000, JMI beneficially owns approximately 10.07% of said outstanding shares.</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8,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2020-02-22T16:02:13Z</dcterms:created>
  <dcterms:modified xsi:type="dcterms:W3CDTF">2020-02-22T16:02:13Z</dcterms:modified>
</cp:coreProperties>
</file>