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659"/>
        <w:spacing w:after="0" w:line="238" w:lineRule="auto"/>
        <w:rPr>
          <w:sz w:val="20"/>
          <w:szCs w:val="20"/>
          <w:color w:val="auto"/>
        </w:rPr>
      </w:pPr>
      <w:r>
        <w:rPr>
          <w:rFonts w:ascii="Courier New" w:cs="Courier New" w:eastAsia="Courier New" w:hAnsi="Courier New"/>
          <w:sz w:val="18"/>
          <w:szCs w:val="18"/>
          <w:color w:val="auto"/>
        </w:rPr>
        <w:t>Pursuant to Section 13 or 15 (d) of the</w:t>
      </w:r>
    </w:p>
    <w:p>
      <w:pPr>
        <w:jc w:val="center"/>
        <w:ind w:right="165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Date of Report:</w:t>
      </w:r>
    </w:p>
    <w:p>
      <w:pPr>
        <w:ind w:left="3480"/>
        <w:spacing w:after="0" w:line="238" w:lineRule="auto"/>
        <w:rPr>
          <w:sz w:val="20"/>
          <w:szCs w:val="20"/>
          <w:color w:val="auto"/>
        </w:rPr>
      </w:pPr>
      <w:r>
        <w:rPr>
          <w:rFonts w:ascii="Courier New" w:cs="Courier New" w:eastAsia="Courier New" w:hAnsi="Courier New"/>
          <w:sz w:val="18"/>
          <w:szCs w:val="18"/>
          <w:color w:val="auto"/>
        </w:rPr>
        <w:t>April 13,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 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2960" w:space="620"/>
            <w:col w:w="1720" w:space="720"/>
            <w:col w:w="419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Zip Code )</w:t>
      </w:r>
    </w:p>
    <w:p>
      <w:pPr>
        <w:spacing w:after="0" w:line="200" w:lineRule="exact"/>
        <w:rPr>
          <w:sz w:val="24"/>
          <w:szCs w:val="24"/>
          <w:color w:val="auto"/>
        </w:rPr>
      </w:pPr>
    </w:p>
    <w:p>
      <w:pPr>
        <w:sectPr>
          <w:pgSz w:w="11900" w:h="16838" w:orient="portrait"/>
          <w:cols w:equalWidth="0" w:num="2">
            <w:col w:w="5820" w:space="720"/>
            <w:col w:w="367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781-444-7222</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Registrant's telephone number,</w:t>
      </w:r>
    </w:p>
    <w:p>
      <w:pPr>
        <w:ind w:left="3160"/>
        <w:spacing w:after="0" w:line="237" w:lineRule="auto"/>
        <w:rPr>
          <w:sz w:val="20"/>
          <w:szCs w:val="20"/>
          <w:color w:val="auto"/>
        </w:rPr>
      </w:pPr>
      <w:r>
        <w:rPr>
          <w:rFonts w:ascii="Courier New" w:cs="Courier New" w:eastAsia="Courier New" w:hAnsi="Courier New"/>
          <w:sz w:val="18"/>
          <w:szCs w:val="18"/>
          <w:color w:val="auto"/>
        </w:rPr>
        <w:t>including area code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New Chairman and Directors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April 13, 2000, the Company announced that Seymour Holtzman was elected Chairman of the Board of Directors. In addition, David A. Levin, recently appointed to the position of President and Chief Executive Officer, and Stanley Berger, one of the original founders of Designs, Inc., were appointed as Directors of the Company, increasing the Company's Board of Directors to nine members.</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1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13,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/s/David A. Levin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David A.Levin, President,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Chief Executive Officer</w:t>
      </w:r>
    </w:p>
    <w:p>
      <w:pPr>
        <w:ind w:left="640"/>
        <w:spacing w:after="0" w:line="238" w:lineRule="auto"/>
        <w:rPr>
          <w:sz w:val="20"/>
          <w:szCs w:val="20"/>
          <w:color w:val="auto"/>
        </w:rPr>
      </w:pPr>
      <w:r>
        <w:rPr>
          <w:rFonts w:ascii="Courier New" w:cs="Courier New" w:eastAsia="Courier New" w:hAnsi="Courier New"/>
          <w:sz w:val="18"/>
          <w:szCs w:val="18"/>
          <w:color w:val="auto"/>
        </w:rPr>
        <w:t>and Director</w:t>
      </w:r>
    </w:p>
    <w:sectPr>
      <w:pgSz w:w="11900" w:h="16838" w:orient="portrait"/>
      <w:cols w:equalWidth="0" w:num="2">
        <w:col w:w="4340" w:space="720"/>
        <w:col w:w="515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2019-12-11T18:43:40Z</dcterms:created>
  <dcterms:modified xsi:type="dcterms:W3CDTF">2019-12-11T18:43:40Z</dcterms:modified>
</cp:coreProperties>
</file>