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236"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52"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or</w:t>
      </w:r>
    </w:p>
    <w:p>
      <w:pPr>
        <w:spacing w:after="0" w:line="28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271"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232"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246380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DESTINATION XL GROUP, INC. 401(K) SALARIED SAVINGS PLAN</w:t>
      </w:r>
    </w:p>
    <w:p>
      <w:pPr>
        <w:spacing w:after="0" w:line="14" w:lineRule="exact"/>
        <w:rPr>
          <w:sz w:val="24"/>
          <w:szCs w:val="24"/>
          <w:color w:val="auto"/>
        </w:rPr>
      </w:pPr>
    </w:p>
    <w:p>
      <w:pPr>
        <w:jc w:val="center"/>
        <w:ind w:right="-619"/>
        <w:spacing w:after="0"/>
        <w:rPr>
          <w:sz w:val="20"/>
          <w:szCs w:val="20"/>
          <w:color w:val="auto"/>
        </w:rPr>
      </w:pPr>
      <w:r>
        <w:rPr>
          <w:rFonts w:ascii="Arial" w:cs="Arial" w:eastAsia="Arial" w:hAnsi="Arial"/>
          <w:sz w:val="22"/>
          <w:szCs w:val="22"/>
          <w:i w:val="1"/>
          <w:iCs w:val="1"/>
          <w:color w:val="auto"/>
        </w:rPr>
        <w:t>(Full title of the plan)</w:t>
      </w:r>
    </w:p>
    <w:p>
      <w:pPr>
        <w:spacing w:after="0" w:line="209"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DESTINATION XL GROUP, INC.</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555 Turnpike Street</w:t>
      </w:r>
    </w:p>
    <w:p>
      <w:pPr>
        <w:jc w:val="center"/>
        <w:ind w:right="-619"/>
        <w:spacing w:after="0" w:line="230" w:lineRule="auto"/>
        <w:rPr>
          <w:sz w:val="20"/>
          <w:szCs w:val="20"/>
          <w:color w:val="auto"/>
        </w:rPr>
      </w:pPr>
      <w:r>
        <w:rPr>
          <w:rFonts w:ascii="Arial" w:cs="Arial" w:eastAsia="Arial" w:hAnsi="Arial"/>
          <w:sz w:val="22"/>
          <w:szCs w:val="22"/>
          <w:b w:val="1"/>
          <w:bCs w:val="1"/>
          <w:color w:val="auto"/>
        </w:rPr>
        <w:t>Canton, Massachusetts 02021</w:t>
      </w:r>
    </w:p>
    <w:p>
      <w:pPr>
        <w:jc w:val="center"/>
        <w:ind w:right="-619"/>
        <w:spacing w:after="0" w:line="231" w:lineRule="auto"/>
        <w:rPr>
          <w:sz w:val="20"/>
          <w:szCs w:val="20"/>
          <w:color w:val="auto"/>
        </w:rPr>
      </w:pPr>
      <w:r>
        <w:rPr>
          <w:rFonts w:ascii="Arial" w:cs="Arial" w:eastAsia="Arial" w:hAnsi="Arial"/>
          <w:sz w:val="22"/>
          <w:szCs w:val="22"/>
          <w:i w:val="1"/>
          <w:iCs w:val="1"/>
          <w:color w:val="auto"/>
        </w:rPr>
        <w:t>(Name of issuer of the securities held pursuant to the plan and the address</w:t>
      </w:r>
    </w:p>
    <w:p>
      <w:pPr>
        <w:jc w:val="center"/>
        <w:ind w:right="-619"/>
        <w:spacing w:after="0"/>
        <w:rPr>
          <w:sz w:val="20"/>
          <w:szCs w:val="20"/>
          <w:color w:val="auto"/>
        </w:rPr>
      </w:pPr>
      <w:r>
        <w:rPr>
          <w:rFonts w:ascii="Arial" w:cs="Arial" w:eastAsia="Arial" w:hAnsi="Arial"/>
          <w:sz w:val="22"/>
          <w:szCs w:val="22"/>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Destination XL Group, Inc. 401(k) Salaried Savings Plan</w:t>
      </w:r>
    </w:p>
    <w:p>
      <w:pPr>
        <w:spacing w:after="0" w:line="9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Financial Statements and Supplemental Schedule</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Year Ended December 31, 2013</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6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586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Statements of Net Assets Available for Benefits as of December 31, 2013 and 2012</w:t>
              </w:r>
            </w:hyperlink>
          </w:p>
        </w:tc>
        <w:tc>
          <w:tcPr>
            <w:tcW w:w="3100" w:type="dxa"/>
            <w:vAlign w:val="bottom"/>
            <w:gridSpan w:val="3"/>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69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Statement of Changes in Net Assets Available for Benefits for the Year Ended December 31, 2013</w:t>
              </w:r>
            </w:hyperlink>
          </w:p>
        </w:tc>
        <w:tc>
          <w:tcPr>
            <w:tcW w:w="204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896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304"/>
        </w:trPr>
        <w:tc>
          <w:tcPr>
            <w:tcW w:w="2100" w:type="dxa"/>
            <w:vAlign w:val="bottom"/>
            <w:tcBorders>
              <w:top w:val="single" w:sz="8" w:color="0000EE"/>
            </w:tcBorders>
            <w:gridSpan w:val="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Supplemental Schedule</w:t>
              </w:r>
            </w:hyperlink>
          </w:p>
        </w:tc>
        <w:tc>
          <w:tcPr>
            <w:tcW w:w="6860" w:type="dxa"/>
            <w:vAlign w:val="bottom"/>
            <w:gridSpan w:val="5"/>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1660" w:type="dxa"/>
            <w:vAlign w:val="bottom"/>
            <w:shd w:val="clear" w:color="auto" w:fill="0000EE"/>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8960" w:type="dxa"/>
            <w:vAlign w:val="bottom"/>
            <w:gridSpan w:val="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Schedule H, Line 4i – Schedule of Assets (Held at End of Year) as of December 31, 2013</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Salaried Savings Plan</w:t>
      </w:r>
    </w:p>
    <w:p>
      <w:pPr>
        <w:spacing w:after="0" w:line="165"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We have audited the accompanying statements of net assets available for benefits of the Destination XL Group, Inc. 401(k) Salaried Savings Plan (the “Plan”) as of December 31, 2013 and 2012, and the related statement of changes in net assets available for benefits for the year ended December 31, 2013.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2013 and 2012, and the changes in net assets available for benefits for the year ended December 31, 2013, in conformity with accounting principles generally accepted in the United States of America.</w:t>
      </w:r>
    </w:p>
    <w:p>
      <w:pPr>
        <w:spacing w:after="0" w:line="14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supplemental Schedule of Assets (Held at End of Year) as of December 31, 2013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CPAs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New York Practice of Mayer Hoffman McCann P.C.)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30, 2014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Destination XL Group, Inc. 401(k) Salaried Savings Plan</w:t>
      </w:r>
    </w:p>
    <w:p>
      <w:pPr>
        <w:spacing w:after="0" w:line="9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Statements of Net Assets Available for Benefits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2013 and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at fair value (Notes 3, 4 and 5)</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$36,177,255</w:t>
            </w:r>
          </w:p>
        </w:tc>
        <w:tc>
          <w:tcPr>
            <w:tcW w:w="3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$30,758,147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Participants’ contributions</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1,170,977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985,939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Notes receivable from participants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794,878</w:t>
            </w: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1,965,855</w:t>
            </w:r>
          </w:p>
        </w:tc>
        <w:tc>
          <w:tcPr>
            <w:tcW w:w="3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200" w:type="dxa"/>
            <w:vAlign w:val="bottom"/>
            <w:gridSpan w:val="2"/>
          </w:tcPr>
          <w:p>
            <w:pPr>
              <w:spacing w:after="0"/>
              <w:rPr>
                <w:sz w:val="20"/>
                <w:szCs w:val="20"/>
                <w:color w:val="auto"/>
              </w:rPr>
            </w:pPr>
            <w:r>
              <w:rPr>
                <w:rFonts w:ascii="Arial" w:cs="Arial" w:eastAsia="Arial" w:hAnsi="Arial"/>
                <w:sz w:val="18"/>
                <w:szCs w:val="18"/>
                <w:color w:val="auto"/>
              </w:rPr>
              <w:t>Total assets reflecting investments at fair value</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38,143,110</w:t>
            </w:r>
          </w:p>
        </w:tc>
        <w:tc>
          <w:tcPr>
            <w:tcW w:w="3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32,563,990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1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(84,549)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(152,763)</w:t>
            </w:r>
          </w:p>
        </w:tc>
        <w:tc>
          <w:tcPr>
            <w:tcW w:w="0" w:type="dxa"/>
            <w:vAlign w:val="bottom"/>
          </w:tcPr>
          <w:p>
            <w:pPr>
              <w:spacing w:after="0"/>
              <w:rPr>
                <w:sz w:val="1"/>
                <w:szCs w:val="1"/>
                <w:color w:val="auto"/>
              </w:rPr>
            </w:pPr>
          </w:p>
        </w:tc>
      </w:tr>
      <w:tr>
        <w:trPr>
          <w:trHeight w:val="330"/>
        </w:trPr>
        <w:tc>
          <w:tcPr>
            <w:tcW w:w="920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38,058,561</w:t>
            </w:r>
          </w:p>
        </w:tc>
        <w:tc>
          <w:tcPr>
            <w:tcW w:w="32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32,411,227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700"/>
        <w:spacing w:after="0"/>
        <w:rPr>
          <w:sz w:val="20"/>
          <w:szCs w:val="20"/>
          <w:color w:val="auto"/>
        </w:rPr>
      </w:pPr>
      <w:r>
        <w:rPr>
          <w:rFonts w:ascii="Arial" w:cs="Arial" w:eastAsia="Arial" w:hAnsi="Arial"/>
          <w:sz w:val="16"/>
          <w:szCs w:val="16"/>
          <w:color w:val="auto"/>
        </w:rPr>
        <w:t>Destination XL Group, Inc. 401(k) Salaried Savings Plan</w:t>
      </w:r>
    </w:p>
    <w:p>
      <w:pPr>
        <w:spacing w:after="0" w:line="113" w:lineRule="exact"/>
        <w:rPr>
          <w:sz w:val="20"/>
          <w:szCs w:val="20"/>
          <w:color w:val="auto"/>
        </w:rPr>
      </w:pPr>
    </w:p>
    <w:p>
      <w:pPr>
        <w:jc w:val="right"/>
        <w:ind w:right="1934"/>
        <w:spacing w:after="0"/>
        <w:rPr>
          <w:sz w:val="20"/>
          <w:szCs w:val="20"/>
          <w:color w:val="auto"/>
        </w:rPr>
      </w:pPr>
      <w:r>
        <w:rPr>
          <w:rFonts w:ascii="Arial" w:cs="Arial" w:eastAsia="Arial" w:hAnsi="Arial"/>
          <w:sz w:val="18"/>
          <w:szCs w:val="18"/>
          <w:color w:val="auto"/>
        </w:rPr>
        <w:t>Statement of Changes in Net Assets Available for Benefits</w:t>
      </w:r>
    </w:p>
    <w:p>
      <w:pPr>
        <w:spacing w:after="0" w:line="1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For the Year Ended December 31, 2013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appreciation in fair value of investments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Dividend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on notes receivable from participants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Participants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Rollovers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Transfers into the Plan (Note 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Benefits paid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Transfers out of the Plan (Note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Total deductions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beginning of year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jc w:val="center"/>
        <w:ind w:left="1726"/>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ind w:left="172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6" w:hanging="186"/>
        <w:spacing w:after="0"/>
        <w:tabs>
          <w:tab w:leader="none" w:pos="186" w:val="left"/>
        </w:tabs>
        <w:numPr>
          <w:ilvl w:val="0"/>
          <w:numId w:val="3"/>
        </w:numPr>
        <w:rPr>
          <w:rFonts w:ascii="Arial" w:cs="Arial" w:eastAsia="Arial" w:hAnsi="Arial"/>
          <w:sz w:val="15"/>
          <w:szCs w:val="15"/>
          <w:color w:val="auto"/>
        </w:rPr>
      </w:pPr>
      <w:r>
        <w:rPr>
          <w:rFonts w:ascii="Arial" w:cs="Arial" w:eastAsia="Arial" w:hAnsi="Arial"/>
          <w:sz w:val="15"/>
          <w:szCs w:val="15"/>
          <w:color w:val="auto"/>
        </w:rPr>
        <w:t>3,882,782</w:t>
      </w:r>
    </w:p>
    <w:p>
      <w:pPr>
        <w:spacing w:after="0" w:line="49" w:lineRule="exact"/>
        <w:rPr>
          <w:rFonts w:ascii="Arial" w:cs="Arial" w:eastAsia="Arial" w:hAnsi="Arial"/>
          <w:sz w:val="15"/>
          <w:szCs w:val="15"/>
          <w:color w:val="auto"/>
        </w:rPr>
      </w:pPr>
    </w:p>
    <w:p>
      <w:pPr>
        <w:ind w:left="186"/>
        <w:spacing w:after="0"/>
        <w:rPr>
          <w:rFonts w:ascii="Arial" w:cs="Arial" w:eastAsia="Arial" w:hAnsi="Arial"/>
          <w:sz w:val="15"/>
          <w:szCs w:val="15"/>
          <w:color w:val="auto"/>
        </w:rPr>
      </w:pPr>
      <w:r>
        <w:rPr>
          <w:rFonts w:ascii="Arial" w:cs="Arial" w:eastAsia="Arial" w:hAnsi="Arial"/>
          <w:sz w:val="15"/>
          <w:szCs w:val="15"/>
          <w:color w:val="auto"/>
        </w:rPr>
        <w:t>1,830,118</w:t>
      </w:r>
    </w:p>
    <w:p>
      <w:pPr>
        <w:spacing w:after="0" w:line="64" w:lineRule="exact"/>
        <w:rPr>
          <w:rFonts w:ascii="Arial" w:cs="Arial" w:eastAsia="Arial" w:hAnsi="Arial"/>
          <w:sz w:val="15"/>
          <w:szCs w:val="15"/>
          <w:color w:val="auto"/>
        </w:rPr>
      </w:pPr>
    </w:p>
    <w:p>
      <w:pPr>
        <w:ind w:left="186"/>
        <w:spacing w:after="0"/>
        <w:rPr>
          <w:rFonts w:ascii="Arial" w:cs="Arial" w:eastAsia="Arial" w:hAnsi="Arial"/>
          <w:sz w:val="15"/>
          <w:szCs w:val="15"/>
          <w:color w:val="auto"/>
        </w:rPr>
      </w:pPr>
      <w:r>
        <w:rPr>
          <w:rFonts w:ascii="Arial" w:cs="Arial" w:eastAsia="Arial" w:hAnsi="Arial"/>
          <w:sz w:val="15"/>
          <w:szCs w:val="15"/>
          <w:color w:val="auto"/>
        </w:rPr>
        <w:t>5,712,900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5657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38,837</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2,782,989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1,171,616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439,123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657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4,393,728</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309,832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657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auto"/>
        </w:rPr>
        <w:t>10,455,297</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4,443,666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334,921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657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4,807,963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657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5,647,334</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auto"/>
        </w:rPr>
        <w:t>32,411,227</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15"/>
          <w:szCs w:val="15"/>
          <w:u w:val="single" w:color="auto"/>
          <w:color w:val="auto"/>
        </w:rPr>
        <w:t>$38,058,561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5657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ectPr>
          <w:pgSz w:w="11900" w:h="16838" w:orient="portrait"/>
          <w:cols w:equalWidth="0" w:num="2">
            <w:col w:w="9714" w:space="720"/>
            <w:col w:w="886"/>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Destination XL Group, Inc. 401(k) Salaried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following description of Destination XL Group, Inc. 401(k) Salaried Savings Plan (formerly Casual Male Retail Group, Inc. 401(k) Salaried Savings Plan) (the “Plan”) provides only general information. Participants should refer to the Plan document for a more complete description of the Plan’s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Plan is a defined contribution plan covering eligible employees of Destination XL Group, Inc. (the “Company”). The Plan is subject to the provisions of the Employee Retirement Income Security Act of 1974 (“ERISA”).</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Plan is administered by the Company’s Investment Committee (“Committee”), which is a committee comprised of members of management of the Company. The Committee has overall responsibility for the operation and administration of the Plan. The Committee, along with its investment advisors and trustee, has developed an investment policy to determine the appropriateness of the Plan’s investment offerings, monitors investment performance and reports to the Company’s Board of Directors.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All salaried employees of the Company who have completed six months of employment and are at least 21 years of age are eligible to participate in the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After completing age and service requirements, the employee can enter the Plan on the first day of any subsequent month.</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participants change positions at the Company, they may change from an hourly to salary status or vice versa. Assets transferred to the Destination XL Group, Inc. 401(k) Hourly Savings Plan during the year ended December 31, 2013 were $334,921. Assets transferred from the Destination XL Group, Inc. 401(k) Hourly Savings Plan during the year ended December 31, 2013 were $309,832.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year, participants may contribute up to 80% of annual compensation as defined in the Plan. The participants can elect their contributions to be on a before tax and/or after tax basis. Participants may also contribute amounts representing distributions from other qualified defined benefit or defined contribution plans. Additionally, participants who have attained age 50 before the end of the plan year are eligible to make catch-up contributions. Contributions are subject to certain Internal Revenue Code (“Code”) limitations.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Safe Harbor Matching provisions permitted under the Pension Protection Act of 2006, the Company matches 100% of the participant’s elective deferral for the first 1% of eligible compensation plus 50% of the participant’s elective deferral for the next 5% of eligible compensation. Additional amounts may be contributed at the discretion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Destination XL Group, Inc. 401(k) Salaried Savings Plan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Automatic Enrollment</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Each employee who has satisfied the eligibility requirements shall be automatically enrolled and shall have an amount equal to 5% of their compensation automatically deferred unless the employee affirmatively elects a different elective deferral contribution percentage (including a zero percent election). Unless an eligible employee affirmatively elects not to contribute or changes his or her deferral rate, the pre-tax deferral will increase annually by 1% not to exceed 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Accounts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Each participant’s account is credited with the participant’s contributions, the Company’s matching and discretionary contribution, Plan earnings, and charged with an allocation of Plan expenses. The Plan expenses are divided equally to all participants. The benefits to which a participant is entitled are the benefits that can be provided from the participant’s vested account.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Participants are immediately vested in their contributions plus actual earnings thereon. Vesting in the Company contribution portion of their accounts plus actual earnings thereon is based on years of continuous service. A participant is 100% vested after two years of credited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Forfeitures</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Amounts forfeited under the Plan are used to reduce future employer contributions and administrative expenses. At December 31, 2013 and 2012, forfeited non-vested accounts totaled $48,608 and $70,826 respectively. In March 2014, $30,000 was used to reduce employer contributions.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Upon enrollment in the Plan, participants may direct their elective contribution and Company contributions into various investment options offered by the Plan.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 401(k) Salaried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Participants may borrow the lesser of $50,000 reduced by the individual’s highest outstanding loan balance during the preceding twelve months or 50% of the individual’s vested balance with a minimum of $1,000 per loan. Loans are secured by the balance in the participant’s account and bear interest at rates which are commensurate with local prevailing rates as determined by the Plan Administrator at the inception of the loan (currently at prime rate plus 1.5%). Loan terms range from one to five years unless the loan is used to purchase a primary residence, in which case the loan may be repaid over a ten-year period. Other restrictions, as specified in the Plan agreement, may apply to a participant’s loan transaction. Principal and interest are paid ratably through payroll deductions.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Distribution can be made if requested due to disability, retirement, or termination of employment. On termination of service for any reason, a participant may receive a lump-sum amount equal to the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14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Beneficiaries may request a distribution of the vested account balance in the event of death. The account balance will continue to increase or decrease, as appropriate, based on the investment returns until it is distributed.</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Distribution can be deferred to a later date, however, it cannot be postponed if the vested account balance is $5,000 or less; in which case the Plan Administrator will direct the Trustee that any amount exceeding $1,000 be distributed to an Individual Retirement Account or Annuity (“IRA”). If the vested account balance is $1,000 or less, the Plan Administrator will direct the Trustee to distribute it as a lump sum distribution without the participant’s consent. Prior to such distribution, participants still have the right to request that the amount be distributed directly to them in the form of a lump sum payment or to request that it be rolled-over to a different IRA provider or another retirement plan eligible to receive rollover contributions. If the participant fails to request a different treatment of an automatic distribution under the Plan’s cash-out provision, the distribution will be paid over to an IRA provider chosen by the Plan Administrator and invested in a product designed to preserve the principal of that distribution while still providing a reasonable rate of return and preserving liquidity. The fees assessed against this newly established IRA by its provider will be paid by the participant.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Destination XL Group, Inc. 401(k) Salaried Savings Plan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Termination</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Fidelity Advisor Stable Value Fund invests in fully benefit-responsive investment contracts which are reported at fair value (see Note 5); however, contract value is the relevant measurement attribute for that portion of the net assets available for benefits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 and Income Recognition</w:t>
      </w:r>
    </w:p>
    <w:p>
      <w:pPr>
        <w:spacing w:after="0" w:line="9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Investments are stated at fair value. Fair value is the price that would be received to sell an asset or paid to transfer a liability in an orderly transaction between market participants at the measurement date. The Committee determines the Plan’s valuation policies utilizing information provided by the investment advisers and trustee. See Note 5 for further discussion of fair value measurements.</w:t>
      </w:r>
    </w:p>
    <w:p>
      <w:pPr>
        <w:spacing w:after="0" w:line="140" w:lineRule="exact"/>
        <w:rPr>
          <w:sz w:val="20"/>
          <w:szCs w:val="20"/>
          <w:color w:val="auto"/>
        </w:rPr>
      </w:pPr>
    </w:p>
    <w:p>
      <w:pPr>
        <w:jc w:val="both"/>
        <w:ind w:right="160"/>
        <w:spacing w:after="0" w:line="332" w:lineRule="auto"/>
        <w:rPr>
          <w:sz w:val="20"/>
          <w:szCs w:val="20"/>
          <w:color w:val="auto"/>
        </w:rPr>
      </w:pPr>
      <w:r>
        <w:rPr>
          <w:rFonts w:ascii="Arial" w:cs="Arial" w:eastAsia="Arial" w:hAnsi="Arial"/>
          <w:sz w:val="16"/>
          <w:szCs w:val="16"/>
          <w:color w:val="auto"/>
        </w:rPr>
        <w:t>Purchases and sales of securities are recorded on a trade-date basis. Interest income is recorded on the accrual basis. Dividends are recorded on the ex-dividend date. Net appreciation includes the plan’s gains and losses on investments bought and sold as well as held during the year.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Destination XL Group, Inc. 401(k) Salaried Savings Plan</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9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Notes receivable from participants are measured at their unpaid principal balance plus accrued but unpaid interest. Interest income is recorded on the accrual basis. Related fees are recorded as administrative expenses and are expensed when they are incurred. No allowance for credit losses has been recorded as of December 31, 2013 and 2012. If a participant ceases to make loan repayments and the Plan Administrator deems the participant loan to be in default, the participant loan balance is reduced and a benefit payment is recorded.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 Values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Individual participant accounts for the Fidelity Advisor Stable Value Fund, a common/collective trust fund, are maintained on a unit value basis. Participants do not have beneficial ownership in the specific underlying securities or other assets in the fund, but do have an interest therein represented by units valued daily. The fund earns dividends and interest which are automatically reinvested in additional units. Generally, contributions to and withdrawals from each fund are converted to units by dividing the amounts of such transactions by the unit values as last determined, and the participants’ accounts are charged or credited with the number of units properly attributable to each participant.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Expenses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accordance with the Plan, all administrative expenses may be paid out of the Plan unless paid by the Company. During 2013, there were no expenses paid by the Company. Fees related to the administration of notes receivable from participants are charged directly to the participant’s account and are included in administrative expenses. Investment related expenses are included in net appreciation of fair value of investments.</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 401(k) Salaried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 </w:t>
      </w:r>
      <w:r>
        <w:rPr>
          <w:rFonts w:ascii="Arial" w:cs="Arial" w:eastAsia="Arial" w:hAnsi="Arial"/>
          <w:sz w:val="18"/>
          <w:szCs w:val="18"/>
          <w:u w:val="single" w:color="auto"/>
          <w:color w:val="auto"/>
        </w:rPr>
        <w:t>Investments</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During 2013, the Plan’s investments (including gains and losses on investments bought and sold, as well as held during the year) appreciated in fair value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$3,464,618</w:t>
            </w:r>
          </w:p>
        </w:tc>
        <w:tc>
          <w:tcPr>
            <w:tcW w:w="100" w:type="dxa"/>
            <w:vAlign w:val="bottom"/>
            <w:shd w:val="clear" w:color="auto" w:fill="CCEEFF"/>
          </w:tcPr>
          <w:p>
            <w:pPr>
              <w:spacing w:after="0"/>
              <w:rPr>
                <w:sz w:val="18"/>
                <w:szCs w:val="18"/>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Common Stock</w:t>
            </w:r>
          </w:p>
        </w:tc>
        <w:tc>
          <w:tcPr>
            <w:tcW w:w="38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418,164</w:t>
            </w: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3,882,782</w:t>
            </w:r>
          </w:p>
        </w:tc>
        <w:tc>
          <w:tcPr>
            <w:tcW w:w="100" w:type="dxa"/>
            <w:vAlign w:val="bottom"/>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Investments that represent 5% or more of the Plan’s net assets available for benefits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20" w:type="dxa"/>
            <w:vAlign w:val="bottom"/>
            <w:gridSpan w:val="4"/>
          </w:tcPr>
          <w:p>
            <w:pPr>
              <w:ind w:left="640"/>
              <w:spacing w:after="0"/>
              <w:rPr>
                <w:sz w:val="20"/>
                <w:szCs w:val="20"/>
                <w:color w:val="auto"/>
              </w:rPr>
            </w:pPr>
            <w:r>
              <w:rPr>
                <w:rFonts w:ascii="Arial" w:cs="Arial" w:eastAsia="Arial" w:hAnsi="Arial"/>
                <w:sz w:val="14"/>
                <w:szCs w:val="14"/>
                <w:color w:val="auto"/>
              </w:rPr>
              <w:t>December 31,</w:t>
            </w:r>
          </w:p>
        </w:tc>
      </w:tr>
      <w:tr>
        <w:trPr>
          <w:trHeight w:val="159"/>
        </w:trPr>
        <w:tc>
          <w:tcPr>
            <w:tcW w:w="28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3200" w:type="dxa"/>
            <w:vAlign w:val="bottom"/>
            <w:gridSpan w:val="2"/>
          </w:tcPr>
          <w:p>
            <w:pPr>
              <w:jc w:val="right"/>
              <w:ind w:right="182"/>
              <w:spacing w:after="0" w:line="159" w:lineRule="exact"/>
              <w:rPr>
                <w:sz w:val="20"/>
                <w:szCs w:val="20"/>
                <w:color w:val="auto"/>
              </w:rPr>
            </w:pPr>
            <w:r>
              <w:rPr>
                <w:rFonts w:ascii="Arial" w:cs="Arial" w:eastAsia="Arial" w:hAnsi="Arial"/>
                <w:sz w:val="14"/>
                <w:szCs w:val="14"/>
                <w:color w:val="auto"/>
              </w:rPr>
              <w:t>2013</w:t>
            </w:r>
          </w:p>
        </w:tc>
        <w:tc>
          <w:tcPr>
            <w:tcW w:w="122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r>
      <w:tr>
        <w:trPr>
          <w:trHeight w:val="210"/>
        </w:trPr>
        <w:tc>
          <w:tcPr>
            <w:tcW w:w="6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Fidelity Advisor Stable Value Fund *</w:t>
            </w:r>
          </w:p>
        </w:tc>
        <w:tc>
          <w:tcPr>
            <w:tcW w:w="24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$4,357,437</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$4,408,511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JP Morgan Equity Index</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3,610,815</w:t>
            </w:r>
          </w:p>
        </w:tc>
        <w:tc>
          <w:tcPr>
            <w:tcW w:w="1220" w:type="dxa"/>
            <w:vAlign w:val="bottom"/>
            <w:gridSpan w:val="2"/>
          </w:tcPr>
          <w:p>
            <w:pPr>
              <w:jc w:val="center"/>
              <w:ind w:left="435"/>
              <w:spacing w:after="0"/>
              <w:rPr>
                <w:sz w:val="20"/>
                <w:szCs w:val="20"/>
                <w:color w:val="auto"/>
              </w:rPr>
            </w:pPr>
            <w:r>
              <w:rPr>
                <w:rFonts w:ascii="Arial" w:cs="Arial" w:eastAsia="Arial" w:hAnsi="Arial"/>
                <w:sz w:val="18"/>
                <w:szCs w:val="18"/>
                <w:color w:val="auto"/>
                <w:w w:val="87"/>
              </w:rPr>
              <w:t>2,766,814</w:t>
            </w:r>
          </w:p>
        </w:tc>
        <w:tc>
          <w:tcPr>
            <w:tcW w:w="1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New Insights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3,444,545</w:t>
            </w:r>
          </w:p>
        </w:tc>
        <w:tc>
          <w:tcPr>
            <w:tcW w:w="1220" w:type="dxa"/>
            <w:vAlign w:val="bottom"/>
            <w:gridSpan w:val="2"/>
            <w:shd w:val="clear" w:color="auto" w:fill="CCEEFF"/>
          </w:tcPr>
          <w:p>
            <w:pPr>
              <w:jc w:val="center"/>
              <w:ind w:left="435"/>
              <w:spacing w:after="0"/>
              <w:rPr>
                <w:sz w:val="20"/>
                <w:szCs w:val="20"/>
                <w:color w:val="auto"/>
              </w:rPr>
            </w:pPr>
            <w:r>
              <w:rPr>
                <w:rFonts w:ascii="Arial" w:cs="Arial" w:eastAsia="Arial" w:hAnsi="Arial"/>
                <w:sz w:val="18"/>
                <w:szCs w:val="18"/>
                <w:color w:val="auto"/>
                <w:w w:val="87"/>
              </w:rPr>
              <w:t>2,849,576</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PIMCO Total Return</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2,127,070</w:t>
            </w:r>
          </w:p>
        </w:tc>
        <w:tc>
          <w:tcPr>
            <w:tcW w:w="1220" w:type="dxa"/>
            <w:vAlign w:val="bottom"/>
            <w:gridSpan w:val="2"/>
          </w:tcPr>
          <w:p>
            <w:pPr>
              <w:jc w:val="center"/>
              <w:ind w:left="4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Freedom 2035</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2,087,984</w:t>
            </w:r>
          </w:p>
        </w:tc>
        <w:tc>
          <w:tcPr>
            <w:tcW w:w="1220" w:type="dxa"/>
            <w:vAlign w:val="bottom"/>
            <w:gridSpan w:val="2"/>
            <w:shd w:val="clear" w:color="auto" w:fill="CCEEFF"/>
          </w:tcPr>
          <w:p>
            <w:pPr>
              <w:jc w:val="center"/>
              <w:ind w:left="4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Fidelity Advisor Leveraged Company Stock Fund</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1,988,254</w:t>
            </w:r>
          </w:p>
        </w:tc>
        <w:tc>
          <w:tcPr>
            <w:tcW w:w="1220" w:type="dxa"/>
            <w:vAlign w:val="bottom"/>
            <w:gridSpan w:val="2"/>
          </w:tcPr>
          <w:p>
            <w:pPr>
              <w:jc w:val="center"/>
              <w:ind w:left="4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Freedom 2005</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1,977,397</w:t>
            </w:r>
          </w:p>
        </w:tc>
        <w:tc>
          <w:tcPr>
            <w:tcW w:w="1220" w:type="dxa"/>
            <w:vAlign w:val="bottom"/>
            <w:gridSpan w:val="2"/>
            <w:shd w:val="clear" w:color="auto" w:fill="CCEEFF"/>
          </w:tcPr>
          <w:p>
            <w:pPr>
              <w:jc w:val="center"/>
              <w:ind w:left="435"/>
              <w:spacing w:after="0"/>
              <w:rPr>
                <w:sz w:val="20"/>
                <w:szCs w:val="20"/>
                <w:color w:val="auto"/>
              </w:rPr>
            </w:pPr>
            <w:r>
              <w:rPr>
                <w:rFonts w:ascii="Arial" w:cs="Arial" w:eastAsia="Arial" w:hAnsi="Arial"/>
                <w:sz w:val="18"/>
                <w:szCs w:val="18"/>
                <w:color w:val="auto"/>
                <w:w w:val="87"/>
              </w:rPr>
              <w:t>1,933,355</w:t>
            </w:r>
          </w:p>
        </w:tc>
        <w:tc>
          <w:tcPr>
            <w:tcW w:w="100" w:type="dxa"/>
            <w:vAlign w:val="bottom"/>
            <w:shd w:val="clear" w:color="auto" w:fill="CCEEFF"/>
          </w:tcPr>
          <w:p>
            <w:pPr>
              <w:spacing w:after="0"/>
              <w:rPr>
                <w:sz w:val="18"/>
                <w:szCs w:val="18"/>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Federated Bond Fund</w:t>
            </w:r>
          </w:p>
        </w:tc>
        <w:tc>
          <w:tcPr>
            <w:tcW w:w="32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left="435"/>
              <w:spacing w:after="0"/>
              <w:rPr>
                <w:sz w:val="20"/>
                <w:szCs w:val="20"/>
                <w:color w:val="auto"/>
              </w:rPr>
            </w:pPr>
            <w:r>
              <w:rPr>
                <w:rFonts w:ascii="Arial" w:cs="Arial" w:eastAsia="Arial" w:hAnsi="Arial"/>
                <w:sz w:val="18"/>
                <w:szCs w:val="18"/>
                <w:color w:val="auto"/>
                <w:w w:val="87"/>
              </w:rPr>
              <w:t>1,859,251</w:t>
            </w:r>
          </w:p>
        </w:tc>
        <w:tc>
          <w:tcPr>
            <w:tcW w:w="100" w:type="dxa"/>
            <w:vAlign w:val="bottom"/>
          </w:tcPr>
          <w:p>
            <w:pPr>
              <w:spacing w:after="0"/>
              <w:rPr>
                <w:sz w:val="19"/>
                <w:szCs w:val="19"/>
                <w:color w:val="auto"/>
              </w:rPr>
            </w:pPr>
          </w:p>
        </w:tc>
      </w:tr>
      <w:tr>
        <w:trPr>
          <w:trHeight w:val="410"/>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6620" w:type="dxa"/>
            <w:vAlign w:val="bottom"/>
          </w:tcPr>
          <w:p>
            <w:pPr>
              <w:ind w:left="180"/>
              <w:spacing w:after="0"/>
              <w:rPr>
                <w:sz w:val="20"/>
                <w:szCs w:val="20"/>
                <w:color w:val="auto"/>
              </w:rPr>
            </w:pPr>
            <w:r>
              <w:rPr>
                <w:rFonts w:ascii="Arial" w:cs="Arial" w:eastAsia="Arial" w:hAnsi="Arial"/>
                <w:sz w:val="18"/>
                <w:szCs w:val="18"/>
                <w:color w:val="auto"/>
              </w:rPr>
              <w:t>The amount represents contract value for this investment.</w:t>
            </w:r>
          </w:p>
        </w:tc>
        <w:tc>
          <w:tcPr>
            <w:tcW w:w="2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Not applicable, investment amount is below 5%.</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tab/>
        <w:t>The Plan did not have any investment in this fund at December 31,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 </w:t>
      </w:r>
      <w:r>
        <w:rPr>
          <w:rFonts w:ascii="Arial" w:cs="Arial" w:eastAsia="Arial" w:hAnsi="Arial"/>
          <w:sz w:val="18"/>
          <w:szCs w:val="18"/>
          <w:u w:val="single" w:color="auto"/>
          <w:color w:val="auto"/>
        </w:rPr>
        <w:t>Non Participant Directed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net assets and the significant components of the change in net assets relating to the non participant directed investments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60" w:type="dxa"/>
            <w:vAlign w:val="bottom"/>
            <w:gridSpan w:val="4"/>
          </w:tcPr>
          <w:p>
            <w:pPr>
              <w:ind w:left="360"/>
              <w:spacing w:after="0"/>
              <w:rPr>
                <w:sz w:val="20"/>
                <w:szCs w:val="20"/>
                <w:color w:val="auto"/>
              </w:rPr>
            </w:pPr>
            <w:r>
              <w:rPr>
                <w:rFonts w:ascii="Arial" w:cs="Arial" w:eastAsia="Arial" w:hAnsi="Arial"/>
                <w:sz w:val="14"/>
                <w:szCs w:val="14"/>
                <w:color w:val="auto"/>
              </w:rPr>
              <w:t>December 31,</w:t>
            </w:r>
          </w:p>
        </w:tc>
      </w:tr>
      <w:tr>
        <w:trPr>
          <w:trHeight w:val="159"/>
        </w:trPr>
        <w:tc>
          <w:tcPr>
            <w:tcW w:w="4300" w:type="dxa"/>
            <w:vAlign w:val="bottom"/>
          </w:tcPr>
          <w:p>
            <w:pPr>
              <w:spacing w:after="0"/>
              <w:rPr>
                <w:sz w:val="13"/>
                <w:szCs w:val="13"/>
                <w:color w:val="auto"/>
              </w:rPr>
            </w:pPr>
          </w:p>
        </w:tc>
        <w:tc>
          <w:tcPr>
            <w:tcW w:w="614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2013</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Assets:</w:t>
            </w:r>
          </w:p>
        </w:tc>
        <w:tc>
          <w:tcPr>
            <w:tcW w:w="5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4300" w:type="dxa"/>
            <w:vAlign w:val="bottom"/>
          </w:tcPr>
          <w:p>
            <w:pPr>
              <w:ind w:left="440"/>
              <w:spacing w:after="0"/>
              <w:rPr>
                <w:sz w:val="20"/>
                <w:szCs w:val="20"/>
                <w:color w:val="auto"/>
              </w:rPr>
            </w:pPr>
            <w:r>
              <w:rPr>
                <w:rFonts w:ascii="Arial" w:cs="Arial" w:eastAsia="Arial" w:hAnsi="Arial"/>
                <w:sz w:val="18"/>
                <w:szCs w:val="18"/>
                <w:color w:val="auto"/>
              </w:rPr>
              <w:t>Fidelity Advisor Stable Value Fund</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$48,608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$70,826</w:t>
            </w:r>
          </w:p>
        </w:tc>
        <w:tc>
          <w:tcPr>
            <w:tcW w:w="100" w:type="dxa"/>
            <w:vAlign w:val="bottom"/>
          </w:tcPr>
          <w:p>
            <w:pPr>
              <w:spacing w:after="0"/>
              <w:rPr>
                <w:sz w:val="19"/>
                <w:szCs w:val="19"/>
                <w:color w:val="auto"/>
              </w:rPr>
            </w:pPr>
          </w:p>
        </w:tc>
      </w:tr>
      <w:tr>
        <w:trPr>
          <w:trHeight w:val="356"/>
        </w:trPr>
        <w:tc>
          <w:tcPr>
            <w:tcW w:w="4300" w:type="dxa"/>
            <w:vAlign w:val="bottom"/>
          </w:tcPr>
          <w:p>
            <w:pPr>
              <w:spacing w:after="0"/>
              <w:rPr>
                <w:sz w:val="24"/>
                <w:szCs w:val="24"/>
                <w:color w:val="auto"/>
              </w:rPr>
            </w:pPr>
          </w:p>
        </w:tc>
        <w:tc>
          <w:tcPr>
            <w:tcW w:w="5560" w:type="dxa"/>
            <w:vAlign w:val="bottom"/>
          </w:tcPr>
          <w:p>
            <w:pPr>
              <w:jc w:val="right"/>
              <w:ind w:right="4019"/>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8320" w:type="dxa"/>
            <w:vAlign w:val="bottom"/>
            <w:gridSpan w:val="2"/>
          </w:tcPr>
          <w:p>
            <w:pPr>
              <w:jc w:val="center"/>
              <w:ind w:left="1692"/>
              <w:spacing w:after="0"/>
              <w:rPr>
                <w:sz w:val="20"/>
                <w:szCs w:val="20"/>
                <w:color w:val="auto"/>
              </w:rPr>
            </w:pPr>
            <w:r>
              <w:rPr>
                <w:rFonts w:ascii="Arial" w:cs="Arial" w:eastAsia="Arial" w:hAnsi="Arial"/>
                <w:sz w:val="18"/>
                <w:szCs w:val="18"/>
                <w:color w:val="auto"/>
                <w:w w:val="89"/>
              </w:rPr>
              <w:t>Destination XL Group, Inc. 401(k) Salaried Savings Plan</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4820" w:type="dxa"/>
            <w:vAlign w:val="bottom"/>
          </w:tcPr>
          <w:p>
            <w:pPr>
              <w:jc w:val="center"/>
              <w:ind w:right="1632"/>
              <w:spacing w:after="0"/>
              <w:rPr>
                <w:sz w:val="20"/>
                <w:szCs w:val="20"/>
                <w:color w:val="auto"/>
              </w:rPr>
            </w:pPr>
            <w:r>
              <w:rPr>
                <w:rFonts w:ascii="Arial" w:cs="Arial" w:eastAsia="Arial" w:hAnsi="Arial"/>
                <w:sz w:val="18"/>
                <w:szCs w:val="18"/>
                <w:color w:val="auto"/>
                <w:w w:val="87"/>
              </w:rPr>
              <w:t>Notes to Financial Statements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6"/>
        </w:trPr>
        <w:tc>
          <w:tcPr>
            <w:tcW w:w="8980" w:type="dxa"/>
            <w:vAlign w:val="bottom"/>
            <w:gridSpan w:val="3"/>
          </w:tcPr>
          <w:p>
            <w:pPr>
              <w:spacing w:after="0"/>
              <w:rPr>
                <w:sz w:val="20"/>
                <w:szCs w:val="20"/>
                <w:color w:val="auto"/>
              </w:rPr>
            </w:pPr>
            <w:r>
              <w:rPr>
                <w:rFonts w:ascii="Arial" w:cs="Arial" w:eastAsia="Arial" w:hAnsi="Arial"/>
                <w:sz w:val="18"/>
                <w:szCs w:val="18"/>
                <w:color w:val="auto"/>
              </w:rPr>
              <w:t>Note 4 – Non Participant Directed Investments (continued)</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9"/>
        </w:trPr>
        <w:tc>
          <w:tcPr>
            <w:tcW w:w="660" w:type="dxa"/>
            <w:vAlign w:val="bottom"/>
          </w:tcPr>
          <w:p>
            <w:pPr>
              <w:spacing w:after="0"/>
              <w:rPr>
                <w:sz w:val="24"/>
                <w:szCs w:val="24"/>
                <w:color w:val="auto"/>
              </w:rPr>
            </w:pPr>
          </w:p>
        </w:tc>
        <w:tc>
          <w:tcPr>
            <w:tcW w:w="3500" w:type="dxa"/>
            <w:vAlign w:val="bottom"/>
            <w:tcBorders>
              <w:top w:val="single" w:sz="8" w:color="auto"/>
            </w:tcBorders>
          </w:tcPr>
          <w:p>
            <w:pPr>
              <w:spacing w:after="0"/>
              <w:rPr>
                <w:sz w:val="24"/>
                <w:szCs w:val="24"/>
                <w:color w:val="auto"/>
              </w:rPr>
            </w:pPr>
          </w:p>
        </w:tc>
        <w:tc>
          <w:tcPr>
            <w:tcW w:w="4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Year Ended</w:t>
            </w:r>
          </w:p>
        </w:tc>
      </w:tr>
      <w:tr>
        <w:trPr>
          <w:trHeight w:val="159"/>
        </w:trPr>
        <w:tc>
          <w:tcPr>
            <w:tcW w:w="6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gridSpan w:val="3"/>
          </w:tcPr>
          <w:p>
            <w:pPr>
              <w:spacing w:after="0" w:line="159" w:lineRule="exact"/>
              <w:rPr>
                <w:sz w:val="20"/>
                <w:szCs w:val="20"/>
                <w:color w:val="auto"/>
              </w:rPr>
            </w:pPr>
            <w:r>
              <w:rPr>
                <w:rFonts w:ascii="Arial" w:cs="Arial" w:eastAsia="Arial" w:hAnsi="Arial"/>
                <w:sz w:val="14"/>
                <w:szCs w:val="14"/>
                <w:color w:val="auto"/>
                <w:w w:val="94"/>
              </w:rPr>
              <w:t>December 31, 2013</w:t>
            </w:r>
          </w:p>
        </w:tc>
      </w:tr>
      <w:tr>
        <w:trPr>
          <w:trHeight w:val="196"/>
        </w:trPr>
        <w:tc>
          <w:tcPr>
            <w:tcW w:w="898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Changes in Net Assets:</w:t>
            </w:r>
          </w:p>
        </w:tc>
        <w:tc>
          <w:tcPr>
            <w:tcW w:w="1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Dividend income</w:t>
            </w:r>
          </w:p>
        </w:tc>
        <w:tc>
          <w:tcPr>
            <w:tcW w:w="15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r>
      <w:tr>
        <w:trPr>
          <w:trHeight w:val="208"/>
        </w:trPr>
        <w:tc>
          <w:tcPr>
            <w:tcW w:w="8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Current year forfeitures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50,855</w:t>
            </w:r>
          </w:p>
        </w:tc>
      </w:tr>
      <w:tr>
        <w:trPr>
          <w:trHeight w:val="238"/>
        </w:trPr>
        <w:tc>
          <w:tcPr>
            <w:tcW w:w="8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Contributions</w:t>
            </w:r>
          </w:p>
        </w:tc>
        <w:tc>
          <w:tcPr>
            <w:tcW w:w="1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r>
      <w:tr>
        <w:trPr>
          <w:trHeight w:val="216"/>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Forfeitures used to reduce prior year employer match</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(74,000)</w:t>
            </w:r>
          </w:p>
        </w:tc>
      </w:tr>
      <w:tr>
        <w:trPr>
          <w:trHeight w:val="27"/>
        </w:trPr>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(22,218)</w:t>
            </w:r>
          </w:p>
        </w:tc>
      </w:tr>
      <w:tr>
        <w:trPr>
          <w:trHeight w:val="20"/>
        </w:trPr>
        <w:tc>
          <w:tcPr>
            <w:tcW w:w="6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The Plan measures fair value in accordance with Financial Accounting Standards Board (“FASB”) Accounting Standards Codification (“ASC”)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w:t>
      </w:r>
      <w:r>
        <w:rPr>
          <w:rFonts w:ascii="Arial" w:cs="Arial" w:eastAsia="Arial" w:hAnsi="Arial"/>
          <w:sz w:val="16"/>
          <w:szCs w:val="16"/>
          <w:color w:val="auto"/>
        </w:rPr>
        <w:t>, which provides a fair value hierarchy that prioritizes the inputs to valuation techniques used to measure fair value. The hierarchy gives the highest</w:t>
      </w:r>
      <w:r>
        <w:rPr>
          <w:rFonts w:ascii="Arial" w:cs="Arial" w:eastAsia="Arial" w:hAnsi="Arial"/>
          <w:sz w:val="16"/>
          <w:szCs w:val="16"/>
          <w:i w:val="1"/>
          <w:iCs w:val="1"/>
          <w:color w:val="auto"/>
        </w:rPr>
        <w:t xml:space="preserve"> </w:t>
      </w:r>
      <w:r>
        <w:rPr>
          <w:rFonts w:ascii="Arial" w:cs="Arial" w:eastAsia="Arial" w:hAnsi="Arial"/>
          <w:sz w:val="16"/>
          <w:szCs w:val="16"/>
          <w:color w:val="auto"/>
        </w:rPr>
        <w:t>priority to unadjusted quoted prices in active markets for identical assets or liabilities (Level 1 measurements) and the lowest priority to unobservable inputs (Level 3 measurements). The three levels of the fair value hierarchy under FASB ASC 820 are described as follows:</w:t>
      </w:r>
    </w:p>
    <w:p>
      <w:pPr>
        <w:spacing w:after="0" w:line="32" w:lineRule="exact"/>
        <w:rPr>
          <w:sz w:val="20"/>
          <w:szCs w:val="20"/>
          <w:color w:val="auto"/>
        </w:rPr>
      </w:pPr>
    </w:p>
    <w:p>
      <w:pPr>
        <w:ind w:left="920" w:right="280" w:hanging="917"/>
        <w:spacing w:after="0" w:line="268" w:lineRule="auto"/>
        <w:tabs>
          <w:tab w:leader="none" w:pos="9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Plan has the ability to access.</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117" w:lineRule="exact"/>
        <w:rPr>
          <w:sz w:val="20"/>
          <w:szCs w:val="20"/>
          <w:color w:val="auto"/>
        </w:rPr>
      </w:pPr>
    </w:p>
    <w:p>
      <w:pPr>
        <w:ind w:left="920" w:hanging="237"/>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920" w:hanging="237"/>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117" w:lineRule="exact"/>
        <w:rPr>
          <w:rFonts w:ascii="Arial" w:cs="Arial" w:eastAsia="Arial" w:hAnsi="Arial"/>
          <w:sz w:val="18"/>
          <w:szCs w:val="18"/>
          <w:color w:val="auto"/>
        </w:rPr>
      </w:pPr>
    </w:p>
    <w:p>
      <w:pPr>
        <w:ind w:left="920" w:hanging="237"/>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117" w:lineRule="exact"/>
        <w:rPr>
          <w:rFonts w:ascii="Arial" w:cs="Arial" w:eastAsia="Arial" w:hAnsi="Arial"/>
          <w:sz w:val="18"/>
          <w:szCs w:val="18"/>
          <w:color w:val="auto"/>
        </w:rPr>
      </w:pPr>
    </w:p>
    <w:p>
      <w:pPr>
        <w:ind w:left="920" w:right="560" w:hanging="237"/>
        <w:spacing w:after="0" w:line="332" w:lineRule="auto"/>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observable market data by correlation or other means. If the asset or liability has a specified (contractual) term, the Level 2 input must be observable for substantially the full term of the asset or liability.</w:t>
      </w:r>
    </w:p>
    <w:p>
      <w:pPr>
        <w:spacing w:after="0" w:line="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to the valuation methodology are unobservable and significant to the fair value measurement.</w:t>
      </w:r>
    </w:p>
    <w:p>
      <w:pPr>
        <w:spacing w:after="0" w:line="17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Destination XL Group, Inc. 401(k) Salaried Savings Plan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 (continued)</w:t>
      </w:r>
    </w:p>
    <w:p>
      <w:pPr>
        <w:spacing w:after="0" w:line="15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at December 31, 2013 and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Valued at the closing price reported on the active market on which the individual securities are traded.</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the daily closing price as reported by the fund. Mutual funds held by the Plan are open-end mutual funds that are registered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These funds are required to publish their daily Net Asset Value (“NAV”) and to transact at that price. The mutual funds held by the Plan are deemed to be actively traded.</w:t>
      </w:r>
    </w:p>
    <w:p>
      <w:pPr>
        <w:spacing w:after="0" w:line="14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i w:val="1"/>
          <w:iCs w:val="1"/>
          <w:color w:val="auto"/>
        </w:rPr>
        <w:t xml:space="preserve">Common/collective trust fund: </w:t>
      </w:r>
      <w:r>
        <w:rPr>
          <w:rFonts w:ascii="Arial" w:cs="Arial" w:eastAsia="Arial" w:hAnsi="Arial"/>
          <w:sz w:val="16"/>
          <w:szCs w:val="16"/>
          <w:color w:val="auto"/>
        </w:rPr>
        <w:t>Valued at the NAV of units of a bank collective trust. The NAV, as provided by the trustee, is used as a practical expedient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fair value. The NAV is based on the fair value of the underlying investments held by the fund less its liabilities. This practical expedient is not used when it is determined to be probable that the fund will sell the investment for an amount different than the reported NAV.</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 401(k) Salaried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by level, within the fair value hierarchy, the Plan’s investments at fair value as of December 31, 2013 and 2012:</w:t>
      </w:r>
    </w:p>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Investments at Fair Value as of December 31, 2013</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color w:val="auto"/>
              </w:rPr>
              <w:t>Level 1</w:t>
            </w:r>
          </w:p>
        </w:tc>
        <w:tc>
          <w:tcPr>
            <w:tcW w:w="8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Level 2</w:t>
            </w:r>
          </w:p>
        </w:tc>
        <w:tc>
          <w:tcPr>
            <w:tcW w:w="420" w:type="dxa"/>
            <w:vAlign w:val="bottom"/>
          </w:tcPr>
          <w:p>
            <w:pPr>
              <w:jc w:val="right"/>
              <w:spacing w:after="0"/>
              <w:rPr>
                <w:sz w:val="20"/>
                <w:szCs w:val="20"/>
                <w:color w:val="auto"/>
              </w:rPr>
            </w:pPr>
            <w:r>
              <w:rPr>
                <w:rFonts w:ascii="Arial" w:cs="Arial" w:eastAsia="Arial" w:hAnsi="Arial"/>
                <w:sz w:val="14"/>
                <w:szCs w:val="14"/>
                <w:color w:val="auto"/>
                <w:w w:val="88"/>
              </w:rPr>
              <w:t>Level 3</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4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Large cap stock funds</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8,123,795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8,123,795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 cap stock funds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4,374,243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4,374,243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Small cap stock funds</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1,426,222</w:t>
            </w:r>
          </w:p>
        </w:tc>
        <w:tc>
          <w:tcPr>
            <w:tcW w:w="8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1,426,222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2,109,438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2,109,438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Target funds</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11,789,711</w:t>
            </w:r>
          </w:p>
        </w:tc>
        <w:tc>
          <w:tcPr>
            <w:tcW w:w="8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11,789,711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3,054,473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3,054,473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vMerge w:val="restart"/>
          </w:tcPr>
          <w:p>
            <w:pPr>
              <w:ind w:left="860"/>
              <w:spacing w:after="0"/>
              <w:rPr>
                <w:sz w:val="20"/>
                <w:szCs w:val="20"/>
                <w:color w:val="auto"/>
              </w:rPr>
            </w:pPr>
            <w:r>
              <w:rPr>
                <w:rFonts w:ascii="Arial" w:cs="Arial" w:eastAsia="Arial" w:hAnsi="Arial"/>
                <w:sz w:val="18"/>
                <w:szCs w:val="18"/>
                <w:color w:val="auto"/>
              </w:rPr>
              <w:t>Total mutual funds</w:t>
            </w:r>
          </w:p>
        </w:tc>
        <w:tc>
          <w:tcPr>
            <w:tcW w:w="4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020" w:type="dxa"/>
            <w:vAlign w:val="bottom"/>
            <w:vMerge w:val="continue"/>
          </w:tcPr>
          <w:p>
            <w:pPr>
              <w:spacing w:after="0"/>
              <w:rPr>
                <w:sz w:val="19"/>
                <w:szCs w:val="19"/>
                <w:color w:val="auto"/>
              </w:rPr>
            </w:pPr>
          </w:p>
        </w:tc>
        <w:tc>
          <w:tcPr>
            <w:tcW w:w="4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30,877,882</w:t>
            </w:r>
          </w:p>
        </w:tc>
        <w:tc>
          <w:tcPr>
            <w:tcW w:w="80" w:type="dxa"/>
            <w:vAlign w:val="bottom"/>
          </w:tcPr>
          <w:p>
            <w:pPr>
              <w:spacing w:after="0"/>
              <w:rPr>
                <w:sz w:val="19"/>
                <w:szCs w:val="19"/>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30,877,882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Retail</w:t>
            </w:r>
          </w:p>
        </w:tc>
        <w:tc>
          <w:tcPr>
            <w:tcW w:w="4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857,387</w:t>
            </w:r>
          </w:p>
        </w:tc>
        <w:tc>
          <w:tcPr>
            <w:tcW w:w="80" w:type="dxa"/>
            <w:vAlign w:val="bottom"/>
          </w:tcPr>
          <w:p>
            <w:pPr>
              <w:spacing w:after="0"/>
              <w:rPr>
                <w:sz w:val="19"/>
                <w:szCs w:val="19"/>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857,387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Fixed income fund</w:t>
            </w:r>
          </w:p>
        </w:tc>
        <w:tc>
          <w:tcPr>
            <w:tcW w:w="4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4,441,986</w:t>
            </w:r>
          </w:p>
        </w:tc>
        <w:tc>
          <w:tcPr>
            <w:tcW w:w="3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4,441,986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55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31,735,269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4,441,986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36,177,255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40" w:type="dxa"/>
            <w:vAlign w:val="bottom"/>
            <w:gridSpan w:val="2"/>
          </w:tcPr>
          <w:p>
            <w:pPr>
              <w:jc w:val="right"/>
              <w:ind w:right="20"/>
              <w:spacing w:after="0"/>
              <w:rPr>
                <w:sz w:val="20"/>
                <w:szCs w:val="20"/>
                <w:color w:val="auto"/>
              </w:rPr>
            </w:pPr>
            <w:r>
              <w:rPr>
                <w:rFonts w:ascii="Arial" w:cs="Arial" w:eastAsia="Arial" w:hAnsi="Arial"/>
                <w:sz w:val="18"/>
                <w:szCs w:val="18"/>
                <w:color w:val="auto"/>
              </w:rPr>
              <w:t>Investments at Fair Value as of December 31, 2012</w:t>
            </w: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color w:val="auto"/>
              </w:rPr>
              <w:t>Level 1</w:t>
            </w:r>
          </w:p>
        </w:tc>
        <w:tc>
          <w:tcPr>
            <w:tcW w:w="80" w:type="dxa"/>
            <w:vAlign w:val="bottom"/>
          </w:tcPr>
          <w:p>
            <w:pPr>
              <w:spacing w:after="0"/>
              <w:rPr>
                <w:sz w:val="24"/>
                <w:szCs w:val="2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color w:val="auto"/>
              </w:rPr>
              <w:t>Level 2</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w w:val="88"/>
              </w:rPr>
              <w:t>Level 3</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4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Large cap stock funds</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6,323,239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6,323,239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 cap stock funds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3,121,095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3,121,095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Small cap stock funds</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1,000,275</w:t>
            </w:r>
          </w:p>
        </w:tc>
        <w:tc>
          <w:tcPr>
            <w:tcW w:w="8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1,000,275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2,029,576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2,029,576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Target funds</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9,530,473</w:t>
            </w:r>
          </w:p>
        </w:tc>
        <w:tc>
          <w:tcPr>
            <w:tcW w:w="8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9,530,473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3,383,828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3,383,828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vMerge w:val="restart"/>
          </w:tcPr>
          <w:p>
            <w:pPr>
              <w:ind w:left="860"/>
              <w:spacing w:after="0"/>
              <w:rPr>
                <w:sz w:val="20"/>
                <w:szCs w:val="20"/>
                <w:color w:val="auto"/>
              </w:rPr>
            </w:pPr>
            <w:r>
              <w:rPr>
                <w:rFonts w:ascii="Arial" w:cs="Arial" w:eastAsia="Arial" w:hAnsi="Arial"/>
                <w:sz w:val="18"/>
                <w:szCs w:val="18"/>
                <w:color w:val="auto"/>
              </w:rPr>
              <w:t>Total mutual funds</w:t>
            </w:r>
          </w:p>
        </w:tc>
        <w:tc>
          <w:tcPr>
            <w:tcW w:w="4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020" w:type="dxa"/>
            <w:vAlign w:val="bottom"/>
            <w:vMerge w:val="continue"/>
          </w:tcPr>
          <w:p>
            <w:pPr>
              <w:spacing w:after="0"/>
              <w:rPr>
                <w:sz w:val="19"/>
                <w:szCs w:val="19"/>
                <w:color w:val="auto"/>
              </w:rPr>
            </w:pPr>
          </w:p>
        </w:tc>
        <w:tc>
          <w:tcPr>
            <w:tcW w:w="4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25,388,486</w:t>
            </w:r>
          </w:p>
        </w:tc>
        <w:tc>
          <w:tcPr>
            <w:tcW w:w="80" w:type="dxa"/>
            <w:vAlign w:val="bottom"/>
          </w:tcPr>
          <w:p>
            <w:pPr>
              <w:spacing w:after="0"/>
              <w:rPr>
                <w:sz w:val="19"/>
                <w:szCs w:val="19"/>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25,388,486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Retail</w:t>
            </w:r>
          </w:p>
        </w:tc>
        <w:tc>
          <w:tcPr>
            <w:tcW w:w="4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808,386</w:t>
            </w:r>
          </w:p>
        </w:tc>
        <w:tc>
          <w:tcPr>
            <w:tcW w:w="80" w:type="dxa"/>
            <w:vAlign w:val="bottom"/>
          </w:tcPr>
          <w:p>
            <w:pPr>
              <w:spacing w:after="0"/>
              <w:rPr>
                <w:sz w:val="19"/>
                <w:szCs w:val="19"/>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808,386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Fixed income fund</w:t>
            </w:r>
          </w:p>
        </w:tc>
        <w:tc>
          <w:tcPr>
            <w:tcW w:w="4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4,561,275</w:t>
            </w:r>
          </w:p>
        </w:tc>
        <w:tc>
          <w:tcPr>
            <w:tcW w:w="3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4,561,275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55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26,196,872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4,561,275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30,758,147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360" w:type="dxa"/>
            <w:vAlign w:val="bottom"/>
            <w:vMerge w:val="restart"/>
          </w:tcPr>
          <w:p>
            <w:pPr>
              <w:jc w:val="right"/>
              <w:ind w:right="1512"/>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Destination XL Group, Inc. 401(k) Salaried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 </w:t>
      </w:r>
      <w:r>
        <w:rPr>
          <w:rFonts w:ascii="Arial" w:cs="Arial" w:eastAsia="Arial" w:hAnsi="Arial"/>
          <w:sz w:val="18"/>
          <w:szCs w:val="18"/>
          <w:u w:val="single" w:color="auto"/>
          <w:color w:val="auto"/>
        </w:rPr>
        <w:t>Common/Collective Trust Fund</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Fidelity Advisor Stable Value Fund is a common/collective trust fund that is considered to be a stable value fund with underlying investments in investment contracts and is valued at fair value and then adjusted by the issuer to contract value. The net asset value of the stable value fund is the fair market value of its underlying investments and contract value is principal plus accrued interest. The Fidelity Advisor Stable Value Fund is a stable value fund that is an open-end commingled pool dedicated exclusively to the management of assets of defined contribution plans. The Fidelity Advisor Stable Value Fund’s investment objective is to seek preservation of capital and a competitive level of income over time. To achieve its investment objective, the Fidelity Advisor Stable Value Fund invests in underlying assets (typically fixed income securities or bond funds and may include derivative instruments such as futures contracts and swap agreements) and enters into a “wrapper” contract issued by a third party. Participants may ordinarily direct the withdrawal or transfer of all or a portion of their investment at contract value. However, certain events limit the ability of the Plan to transact at contract with the issuer. Such events include the following: (1) amendment to the Plan document (including complete or partial termination or merger with another plan), (2) changes to the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 taxes or any required prohibited transaction exemption under ERISA. The Plan Administrator does not believe that any events which would limit the Plan’s ability to transact at contract value with Plan participants is probable of occurring. Contract value represents contributions made to the fund, plus earnings, less participant withdrawals.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common/collective trust fund has certain restrictions on withdrawals and transfers as follows: withdrawals directed by the Company must be preceded by twelve months written notice to the Trustee, provided, however, that the Trustee may, in its discretion complete any plan-level withdrawals before the expiration of such twelve month period, withdrawals made in order to accommodate distribution to participants, whether in-service or following termination of employment, may be made on any business day; withdrawals made in order to accommodate a participant-directed exchange to another investment option may be made on any business day, provided that the exchange is not directed to a competing fund (money market funds or certain other types of fixed income funds). Transferred amounts must be held in a non-competing investment option for 90 days before subsequent transfers to a competing fund can occur.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Destination XL Group, Inc. 401(k) Salaried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7 – </w:t>
      </w:r>
      <w:r>
        <w:rPr>
          <w:rFonts w:ascii="Arial" w:cs="Arial" w:eastAsia="Arial" w:hAnsi="Arial"/>
          <w:sz w:val="18"/>
          <w:szCs w:val="18"/>
          <w:u w:val="single" w:color="auto"/>
          <w:color w:val="auto"/>
        </w:rPr>
        <w:t>Related Party and Party In Interest Transactions</w:t>
      </w:r>
    </w:p>
    <w:p>
      <w:pPr>
        <w:spacing w:after="0" w:line="9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Plan owned 131,099 and 192,473 shares of Destination XL Group, Inc. valued at $857,387 and $808,386 at December 31, 2013 and 2012, respectively. Additionally, certain Plan investments are shares of mutual funds and units in the Fidelity Advisor Stable Value Fund managed by Fidelity Management Trust Company who is the Trustee as defined by the Plan, and therefore, these transactions qualify as party-in-interest transactions. Fees incurred by the Plan for the investment management services are included in net appreciation in fair value of the investments, as they are paid through revenue sharing, rather than a direct payment.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 </w:t>
      </w:r>
      <w:r>
        <w:rPr>
          <w:rFonts w:ascii="Arial" w:cs="Arial" w:eastAsia="Arial" w:hAnsi="Arial"/>
          <w:sz w:val="18"/>
          <w:szCs w:val="18"/>
          <w:u w:val="single" w:color="auto"/>
          <w:color w:val="auto"/>
        </w:rPr>
        <w:t>Risks and Uncertainties</w:t>
      </w:r>
    </w:p>
    <w:p>
      <w:pPr>
        <w:spacing w:after="0" w:line="90"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 </w:t>
      </w:r>
      <w:r>
        <w:rPr>
          <w:rFonts w:ascii="Arial" w:cs="Arial" w:eastAsia="Arial" w:hAnsi="Arial"/>
          <w:sz w:val="18"/>
          <w:szCs w:val="18"/>
          <w:u w:val="single" w:color="auto"/>
          <w:color w:val="auto"/>
        </w:rPr>
        <w:t>Income Tax Status</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underlying non-standardized prototype plan has received an opinion letter from the Internal Revenue Service (“IRS”) dated March 31, 2008 stating that the form of the Plan is qualified under Section 401 of the Code and, therefore, the related trust tax-exempt. In accordance with Revenue Procedure 2002-6 and Announcement 2001-77, the Plan Sponsor has determined that it is eligible to and has chosen to rely on the current IRS prototype plan opinion letter. Once qualified, the Plan is required to operate in conformity with the Code to maintain its qualification. The Plan has been amended since receiving the opinion letter. However, the Plan Administrator believes the Plan is being operated in compliance with the applicable requirements of the Code and, therefore, believes that the Plan is qualified and the related trust is tax-exempt.</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(or asset) if the Plan has taken an uncertain tax position that more likely than not would not be sustained upon examination by the taxing authorities. The Plan Administrator has analyzed the tax positions taken by the Plan, and has concluded that as of December 31, 2013, there are no uncertain positions taken or expected to be taken that would require recognition of a liability (or asset) or disclosure in the financial statements. The Plan is subject to routine audits by taxing jurisdiction.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 401(k) Salaried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 </w:t>
      </w:r>
      <w:r>
        <w:rPr>
          <w:rFonts w:ascii="Arial" w:cs="Arial" w:eastAsia="Arial" w:hAnsi="Arial"/>
          <w:sz w:val="18"/>
          <w:szCs w:val="18"/>
          <w:u w:val="single" w:color="auto"/>
          <w:color w:val="auto"/>
        </w:rPr>
        <w:t>Income Tax Status (continued)</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are currently no audits for any tax periods in progress. The Plan Administrator believes it is no longer subject to income tax examinations for years prior to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10 – </w:t>
      </w:r>
      <w:r>
        <w:rPr>
          <w:rFonts w:ascii="Arial" w:cs="Arial" w:eastAsia="Arial" w:hAnsi="Arial"/>
          <w:sz w:val="18"/>
          <w:szCs w:val="18"/>
          <w:u w:val="single" w:color="auto"/>
          <w:color w:val="auto"/>
        </w:rPr>
        <w:t>Reconciliation of Financial Statement to Form 5500</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according to the financial statements to Form 5500 as of December 31, 2013 and 2012: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80" w:type="dxa"/>
            <w:vAlign w:val="bottom"/>
          </w:tcPr>
          <w:p>
            <w:pPr>
              <w:jc w:val="right"/>
              <w:ind w:right="217"/>
              <w:spacing w:after="0"/>
              <w:rPr>
                <w:sz w:val="20"/>
                <w:szCs w:val="20"/>
                <w:color w:val="auto"/>
              </w:rPr>
            </w:pPr>
            <w:r>
              <w:rPr>
                <w:rFonts w:ascii="Arial" w:cs="Arial" w:eastAsia="Arial" w:hAnsi="Arial"/>
                <w:sz w:val="14"/>
                <w:szCs w:val="14"/>
                <w:color w:val="auto"/>
              </w:rPr>
              <w:t>2013</w:t>
            </w:r>
          </w:p>
        </w:tc>
        <w:tc>
          <w:tcPr>
            <w:tcW w:w="1200" w:type="dxa"/>
            <w:vAlign w:val="bottom"/>
            <w:gridSpan w:val="2"/>
          </w:tcPr>
          <w:p>
            <w:pPr>
              <w:jc w:val="right"/>
              <w:ind w:right="212"/>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assets available for benefits per the financial statements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$38,058,561</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$ 32,411,227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84,549</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152,763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Form 5500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38,143,110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32,563,990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is a reconciliation of net appreciation in fair value of investments, dividend income, and interest income on notes receivable from participants for the year ended December 31, 2013 per the financial statements to Form 5500: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w w:val="96"/>
              </w:rPr>
              <w:t>Net appreciation in fair value of investments, dividend income, and interest income on notes receivable from participants per the financial</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500" w:type="dxa"/>
            <w:vAlign w:val="bottom"/>
            <w:shd w:val="clear" w:color="auto" w:fill="CCEEFF"/>
          </w:tcPr>
          <w:p>
            <w:pPr>
              <w:jc w:val="right"/>
              <w:ind w:right="9472"/>
              <w:spacing w:after="0"/>
              <w:rPr>
                <w:sz w:val="20"/>
                <w:szCs w:val="20"/>
                <w:color w:val="auto"/>
              </w:rPr>
            </w:pPr>
            <w:r>
              <w:rPr>
                <w:rFonts w:ascii="Arial" w:cs="Arial" w:eastAsia="Arial" w:hAnsi="Arial"/>
                <w:sz w:val="18"/>
                <w:szCs w:val="18"/>
                <w:color w:val="auto"/>
              </w:rPr>
              <w:t>statements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$5,751,737</w:t>
            </w:r>
          </w:p>
        </w:tc>
        <w:tc>
          <w:tcPr>
            <w:tcW w:w="0" w:type="dxa"/>
            <w:vAlign w:val="bottom"/>
          </w:tcPr>
          <w:p>
            <w:pPr>
              <w:spacing w:after="0"/>
              <w:rPr>
                <w:sz w:val="1"/>
                <w:szCs w:val="1"/>
                <w:color w:val="auto"/>
              </w:rPr>
            </w:pPr>
          </w:p>
        </w:tc>
      </w:tr>
      <w:tr>
        <w:trPr>
          <w:trHeight w:val="322"/>
        </w:trPr>
        <w:tc>
          <w:tcPr>
            <w:tcW w:w="10520" w:type="dxa"/>
            <w:vAlign w:val="bottom"/>
            <w:gridSpan w:val="2"/>
          </w:tcPr>
          <w:p>
            <w:pPr>
              <w:spacing w:after="0"/>
              <w:rPr>
                <w:sz w:val="20"/>
                <w:szCs w:val="20"/>
                <w:color w:val="auto"/>
              </w:rPr>
            </w:pPr>
            <w:r>
              <w:rPr>
                <w:rFonts w:ascii="Arial" w:cs="Arial" w:eastAsia="Arial" w:hAnsi="Arial"/>
                <w:sz w:val="18"/>
                <w:szCs w:val="18"/>
                <w:color w:val="auto"/>
              </w:rPr>
              <w:t>Add: Adjustment from fair value to contract value for fully benefit-responsive investment contracts in 2013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84,549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Less: Adjustment from fair value to contract value for fully benefit-responsive investment contracts in 2012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(152,763)</w:t>
            </w:r>
          </w:p>
        </w:tc>
        <w:tc>
          <w:tcPr>
            <w:tcW w:w="0" w:type="dxa"/>
            <w:vAlign w:val="bottom"/>
          </w:tcPr>
          <w:p>
            <w:pPr>
              <w:spacing w:after="0"/>
              <w:rPr>
                <w:sz w:val="1"/>
                <w:szCs w:val="1"/>
                <w:color w:val="auto"/>
              </w:rPr>
            </w:pPr>
          </w:p>
        </w:tc>
      </w:tr>
      <w:tr>
        <w:trPr>
          <w:trHeight w:val="329"/>
        </w:trPr>
        <w:tc>
          <w:tcPr>
            <w:tcW w:w="10520" w:type="dxa"/>
            <w:vAlign w:val="bottom"/>
            <w:gridSpan w:val="2"/>
          </w:tcPr>
          <w:p>
            <w:pPr>
              <w:spacing w:after="0"/>
              <w:rPr>
                <w:sz w:val="20"/>
                <w:szCs w:val="20"/>
                <w:color w:val="auto"/>
              </w:rPr>
            </w:pPr>
            <w:r>
              <w:rPr>
                <w:rFonts w:ascii="Arial" w:cs="Arial" w:eastAsia="Arial" w:hAnsi="Arial"/>
                <w:sz w:val="18"/>
                <w:szCs w:val="18"/>
                <w:color w:val="auto"/>
                <w:w w:val="97"/>
              </w:rPr>
              <w:t>Net appreciation in fair value of investments, dividend income, and interest income on notes receivable from participants per Form 5500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5,683,523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520" w:type="dxa"/>
            <w:vAlign w:val="bottom"/>
            <w:gridSpan w:val="2"/>
            <w:vMerge w:val="restart"/>
          </w:tcPr>
          <w:p>
            <w:pPr>
              <w:jc w:val="right"/>
              <w:ind w:right="4632"/>
              <w:spacing w:after="0"/>
              <w:rPr>
                <w:sz w:val="20"/>
                <w:szCs w:val="20"/>
                <w:color w:val="auto"/>
              </w:rPr>
            </w:pPr>
            <w:r>
              <w:rPr>
                <w:rFonts w:ascii="Arial" w:cs="Arial" w:eastAsia="Arial" w:hAnsi="Arial"/>
                <w:sz w:val="18"/>
                <w:szCs w:val="18"/>
                <w:color w:val="auto"/>
              </w:rPr>
              <w:t>15</w:t>
            </w: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5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700"/>
        <w:spacing w:after="0"/>
        <w:rPr>
          <w:sz w:val="20"/>
          <w:szCs w:val="20"/>
          <w:color w:val="auto"/>
        </w:rPr>
      </w:pPr>
      <w:r>
        <w:rPr>
          <w:rFonts w:ascii="Arial" w:cs="Arial" w:eastAsia="Arial" w:hAnsi="Arial"/>
          <w:sz w:val="16"/>
          <w:szCs w:val="16"/>
          <w:color w:val="auto"/>
        </w:rPr>
        <w:t>Destination XL Group, Inc. 401(k) Salaried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2259"/>
        <w:spacing w:after="0"/>
        <w:rPr>
          <w:sz w:val="20"/>
          <w:szCs w:val="20"/>
          <w:color w:val="auto"/>
        </w:rPr>
      </w:pPr>
      <w:r>
        <w:rPr>
          <w:rFonts w:ascii="Arial" w:cs="Arial" w:eastAsia="Arial" w:hAnsi="Arial"/>
          <w:sz w:val="32"/>
          <w:szCs w:val="32"/>
          <w:b w:val="1"/>
          <w:bCs w:val="1"/>
          <w:color w:val="auto"/>
        </w:rPr>
        <w:t>SUPPLEMENTAL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45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 401(k) Salaried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04-2623104/Plan Number: 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3460" w:type="dxa"/>
            <w:vAlign w:val="bottom"/>
            <w:gridSpan w:val="2"/>
            <w:vMerge w:val="restart"/>
          </w:tcPr>
          <w:p>
            <w:pPr>
              <w:jc w:val="center"/>
              <w:ind w:right="1340"/>
              <w:spacing w:after="0"/>
              <w:rPr>
                <w:sz w:val="20"/>
                <w:szCs w:val="20"/>
                <w:color w:val="auto"/>
              </w:rPr>
            </w:pPr>
            <w:r>
              <w:rPr>
                <w:rFonts w:ascii="Arial" w:cs="Arial" w:eastAsia="Arial" w:hAnsi="Arial"/>
                <w:sz w:val="18"/>
                <w:szCs w:val="18"/>
                <w:b w:val="1"/>
                <w:bCs w:val="1"/>
                <w:color w:val="auto"/>
                <w:w w:val="87"/>
              </w:rPr>
              <w:t>Identity of Issue, Borrower,</w:t>
            </w:r>
          </w:p>
        </w:tc>
        <w:tc>
          <w:tcPr>
            <w:tcW w:w="4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Description of investment including</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3460" w:type="dxa"/>
            <w:vAlign w:val="bottom"/>
            <w:gridSpan w:val="2"/>
            <w:vMerge w:val="continue"/>
          </w:tcPr>
          <w:p>
            <w:pPr>
              <w:spacing w:after="0"/>
              <w:rPr>
                <w:sz w:val="17"/>
                <w:szCs w:val="17"/>
                <w:color w:val="auto"/>
              </w:rPr>
            </w:pPr>
          </w:p>
        </w:tc>
        <w:tc>
          <w:tcPr>
            <w:tcW w:w="42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89"/>
              </w:rPr>
              <w:t>maturity date, rate of interest, collateral,</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346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w w:val="89"/>
              </w:rPr>
              <w:t>Lessor, or Similar Party</w:t>
            </w:r>
          </w:p>
        </w:tc>
        <w:tc>
          <w:tcPr>
            <w:tcW w:w="4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par, or maturity value</w:t>
            </w: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Shares/Units</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8"/>
              </w:rPr>
              <w:t>Current Value</w:t>
            </w:r>
          </w:p>
        </w:tc>
        <w:tc>
          <w:tcPr>
            <w:tcW w:w="0" w:type="dxa"/>
            <w:vAlign w:val="bottom"/>
          </w:tcPr>
          <w:p>
            <w:pPr>
              <w:spacing w:after="0"/>
              <w:rPr>
                <w:sz w:val="1"/>
                <w:szCs w:val="1"/>
                <w:color w:val="auto"/>
              </w:rPr>
            </w:pPr>
          </w:p>
        </w:tc>
      </w:tr>
      <w:tr>
        <w:trPr>
          <w:trHeight w:val="20"/>
        </w:trPr>
        <w:tc>
          <w:tcPr>
            <w:tcW w:w="1040" w:type="dxa"/>
            <w:vAlign w:val="bottom"/>
            <w:tcBorders>
              <w:bottom w:val="single" w:sz="8" w:color="CCEEFF"/>
            </w:tcBorders>
          </w:tcPr>
          <w:p>
            <w:pPr>
              <w:spacing w:after="0" w:line="20" w:lineRule="exact"/>
              <w:rPr>
                <w:sz w:val="1"/>
                <w:szCs w:val="1"/>
                <w:color w:val="auto"/>
              </w:rPr>
            </w:pPr>
          </w:p>
        </w:tc>
        <w:tc>
          <w:tcPr>
            <w:tcW w:w="212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0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Commingled funds held through Fidelity Investments:</w:t>
            </w:r>
          </w:p>
        </w:tc>
        <w:tc>
          <w:tcPr>
            <w:tcW w:w="3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Stable Value Fund (1)</w:t>
            </w:r>
          </w:p>
        </w:tc>
        <w:tc>
          <w:tcPr>
            <w:tcW w:w="960" w:type="dxa"/>
            <w:vAlign w:val="bottom"/>
          </w:tcPr>
          <w:p>
            <w:pPr>
              <w:jc w:val="right"/>
              <w:spacing w:after="0"/>
              <w:rPr>
                <w:sz w:val="20"/>
                <w:szCs w:val="20"/>
                <w:color w:val="auto"/>
              </w:rPr>
            </w:pPr>
            <w:r>
              <w:rPr>
                <w:rFonts w:ascii="Arial" w:cs="Arial" w:eastAsia="Arial" w:hAnsi="Arial"/>
                <w:sz w:val="18"/>
                <w:szCs w:val="18"/>
                <w:color w:val="auto"/>
              </w:rPr>
              <w:t>4,357,437</w:t>
            </w:r>
          </w:p>
        </w:tc>
        <w:tc>
          <w:tcPr>
            <w:tcW w:w="5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4,441,986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held through Fidelity Investments:</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Cash—interest bearing</w:t>
            </w:r>
          </w:p>
        </w:tc>
        <w:tc>
          <w:tcPr>
            <w:tcW w:w="14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Leveraged Company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Freedom 2010</w:t>
            </w:r>
          </w:p>
        </w:tc>
        <w:tc>
          <w:tcPr>
            <w:tcW w:w="960" w:type="dxa"/>
            <w:vAlign w:val="bottom"/>
          </w:tcPr>
          <w:p>
            <w:pPr>
              <w:jc w:val="right"/>
              <w:spacing w:after="0"/>
              <w:rPr>
                <w:sz w:val="20"/>
                <w:szCs w:val="20"/>
                <w:color w:val="auto"/>
              </w:rPr>
            </w:pPr>
            <w:r>
              <w:rPr>
                <w:rFonts w:ascii="Arial" w:cs="Arial" w:eastAsia="Arial" w:hAnsi="Arial"/>
                <w:sz w:val="18"/>
                <w:szCs w:val="18"/>
                <w:color w:val="auto"/>
              </w:rPr>
              <w:t>19,738</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Freedom 2020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126,020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Freedom 2030</w:t>
            </w:r>
          </w:p>
        </w:tc>
        <w:tc>
          <w:tcPr>
            <w:tcW w:w="960" w:type="dxa"/>
            <w:vAlign w:val="bottom"/>
          </w:tcPr>
          <w:p>
            <w:pPr>
              <w:jc w:val="right"/>
              <w:spacing w:after="0"/>
              <w:rPr>
                <w:sz w:val="20"/>
                <w:szCs w:val="20"/>
                <w:color w:val="auto"/>
              </w:rPr>
            </w:pPr>
            <w:r>
              <w:rPr>
                <w:rFonts w:ascii="Arial" w:cs="Arial" w:eastAsia="Arial" w:hAnsi="Arial"/>
                <w:sz w:val="18"/>
                <w:szCs w:val="18"/>
                <w:color w:val="auto"/>
              </w:rPr>
              <w:t>92,273</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1,289,978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Freedom 2040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86,873</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Freedom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9,366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New Insights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130,872</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Freedom 2005</w:t>
            </w:r>
          </w:p>
        </w:tc>
        <w:tc>
          <w:tcPr>
            <w:tcW w:w="960" w:type="dxa"/>
            <w:vAlign w:val="bottom"/>
          </w:tcPr>
          <w:p>
            <w:pPr>
              <w:jc w:val="right"/>
              <w:spacing w:after="0"/>
              <w:rPr>
                <w:sz w:val="20"/>
                <w:szCs w:val="20"/>
                <w:color w:val="auto"/>
              </w:rPr>
            </w:pPr>
            <w:r>
              <w:rPr>
                <w:rFonts w:ascii="Arial" w:cs="Arial" w:eastAsia="Arial" w:hAnsi="Arial"/>
                <w:sz w:val="18"/>
                <w:szCs w:val="18"/>
                <w:color w:val="auto"/>
              </w:rPr>
              <w:t>164,509</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1,977,397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Freedom 2015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Freedom 2025</w:t>
            </w:r>
          </w:p>
        </w:tc>
        <w:tc>
          <w:tcPr>
            <w:tcW w:w="960" w:type="dxa"/>
            <w:vAlign w:val="bottom"/>
          </w:tcPr>
          <w:p>
            <w:pPr>
              <w:jc w:val="right"/>
              <w:spacing w:after="0"/>
              <w:rPr>
                <w:sz w:val="20"/>
                <w:szCs w:val="20"/>
                <w:color w:val="auto"/>
              </w:rPr>
            </w:pPr>
            <w:r>
              <w:rPr>
                <w:rFonts w:ascii="Arial" w:cs="Arial" w:eastAsia="Arial" w:hAnsi="Arial"/>
                <w:sz w:val="18"/>
                <w:szCs w:val="18"/>
                <w:color w:val="auto"/>
              </w:rPr>
              <w:t>103,585</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1,363,180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Freedom 2035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155,936</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Freedom 2045</w:t>
            </w:r>
          </w:p>
        </w:tc>
        <w:tc>
          <w:tcPr>
            <w:tcW w:w="960" w:type="dxa"/>
            <w:vAlign w:val="bottom"/>
          </w:tcPr>
          <w:p>
            <w:pPr>
              <w:jc w:val="right"/>
              <w:spacing w:after="0"/>
              <w:rPr>
                <w:sz w:val="20"/>
                <w:szCs w:val="20"/>
                <w:color w:val="auto"/>
              </w:rPr>
            </w:pPr>
            <w:r>
              <w:rPr>
                <w:rFonts w:ascii="Arial" w:cs="Arial" w:eastAsia="Arial" w:hAnsi="Arial"/>
                <w:sz w:val="18"/>
                <w:szCs w:val="18"/>
                <w:color w:val="auto"/>
              </w:rPr>
              <w:t>71,499</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800,072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Freedom 2050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*Fidelity Advisor Freedom 2055</w:t>
            </w:r>
          </w:p>
        </w:tc>
        <w:tc>
          <w:tcPr>
            <w:tcW w:w="960" w:type="dxa"/>
            <w:vAlign w:val="bottom"/>
          </w:tcPr>
          <w:p>
            <w:pPr>
              <w:jc w:val="right"/>
              <w:spacing w:after="0"/>
              <w:rPr>
                <w:sz w:val="20"/>
                <w:szCs w:val="20"/>
                <w:color w:val="auto"/>
              </w:rPr>
            </w:pPr>
            <w:r>
              <w:rPr>
                <w:rFonts w:ascii="Arial" w:cs="Arial" w:eastAsia="Arial" w:hAnsi="Arial"/>
                <w:sz w:val="18"/>
                <w:szCs w:val="18"/>
                <w:color w:val="auto"/>
              </w:rPr>
              <w:t>5,495</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Templeton Global Bond Fund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Columbia Acorn International</w:t>
            </w:r>
          </w:p>
        </w:tc>
        <w:tc>
          <w:tcPr>
            <w:tcW w:w="960" w:type="dxa"/>
            <w:vAlign w:val="bottom"/>
          </w:tcPr>
          <w:p>
            <w:pPr>
              <w:jc w:val="right"/>
              <w:spacing w:after="0"/>
              <w:rPr>
                <w:sz w:val="20"/>
                <w:szCs w:val="20"/>
                <w:color w:val="auto"/>
              </w:rPr>
            </w:pPr>
            <w:r>
              <w:rPr>
                <w:rFonts w:ascii="Arial" w:cs="Arial" w:eastAsia="Arial" w:hAnsi="Arial"/>
                <w:sz w:val="18"/>
                <w:szCs w:val="18"/>
                <w:color w:val="auto"/>
              </w:rPr>
              <w:t>33,958</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1,583,480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Pioneer Equity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Prudential Jennison Mid Cap Growth Fund</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33,011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1,282,134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Allianz NFJ International Value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American Century Investment Mid Cap Value</w:t>
            </w:r>
          </w:p>
        </w:tc>
        <w:tc>
          <w:tcPr>
            <w:tcW w:w="960" w:type="dxa"/>
            <w:vAlign w:val="bottom"/>
          </w:tcPr>
          <w:p>
            <w:pPr>
              <w:jc w:val="right"/>
              <w:spacing w:after="0"/>
              <w:rPr>
                <w:sz w:val="20"/>
                <w:szCs w:val="20"/>
                <w:color w:val="auto"/>
              </w:rPr>
            </w:pPr>
            <w:r>
              <w:rPr>
                <w:rFonts w:ascii="Arial" w:cs="Arial" w:eastAsia="Arial" w:hAnsi="Arial"/>
                <w:sz w:val="18"/>
                <w:szCs w:val="18"/>
                <w:color w:val="auto"/>
              </w:rPr>
              <w:t>70,175</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1,103,855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PIMCO Total Return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198,978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Pioneer Oak Ridge Small Cap Growth Fund</w:t>
            </w:r>
          </w:p>
        </w:tc>
        <w:tc>
          <w:tcPr>
            <w:tcW w:w="960" w:type="dxa"/>
            <w:vAlign w:val="bottom"/>
          </w:tcPr>
          <w:p>
            <w:pPr>
              <w:jc w:val="right"/>
              <w:spacing w:after="0"/>
              <w:rPr>
                <w:sz w:val="20"/>
                <w:szCs w:val="20"/>
                <w:color w:val="auto"/>
              </w:rPr>
            </w:pPr>
            <w:r>
              <w:rPr>
                <w:rFonts w:ascii="Arial" w:cs="Arial" w:eastAsia="Arial" w:hAnsi="Arial"/>
                <w:sz w:val="18"/>
                <w:szCs w:val="18"/>
                <w:color w:val="auto"/>
              </w:rPr>
              <w:t>17,330</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682,628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High Yield Fund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39,212</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JP Morgan Equity Index</w:t>
            </w:r>
          </w:p>
        </w:tc>
        <w:tc>
          <w:tcPr>
            <w:tcW w:w="960" w:type="dxa"/>
            <w:vAlign w:val="bottom"/>
          </w:tcPr>
          <w:p>
            <w:pPr>
              <w:jc w:val="right"/>
              <w:spacing w:after="0"/>
              <w:rPr>
                <w:sz w:val="20"/>
                <w:szCs w:val="20"/>
                <w:color w:val="auto"/>
              </w:rPr>
            </w:pPr>
            <w:r>
              <w:rPr>
                <w:rFonts w:ascii="Arial" w:cs="Arial" w:eastAsia="Arial" w:hAnsi="Arial"/>
                <w:sz w:val="18"/>
                <w:szCs w:val="18"/>
                <w:color w:val="auto"/>
              </w:rPr>
              <w:t>91,297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3,610,815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Emerging Economy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Perkins Small Cap Value Fund</w:t>
            </w:r>
          </w:p>
        </w:tc>
        <w:tc>
          <w:tcPr>
            <w:tcW w:w="960" w:type="dxa"/>
            <w:vAlign w:val="bottom"/>
          </w:tcPr>
          <w:p>
            <w:pPr>
              <w:jc w:val="right"/>
              <w:spacing w:after="0"/>
              <w:rPr>
                <w:sz w:val="20"/>
                <w:szCs w:val="20"/>
                <w:color w:val="auto"/>
              </w:rPr>
            </w:pPr>
            <w:r>
              <w:rPr>
                <w:rFonts w:ascii="Arial" w:cs="Arial" w:eastAsia="Arial" w:hAnsi="Arial"/>
                <w:sz w:val="18"/>
                <w:szCs w:val="18"/>
                <w:color w:val="auto"/>
              </w:rPr>
              <w:t>29,058</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743,594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Inflation Protected Bond Fund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Common Stock held through Fidelity Investments:</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Destination XL Group, Inc.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131,099</w:t>
            </w: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36,177,255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Notes receivable from participants: 4.75%—6.00%</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36,972,133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Indicates party-in-interest to the Plan.</w:t>
      </w:r>
    </w:p>
    <w:p>
      <w:pPr>
        <w:spacing w:after="0" w:line="15" w:lineRule="exact"/>
        <w:rPr>
          <w:sz w:val="20"/>
          <w:szCs w:val="20"/>
          <w:color w:val="auto"/>
        </w:rPr>
      </w:pPr>
    </w:p>
    <w:p>
      <w:pPr>
        <w:ind w:left="5620" w:right="2660" w:hanging="5612"/>
        <w:spacing w:after="0" w:line="517" w:lineRule="auto"/>
        <w:tabs>
          <w:tab w:leader="none" w:pos="218"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$48,608 of non participant-directed, unallocated forfeitures for which historical cost approximates current value. 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Destination XL Group, Inc. 401(k) Salaried Savings Plan</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Destination XL Group, Inc. 401(k) Salaried Savings plan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Peter H, Stratton, Jr., Senior Vice President and Chief</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Financial Officer of Destination XL Group, Inc., the Plan</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30, 2014</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240" w:top="459" w:right="5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Destination XL Group, Inc. 401(k) Salaried Savings Plan</w:t>
      </w:r>
    </w:p>
    <w:p>
      <w:pPr>
        <w:spacing w:after="0" w:line="18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Index to Exhibits</w:t>
      </w:r>
    </w:p>
    <w:p>
      <w:pPr>
        <w:spacing w:after="0" w:line="32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459"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(No. 333-112218) on Form S-8 of our report dated June 30, 2014, relating to the statements of net assets available for benefits of Destination XL Group, Inc. 401(k) Salaried Savings Plan as of December 31, 2013, and 2012, the related statement of changes in net assets available for benefits for the year ended December 31, 2013, and the related supplemental schedule as of December 31, 2013, which report appears in the December 31, 2013 annual report on Form 11-K of Destination XL Group, Inc. 401(k) Salaried Savings Plan.</w:t>
      </w:r>
    </w:p>
    <w:p>
      <w:pPr>
        <w:spacing w:after="0" w:line="194"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/s/ Mayer Hoffman McCann CPAs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New York Practice of Mayer Hoffman McCann P.C.)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30, 2014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2019-12-05T23:45:26Z</dcterms:created>
  <dcterms:modified xsi:type="dcterms:W3CDTF">2019-12-05T23:45:26Z</dcterms:modified>
</cp:coreProperties>
</file>