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DESIGNS, INC. (Offeror/Issuer)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Filing Persons (Identifying Status as Offeror, Issuer or Other Person))</w:t>
      </w:r>
    </w:p>
    <w:p>
      <w:pPr>
        <w:spacing w:after="0" w:line="2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25057L10</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Dennis Hernreich</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 Designs, Inc.</w:t>
      </w:r>
    </w:p>
    <w:p>
      <w:pPr>
        <w:jc w:val="center"/>
        <w:ind w:right="1659"/>
        <w:spacing w:after="0"/>
        <w:rPr>
          <w:sz w:val="20"/>
          <w:szCs w:val="20"/>
          <w:color w:val="auto"/>
        </w:rPr>
      </w:pPr>
      <w:r>
        <w:rPr>
          <w:rFonts w:ascii="Courier New" w:cs="Courier New" w:eastAsia="Courier New" w:hAnsi="Courier New"/>
          <w:sz w:val="18"/>
          <w:szCs w:val="18"/>
          <w:color w:val="auto"/>
        </w:rPr>
        <w:t>66 B Street</w:t>
      </w:r>
    </w:p>
    <w:p>
      <w:pPr>
        <w:jc w:val="center"/>
        <w:ind w:right="1779"/>
        <w:spacing w:after="0" w:line="237" w:lineRule="auto"/>
        <w:rPr>
          <w:sz w:val="20"/>
          <w:szCs w:val="20"/>
          <w:color w:val="auto"/>
        </w:rPr>
      </w:pPr>
      <w:r>
        <w:rPr>
          <w:rFonts w:ascii="Courier New" w:cs="Courier New" w:eastAsia="Courier New" w:hAnsi="Courier New"/>
          <w:sz w:val="18"/>
          <w:szCs w:val="18"/>
          <w:color w:val="auto"/>
        </w:rPr>
        <w:t>Needham, Massachusetts 02494</w:t>
      </w:r>
    </w:p>
    <w:p>
      <w:pPr>
        <w:jc w:val="center"/>
        <w:ind w:right="1779"/>
        <w:spacing w:after="0" w:line="238" w:lineRule="auto"/>
        <w:rPr>
          <w:sz w:val="20"/>
          <w:szCs w:val="20"/>
          <w:color w:val="auto"/>
        </w:rPr>
      </w:pPr>
      <w:r>
        <w:rPr>
          <w:rFonts w:ascii="Courier New" w:cs="Courier New" w:eastAsia="Courier New" w:hAnsi="Courier New"/>
          <w:sz w:val="18"/>
          <w:szCs w:val="18"/>
          <w:color w:val="auto"/>
        </w:rPr>
        <w:t>(781) 444-7222</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 Authorized to Receive Notices</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Communications on Behalf of Filing Persons)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Peter G. Smith, Esq.</w:t>
      </w:r>
    </w:p>
    <w:p>
      <w:pPr>
        <w:ind w:left="2440"/>
        <w:spacing w:after="0" w:line="238" w:lineRule="auto"/>
        <w:rPr>
          <w:sz w:val="20"/>
          <w:szCs w:val="20"/>
          <w:color w:val="auto"/>
        </w:rPr>
      </w:pPr>
      <w:r>
        <w:rPr>
          <w:rFonts w:ascii="Courier New" w:cs="Courier New" w:eastAsia="Courier New" w:hAnsi="Courier New"/>
          <w:sz w:val="18"/>
          <w:szCs w:val="18"/>
          <w:color w:val="auto"/>
        </w:rPr>
        <w:t>Kramer Levin Naftalis &amp; Frankel LLP</w:t>
      </w:r>
    </w:p>
    <w:p>
      <w:pPr>
        <w:ind w:left="3380"/>
        <w:spacing w:after="0"/>
        <w:rPr>
          <w:sz w:val="20"/>
          <w:szCs w:val="20"/>
          <w:color w:val="auto"/>
        </w:rPr>
      </w:pPr>
      <w:r>
        <w:rPr>
          <w:rFonts w:ascii="Courier New" w:cs="Courier New" w:eastAsia="Courier New" w:hAnsi="Courier New"/>
          <w:sz w:val="18"/>
          <w:szCs w:val="18"/>
          <w:color w:val="auto"/>
        </w:rPr>
        <w:t>919 Third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715-9100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540" w:right="20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Check the box if the filing relates solely to preliminary communications made before the commencement of a tender offer.</w:t>
      </w:r>
    </w:p>
    <w:p>
      <w:pPr>
        <w:spacing w:after="0" w:line="208"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43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third-party tender offer subject to</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Rule 14d-1.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43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issuer tender offer subject to Rule</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13e-4.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going-private transaction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subject to</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Rule 13e-3.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amendment to Schedule 13D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under Rule</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13d-2.</w:t>
            </w:r>
          </w:p>
        </w:tc>
      </w:tr>
    </w:tbl>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|_|</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p>
      <w:pPr>
        <w:ind w:right="1779" w:firstLine="1159"/>
        <w:spacing w:after="0" w:line="237" w:lineRule="auto"/>
        <w:rPr>
          <w:sz w:val="20"/>
          <w:szCs w:val="20"/>
          <w:color w:val="auto"/>
        </w:rPr>
      </w:pPr>
      <w:r>
        <w:rPr>
          <w:rFonts w:ascii="Courier New" w:cs="Courier New" w:eastAsia="Courier New" w:hAnsi="Courier New"/>
          <w:sz w:val="18"/>
          <w:szCs w:val="18"/>
          <w:color w:val="auto"/>
        </w:rPr>
        <w:t>This Amendment No. 3 to Schedule TO amends and supplements the Tender Offer Statement on Schedule TO, as previously amended, originally filed by Designs, Inc., a Delaware corporation (the "Company"), with the Securities and Exchange Commission (the "SEC") on November 15, 2000.</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is amended by adding the following exhibit: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Designs, Inc. dated December 26, 2000</w:t>
      </w:r>
    </w:p>
    <w:p>
      <w:pPr>
        <w:sectPr>
          <w:pgSz w:w="11900" w:h="16838" w:orient="portrait"/>
          <w:cols w:equalWidth="0" w:num="1">
            <w:col w:w="10219"/>
          </w:cols>
          <w:pgMar w:left="240" w:top="723" w:right="1440" w:bottom="1440" w:gutter="0" w:footer="0" w:header="0"/>
        </w:sectPr>
      </w:pPr>
    </w:p>
    <w:bookmarkStart w:id="2" w:name="page3"/>
    <w:bookmarkEnd w:id="2"/>
    <w:p>
      <w:pPr>
        <w:ind w:right="1999" w:firstLine="1159"/>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26, 2000</w:t>
      </w: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DENNIS HERNREICH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Dennis Hernreich</w:t>
      </w:r>
    </w:p>
    <w:p>
      <w:pPr>
        <w:ind w:left="4740"/>
        <w:spacing w:after="0" w:line="238" w:lineRule="auto"/>
        <w:rPr>
          <w:sz w:val="20"/>
          <w:szCs w:val="20"/>
          <w:color w:val="auto"/>
        </w:rPr>
      </w:pPr>
      <w:r>
        <w:rPr>
          <w:rFonts w:ascii="Courier New" w:cs="Courier New" w:eastAsia="Courier New" w:hAnsi="Courier New"/>
          <w:sz w:val="18"/>
          <w:szCs w:val="18"/>
          <w:color w:val="auto"/>
        </w:rPr>
        <w:t>Title: Senior Vice President and</w:t>
      </w:r>
    </w:p>
    <w:p>
      <w:pPr>
        <w:ind w:left="54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23"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ind w:left="3380"/>
        <w:spacing w:after="0" w:line="238" w:lineRule="auto"/>
        <w:rPr>
          <w:sz w:val="20"/>
          <w:szCs w:val="20"/>
          <w:color w:val="auto"/>
        </w:rPr>
      </w:pPr>
      <w:r>
        <w:rPr>
          <w:rFonts w:ascii="Courier New" w:cs="Courier New" w:eastAsia="Courier New" w:hAnsi="Courier New"/>
          <w:sz w:val="18"/>
          <w:szCs w:val="18"/>
          <w:color w:val="auto"/>
        </w:rPr>
        <w:t>Seymour Holtzman, Chairman of the Board</w:t>
      </w:r>
    </w:p>
    <w:p>
      <w:pPr>
        <w:ind w:left="3380"/>
        <w:spacing w:after="0"/>
        <w:rPr>
          <w:sz w:val="20"/>
          <w:szCs w:val="20"/>
          <w:color w:val="auto"/>
        </w:rPr>
      </w:pPr>
      <w:r>
        <w:rPr>
          <w:rFonts w:ascii="Courier New" w:cs="Courier New" w:eastAsia="Courier New" w:hAnsi="Courier New"/>
          <w:sz w:val="18"/>
          <w:szCs w:val="18"/>
          <w:color w:val="auto"/>
        </w:rPr>
        <w:t>Jeff Unger, Investor Relations</w:t>
      </w:r>
    </w:p>
    <w:p>
      <w:pPr>
        <w:ind w:left="3380"/>
        <w:spacing w:after="0" w:line="237" w:lineRule="auto"/>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RJ Falkner &amp; Company, Inc.</w:t>
      </w:r>
    </w:p>
    <w:p>
      <w:pPr>
        <w:ind w:left="3380"/>
        <w:spacing w:after="0" w:line="238" w:lineRule="auto"/>
        <w:rPr>
          <w:sz w:val="20"/>
          <w:szCs w:val="20"/>
          <w:color w:val="auto"/>
        </w:rPr>
      </w:pPr>
      <w:r>
        <w:rPr>
          <w:rFonts w:ascii="Courier New" w:cs="Courier New" w:eastAsia="Courier New" w:hAnsi="Courier New"/>
          <w:sz w:val="18"/>
          <w:szCs w:val="18"/>
          <w:color w:val="auto"/>
        </w:rPr>
        <w:t>Investor Relations Counsel</w:t>
      </w:r>
    </w:p>
    <w:p>
      <w:pPr>
        <w:spacing w:after="0" w:line="5" w:lineRule="exact"/>
        <w:rPr>
          <w:sz w:val="20"/>
          <w:szCs w:val="20"/>
          <w:color w:val="auto"/>
        </w:rPr>
      </w:pPr>
    </w:p>
    <w:p>
      <w:pPr>
        <w:ind w:left="3380" w:right="4939" w:hanging="1"/>
        <w:spacing w:after="0" w:line="290" w:lineRule="auto"/>
        <w:tabs>
          <w:tab w:leader="none" w:pos="40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377-9893 info@rjfalkner.com</w:t>
      </w:r>
    </w:p>
    <w:p>
      <w:pPr>
        <w:spacing w:after="0" w:line="36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 ANNOUNCES RESULTS OF DUTCH AUCTION TENDER OFFER</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(Needham, MA, December 26, 2000) -- Designs, Inc. (NASDAQ/NMS: "DESI"), operator of Levi's(R) and Dockers(R) Outlet By Designs stores, today announced the results of its "Dutch Auction" tender offer, which expired at 5:00pm EST on December 22, 2000. The "Dutch Auction" tender offer commenced on November 15, 2000, as supplemented on December 18, 2000 and was for up to 1.5 million shares of the Company's Common Stock, while reserving the option to purchase up to an additional 1 million shares, at a price between $2.50 and $3.00 per share.</w:t>
      </w:r>
    </w:p>
    <w:p>
      <w:pPr>
        <w:spacing w:after="0" w:line="188"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Based on preliminary count by the depositary for the tender offer, 1,740,000 shares of common stock (including 47,881 shares tendered through guaranteed delivery procedures) were properly tendered at $2.50 per share, and not withdrawn.</w:t>
      </w:r>
    </w:p>
    <w:p>
      <w:pPr>
        <w:spacing w:after="0" w:line="207" w:lineRule="exact"/>
        <w:rPr>
          <w:sz w:val="20"/>
          <w:szCs w:val="20"/>
          <w:color w:val="auto"/>
        </w:rPr>
      </w:pPr>
    </w:p>
    <w:p>
      <w:pPr>
        <w:ind w:right="1879" w:firstLine="1159"/>
        <w:spacing w:after="0" w:line="272" w:lineRule="auto"/>
        <w:rPr>
          <w:sz w:val="20"/>
          <w:szCs w:val="20"/>
          <w:color w:val="auto"/>
        </w:rPr>
      </w:pPr>
      <w:r>
        <w:rPr>
          <w:rFonts w:ascii="Courier New" w:cs="Courier New" w:eastAsia="Courier New" w:hAnsi="Courier New"/>
          <w:sz w:val="16"/>
          <w:szCs w:val="16"/>
          <w:color w:val="auto"/>
        </w:rPr>
        <w:t>This tender is in excess of the 1,500,000 shares the Company had offered to purchase. Under applicable SEC regulations, up to an additional 315,639 shares, or 2% of the outstanding shares, may be purchased without further amending or extending the offer, as set forth in the offer to purchase. The Company has determined to exercise its right to purchase an additional 240,000 shares in the offer, which is within 2% of the outstanding shares.</w:t>
      </w:r>
    </w:p>
    <w:p>
      <w:pPr>
        <w:spacing w:after="0" w:line="186"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The final determination of the actual number of shares to be purchased are subject to final confirmation, the proper delivery of all shares tendered and not properly withdrawn (including shares tendered pursuant to guaranteed delivery procedures), and will be announced following completion of the confirmation process.</w:t>
      </w:r>
    </w:p>
    <w:p>
      <w:pPr>
        <w:spacing w:after="0" w:line="209"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Designs will promptly pay after final confirmation for those shares validly tendered, accepted and properly delivered promptly. Designs currently has approximately 15.8 million shares issued and outstanding. The Company expects to have approximately 14.1 million shares outstanding immediately following payment for the tendered shares. D.F. King &amp; Co., Inc. acted as Information Agent in the tender offer.</w:t>
      </w:r>
    </w:p>
    <w:p>
      <w:pPr>
        <w:spacing w:after="0" w:line="210" w:lineRule="exact"/>
        <w:rPr>
          <w:sz w:val="20"/>
          <w:szCs w:val="20"/>
          <w:color w:val="auto"/>
        </w:rPr>
      </w:pPr>
    </w:p>
    <w:p>
      <w:pPr>
        <w:ind w:right="1779" w:firstLine="115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forwarding-looking information concerning the Company to refer to its prior filings with the Securities and Exchange Commission that set forth certain risks and uncertainties that may have an impact on future results and direction of the Company.</w:t>
      </w:r>
    </w:p>
    <w:p>
      <w:pPr>
        <w:spacing w:after="0" w:line="388"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Designs, Inc. operates 108 Levi's(R)Outlet by Designs and Dockers(R)Outlet by Designs stores. These stores are located in outlet parks and malls throughout the eastern United States and Puerto Rico.</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1)"/>
      <w:numFmt w:val="decimal"/>
      <w:start w:val="8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2019-12-20T00:53:52Z</dcterms:created>
  <dcterms:modified xsi:type="dcterms:W3CDTF">2019-12-20T00:53:52Z</dcterms:modified>
</cp:coreProperties>
</file>