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3"/>
        <w:spacing w:after="0"/>
        <w:rPr>
          <w:sz w:val="20"/>
          <w:szCs w:val="20"/>
          <w:color w:val="auto"/>
        </w:rPr>
      </w:pPr>
      <w:r>
        <w:rPr>
          <w:rFonts w:ascii="Courier New" w:cs="Courier New" w:eastAsia="Courier New" w:hAnsi="Courier New"/>
          <w:sz w:val="18"/>
          <w:szCs w:val="18"/>
          <w:color w:val="auto"/>
        </w:rPr>
        <w:t>SCHEDULE 14A</w:t>
      </w:r>
    </w:p>
    <w:p>
      <w:pPr>
        <w:spacing w:after="0" w:line="29"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(Rule 14a-101)</w:t>
      </w:r>
    </w:p>
    <w:p>
      <w:pPr>
        <w:jc w:val="center"/>
        <w:ind w:right="2413"/>
        <w:spacing w:after="0" w:line="238" w:lineRule="auto"/>
        <w:rPr>
          <w:sz w:val="20"/>
          <w:szCs w:val="20"/>
          <w:color w:val="auto"/>
        </w:rPr>
      </w:pPr>
      <w:r>
        <w:rPr>
          <w:rFonts w:ascii="Courier New" w:cs="Courier New" w:eastAsia="Courier New" w:hAnsi="Courier New"/>
          <w:sz w:val="18"/>
          <w:szCs w:val="18"/>
          <w:color w:val="auto"/>
        </w:rPr>
        <w:t>Information Required In Proxy Statement</w:t>
      </w:r>
    </w:p>
    <w:p>
      <w:pPr>
        <w:ind w:left="2627"/>
        <w:spacing w:after="0"/>
        <w:rPr>
          <w:sz w:val="20"/>
          <w:szCs w:val="20"/>
          <w:color w:val="auto"/>
        </w:rPr>
      </w:pPr>
      <w:r>
        <w:rPr>
          <w:rFonts w:ascii="Courier New" w:cs="Courier New" w:eastAsia="Courier New" w:hAnsi="Courier New"/>
          <w:sz w:val="18"/>
          <w:szCs w:val="18"/>
          <w:color w:val="auto"/>
        </w:rPr>
        <w:t>Schedule 14A Information</w:t>
      </w:r>
    </w:p>
    <w:p>
      <w:pPr>
        <w:ind w:left="2207" w:right="3579" w:hanging="736"/>
        <w:spacing w:after="0" w:line="309"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w:t>
      </w:r>
    </w:p>
    <w:p>
      <w:pPr>
        <w:spacing w:after="0" w:line="253"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Filed by the Registrant (X)</w:t>
      </w:r>
    </w:p>
    <w:p>
      <w:pPr>
        <w:spacing w:after="0" w:line="29"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Filed by a Party other than the Registrant ( )</w:t>
      </w:r>
    </w:p>
    <w:p>
      <w:pPr>
        <w:ind w:left="7"/>
        <w:spacing w:after="0" w:line="238" w:lineRule="auto"/>
        <w:rPr>
          <w:sz w:val="20"/>
          <w:szCs w:val="20"/>
          <w:color w:val="auto"/>
        </w:rPr>
      </w:pPr>
      <w:r>
        <w:rPr>
          <w:rFonts w:ascii="Courier New" w:cs="Courier New" w:eastAsia="Courier New" w:hAnsi="Courier New"/>
          <w:sz w:val="18"/>
          <w:szCs w:val="18"/>
          <w:color w:val="auto"/>
        </w:rPr>
        <w:t>Check the appropriate box:</w:t>
      </w:r>
    </w:p>
    <w:p>
      <w:pPr>
        <w:ind w:left="7"/>
        <w:spacing w:after="0"/>
        <w:rPr>
          <w:sz w:val="20"/>
          <w:szCs w:val="20"/>
          <w:color w:val="auto"/>
        </w:rPr>
      </w:pPr>
      <w:r>
        <w:rPr>
          <w:rFonts w:ascii="Courier New" w:cs="Courier New" w:eastAsia="Courier New" w:hAnsi="Courier New"/>
          <w:sz w:val="18"/>
          <w:szCs w:val="18"/>
          <w:color w:val="auto"/>
        </w:rPr>
        <w:t>( ) Preliminary Proxy Statement</w:t>
      </w:r>
    </w:p>
    <w:p>
      <w:pPr>
        <w:ind w:left="427" w:right="2739" w:hanging="427"/>
        <w:spacing w:after="0" w:line="238" w:lineRule="auto"/>
        <w:tabs>
          <w:tab w:leader="none" w:pos="2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7"/>
        <w:spacing w:after="0"/>
        <w:rPr>
          <w:sz w:val="20"/>
          <w:szCs w:val="20"/>
          <w:color w:val="auto"/>
        </w:rPr>
      </w:pPr>
      <w:r>
        <w:rPr>
          <w:rFonts w:ascii="Courier New" w:cs="Courier New" w:eastAsia="Courier New" w:hAnsi="Courier New"/>
          <w:sz w:val="18"/>
          <w:szCs w:val="18"/>
          <w:color w:val="auto"/>
        </w:rPr>
        <w:t>( ) Definitive Proxy Statement</w:t>
      </w:r>
    </w:p>
    <w:p>
      <w:pPr>
        <w:ind w:left="7"/>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ind w:left="7"/>
        <w:spacing w:after="0"/>
        <w:rPr>
          <w:sz w:val="20"/>
          <w:szCs w:val="20"/>
          <w:color w:val="auto"/>
        </w:rPr>
      </w:pPr>
      <w:r>
        <w:rPr>
          <w:rFonts w:ascii="Courier New" w:cs="Courier New" w:eastAsia="Courier New" w:hAnsi="Courier New"/>
          <w:sz w:val="18"/>
          <w:szCs w:val="18"/>
          <w:color w:val="auto"/>
        </w:rPr>
        <w:t>(X) Soliciting Material Pursuant to Rule 14a-11 (c) or Rule 14a-12</w:t>
      </w:r>
    </w:p>
    <w:p>
      <w:pPr>
        <w:spacing w:after="0" w:line="372" w:lineRule="exact"/>
        <w:rPr>
          <w:sz w:val="24"/>
          <w:szCs w:val="24"/>
          <w:color w:val="auto"/>
        </w:rPr>
      </w:pPr>
    </w:p>
    <w:p>
      <w:pPr>
        <w:ind w:left="3167"/>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427"/>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ind w:left="427"/>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427"/>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847"/>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4"/>
          <w:szCs w:val="24"/>
          <w:color w:val="auto"/>
        </w:rPr>
      </w:pPr>
    </w:p>
    <w:p>
      <w:pPr>
        <w:spacing w:after="0" w:line="204"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For Information, Contact:</w:t>
      </w:r>
    </w:p>
    <w:p>
      <w:pPr>
        <w:spacing w:after="0" w:line="200" w:lineRule="exact"/>
        <w:rPr>
          <w:sz w:val="24"/>
          <w:szCs w:val="24"/>
          <w:color w:val="auto"/>
        </w:rPr>
      </w:pPr>
    </w:p>
    <w:p>
      <w:pPr>
        <w:spacing w:after="0" w:line="204" w:lineRule="exact"/>
        <w:rPr>
          <w:sz w:val="24"/>
          <w:szCs w:val="24"/>
          <w:color w:val="auto"/>
        </w:rPr>
      </w:pPr>
    </w:p>
    <w:p>
      <w:pPr>
        <w:ind w:left="1887" w:right="2419"/>
        <w:spacing w:after="0" w:line="261" w:lineRule="auto"/>
        <w:rPr>
          <w:sz w:val="20"/>
          <w:szCs w:val="20"/>
          <w:color w:val="auto"/>
        </w:rPr>
      </w:pPr>
      <w:r>
        <w:rPr>
          <w:rFonts w:ascii="Courier New" w:cs="Courier New" w:eastAsia="Courier New" w:hAnsi="Courier New"/>
          <w:sz w:val="18"/>
          <w:szCs w:val="18"/>
          <w:color w:val="auto"/>
        </w:rPr>
        <w:t>Joel H. Reichman, President and Chief Executive Officer Scott N. Semel, General Counsel Designs, Inc.</w:t>
      </w:r>
    </w:p>
    <w:p>
      <w:pPr>
        <w:spacing w:after="0" w:line="196" w:lineRule="exact"/>
        <w:rPr>
          <w:sz w:val="24"/>
          <w:szCs w:val="24"/>
          <w:color w:val="auto"/>
        </w:rPr>
      </w:pPr>
    </w:p>
    <w:p>
      <w:pPr>
        <w:ind w:left="1887"/>
        <w:spacing w:after="0"/>
        <w:rPr>
          <w:sz w:val="20"/>
          <w:szCs w:val="20"/>
          <w:color w:val="auto"/>
        </w:rPr>
      </w:pPr>
      <w:r>
        <w:rPr>
          <w:rFonts w:ascii="Courier New" w:cs="Courier New" w:eastAsia="Courier New" w:hAnsi="Courier New"/>
          <w:sz w:val="18"/>
          <w:szCs w:val="18"/>
          <w:color w:val="auto"/>
        </w:rPr>
        <w:t>(781) 444-7222</w:t>
      </w:r>
    </w:p>
    <w:p>
      <w:pPr>
        <w:spacing w:after="0" w:line="372"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DESIGNS, INC. MODIFIES SHAREHOLDER RIGHTS PLAN</w:t>
      </w:r>
    </w:p>
    <w:p>
      <w:pPr>
        <w:spacing w:after="0" w:line="201" w:lineRule="exact"/>
        <w:rPr>
          <w:sz w:val="24"/>
          <w:szCs w:val="24"/>
          <w:color w:val="auto"/>
        </w:rPr>
      </w:pPr>
    </w:p>
    <w:p>
      <w:pPr>
        <w:ind w:left="7" w:right="2199"/>
        <w:spacing w:after="0" w:line="241" w:lineRule="auto"/>
        <w:rPr>
          <w:sz w:val="20"/>
          <w:szCs w:val="20"/>
          <w:color w:val="auto"/>
        </w:rPr>
      </w:pPr>
      <w:r>
        <w:rPr>
          <w:rFonts w:ascii="Courier New" w:cs="Courier New" w:eastAsia="Courier New" w:hAnsi="Courier New"/>
          <w:sz w:val="18"/>
          <w:szCs w:val="18"/>
          <w:color w:val="auto"/>
        </w:rPr>
        <w:t>(Needham, MA, July 7, 1999) -- Designs, Inc. (NASDAQ:DESI) announced today that the Special Committee of its Board of Directors has sent a letter to the stockholders of Designs for the purpose of providing stockholders with an accurate picture of recent events involving Seymour Holtzman and the withdrawal of his proposal to explore an acquisition of Designs at $3.65 per share in cash. Among other things, the letter outlines certain modifications to the Company's Shareholder Rights Plan that the Board of Directors adopted earlier today that are designed to remove any excuses Mr. Holtzman may have for not proceeding with his proposal. A copy of the letter will be filed later today with the Securities and Exchange Commission.</w:t>
      </w:r>
    </w:p>
    <w:p>
      <w:pPr>
        <w:spacing w:after="0" w:line="8" w:lineRule="exact"/>
        <w:rPr>
          <w:sz w:val="24"/>
          <w:szCs w:val="24"/>
          <w:color w:val="auto"/>
        </w:rPr>
      </w:pPr>
    </w:p>
    <w:p>
      <w:pPr>
        <w:jc w:val="center"/>
        <w:ind w:right="2413"/>
        <w:spacing w:after="0"/>
        <w:tabs>
          <w:tab w:leader="none" w:pos="180" w:val="left"/>
          <w:tab w:leader="none" w:pos="180" w:val="left"/>
          <w:tab w:leader="none" w:pos="180" w:val="left"/>
          <w:tab w:leader="none" w:pos="200" w:val="left"/>
        </w:tabs>
        <w:rPr>
          <w:sz w:val="20"/>
          <w:szCs w:val="20"/>
          <w:color w:val="auto"/>
        </w:rPr>
      </w:pPr>
      <w:r>
        <w:rPr>
          <w:rFonts w:ascii="Courier New" w:cs="Courier New" w:eastAsia="Courier New" w:hAnsi="Courier New"/>
          <w:sz w:val="18"/>
          <w:szCs w:val="18"/>
          <w:color w:val="auto"/>
        </w:rPr>
        <w:t>*</w:t>
        <w:tab/>
        <w:t>*</w:t>
        <w:tab/>
        <w:t>*</w:t>
        <w:tab/>
        <w:t>*</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ind w:left="7" w:right="2199"/>
        <w:spacing w:after="0" w:line="276" w:lineRule="auto"/>
        <w:rPr>
          <w:sz w:val="20"/>
          <w:szCs w:val="20"/>
          <w:color w:val="auto"/>
        </w:rPr>
      </w:pPr>
      <w:r>
        <w:rPr>
          <w:rFonts w:ascii="Courier New" w:cs="Courier New" w:eastAsia="Courier New" w:hAnsi="Courier New"/>
          <w:sz w:val="16"/>
          <w:szCs w:val="16"/>
          <w:color w:val="auto"/>
        </w:rPr>
        <w:t>Designs, Inc. ("Designs" or the "Company") and certain other persons named below may be deemed to be participants in the solicitation of proxies (the "Solicitation") in the event that Seymour H. Holtzman and/or certain companies controlled by him solicit proxies in connection with the election of Directors at the 1999 Annual Meeting of Stockholders of Designs. The participants may include the following directors of Designs: Stanley I. Berger, Joel H. Reichman, James G. Groninger, Bernard M. Manuel, Melvin I. Shapiro and Peter L. Thigpen; the following executive officers of Designs: Joel H. Reichman, the Company's President and Chief Executive Officer, Scott N. Semel, the Company's Executive Vice President, General Counsel and Secretary, and Carolyn R. Faulkner, the Company's Vice President, Chief Financial Officer and Treasurer; and the following officer of Designs: Anthony E. Hubbard, the Company's Vice President and Deputy General Counsel. As of the date of this communication, Stanley I. Berger, Joel H. Reichman, Scott N. Semel, Carolyn R. Faulkner, James G. Groninger, Melvin I. Shapiro, Bernard M. Manuel, Peter L. Thigpen and Anthony E. Hubbard beneficially owned 1,204,394, 416,455, 310,537, 68,000, 79,765, 64,144, 88,842, 58,465, and 12,000 shares of Designs common stock, respectively (including shares subject to stock options exercisable within 60 days).</w:t>
      </w:r>
    </w:p>
    <w:p>
      <w:pPr>
        <w:spacing w:after="0" w:line="300"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Designs has retained Shields &amp; Company, Inc. (the "Financial Advisor") to</w:t>
      </w:r>
    </w:p>
    <w:p>
      <w:pPr>
        <w:sectPr>
          <w:pgSz w:w="11900" w:h="16838" w:orient="portrait"/>
          <w:cols w:equalWidth="0" w:num="1">
            <w:col w:w="10106"/>
          </w:cols>
          <w:pgMar w:left="353" w:top="623" w:right="1440" w:bottom="0" w:gutter="0" w:footer="0" w:header="0"/>
        </w:sectPr>
      </w:pPr>
    </w:p>
    <w:bookmarkStart w:id="1" w:name="page2"/>
    <w:bookmarkEnd w:id="1"/>
    <w:p>
      <w:pPr>
        <w:ind w:right="2199"/>
        <w:spacing w:after="0" w:line="244" w:lineRule="auto"/>
        <w:rPr>
          <w:sz w:val="20"/>
          <w:szCs w:val="20"/>
          <w:color w:val="auto"/>
        </w:rPr>
      </w:pPr>
      <w:r>
        <w:rPr>
          <w:rFonts w:ascii="Courier New" w:cs="Courier New" w:eastAsia="Courier New" w:hAnsi="Courier New"/>
          <w:sz w:val="18"/>
          <w:szCs w:val="18"/>
          <w:color w:val="auto"/>
        </w:rPr>
        <w:t>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p>
      <w:pPr>
        <w:spacing w:after="0" w:line="113" w:lineRule="exact"/>
        <w:rPr>
          <w:sz w:val="20"/>
          <w:szCs w:val="20"/>
          <w:color w:val="auto"/>
        </w:rPr>
      </w:pPr>
    </w:p>
    <w:p>
      <w:pPr>
        <w:ind w:right="2319"/>
        <w:spacing w:after="0" w:line="287" w:lineRule="auto"/>
        <w:rPr>
          <w:sz w:val="20"/>
          <w:szCs w:val="20"/>
          <w:color w:val="auto"/>
        </w:rPr>
      </w:pPr>
      <w:r>
        <w:rPr>
          <w:rFonts w:ascii="Courier New" w:cs="Courier New" w:eastAsia="Courier New" w:hAnsi="Courier New"/>
          <w:sz w:val="16"/>
          <w:szCs w:val="16"/>
          <w:color w:val="auto"/>
        </w:rPr>
        <w:t>Forward looking information requires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278"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Designs, Inc. operates 113 outlet and specialty retail apparel stores in two retail formats. These stores are located in outlet parks and enclosed regional shopping malls throughout the eastern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0" w:lineRule="exact"/>
        <w:rPr>
          <w:sz w:val="20"/>
          <w:szCs w:val="20"/>
          <w:color w:val="auto"/>
        </w:rPr>
      </w:pPr>
    </w:p>
    <w:p>
      <w:pPr>
        <w:spacing w:after="0" w:line="204" w:lineRule="exact"/>
        <w:rPr>
          <w:sz w:val="20"/>
          <w:szCs w:val="20"/>
          <w:color w:val="auto"/>
        </w:rPr>
      </w:pPr>
    </w:p>
    <w:p>
      <w:pPr>
        <w:ind w:left="1880" w:right="2419"/>
        <w:spacing w:after="0" w:line="261" w:lineRule="auto"/>
        <w:rPr>
          <w:sz w:val="20"/>
          <w:szCs w:val="20"/>
          <w:color w:val="auto"/>
        </w:rPr>
      </w:pPr>
      <w:r>
        <w:rPr>
          <w:rFonts w:ascii="Courier New" w:cs="Courier New" w:eastAsia="Courier New" w:hAnsi="Courier New"/>
          <w:sz w:val="18"/>
          <w:szCs w:val="18"/>
          <w:color w:val="auto"/>
        </w:rPr>
        <w:t>Joel H. Reichman, President and Chief Executive Officer Scott N. Semel, General Counsel Designs, Inc.</w:t>
      </w:r>
    </w:p>
    <w:p>
      <w:pPr>
        <w:spacing w:after="0" w:line="196"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(781) 444-7222</w:t>
      </w:r>
    </w:p>
    <w:p>
      <w:pPr>
        <w:spacing w:after="0" w:line="372"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DESIGNS, INC. SETS RECORD AND MEETING DATES FOR</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ANNUAL MEETING OF STOCKHOLDERS</w:t>
      </w:r>
    </w:p>
    <w:p>
      <w:pPr>
        <w:spacing w:after="0" w:line="169" w:lineRule="exact"/>
        <w:rPr>
          <w:sz w:val="20"/>
          <w:szCs w:val="20"/>
          <w:color w:val="auto"/>
        </w:rPr>
      </w:pPr>
    </w:p>
    <w:p>
      <w:pPr>
        <w:ind w:right="2199"/>
        <w:spacing w:after="0" w:line="243" w:lineRule="auto"/>
        <w:rPr>
          <w:sz w:val="20"/>
          <w:szCs w:val="20"/>
          <w:color w:val="auto"/>
        </w:rPr>
      </w:pPr>
      <w:r>
        <w:rPr>
          <w:rFonts w:ascii="Courier New" w:cs="Courier New" w:eastAsia="Courier New" w:hAnsi="Courier New"/>
          <w:sz w:val="18"/>
          <w:szCs w:val="18"/>
          <w:color w:val="auto"/>
        </w:rPr>
        <w:t>(Needham, MA, July 7, 1999) -- Designs, Inc. (NASDAQ:DESI) announced today that its Board of Directors has set a record date of August 5, 1999 for its Annual Meeting of Stockholders on September 13, 1999 at 1:00 p.m. The Company had previously delayed holding its Annual Meeting on the assumption that it would be able to reach a definitive agreement with Seymour Holtzman with respect to his proposal to acquire the Company for $3.65 per share in cash, which would have obviated the need for the Company to hold its 1999 Annual Meeting.</w:t>
      </w:r>
    </w:p>
    <w:p>
      <w:pPr>
        <w:spacing w:after="0" w:line="1" w:lineRule="exact"/>
        <w:rPr>
          <w:sz w:val="20"/>
          <w:szCs w:val="20"/>
          <w:color w:val="auto"/>
        </w:rPr>
      </w:pPr>
    </w:p>
    <w:p>
      <w:pPr>
        <w:jc w:val="center"/>
        <w:ind w:right="2419"/>
        <w:spacing w:after="0"/>
        <w:tabs>
          <w:tab w:leader="none" w:pos="180" w:val="left"/>
          <w:tab w:leader="none" w:pos="180" w:val="left"/>
          <w:tab w:leader="none" w:pos="180" w:val="left"/>
          <w:tab w:leader="none" w:pos="200" w:val="left"/>
        </w:tabs>
        <w:rPr>
          <w:sz w:val="20"/>
          <w:szCs w:val="20"/>
          <w:color w:val="auto"/>
        </w:rPr>
      </w:pPr>
      <w:r>
        <w:rPr>
          <w:rFonts w:ascii="Courier New" w:cs="Courier New" w:eastAsia="Courier New" w:hAnsi="Courier New"/>
          <w:sz w:val="18"/>
          <w:szCs w:val="18"/>
          <w:color w:val="auto"/>
        </w:rPr>
        <w:t>*</w:t>
        <w:tab/>
        <w:t>*</w:t>
        <w:tab/>
        <w:t>*</w:t>
        <w:tab/>
        <w:t>*</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Designs, Inc. ("Designs" or the "Company") and certain other persons named below may be deemed to be participants in the solicitation of proxies (the "Solicitation") in the event that Seymour H. Holtzman and/or certain companies controlled by him solicit proxies in connection with the election of Directors at the 1999 Annual Meeting of Stockholders of Designs. The participants may include the following directors of Designs: Stanley I. Berger, Joel H. Reichman, James G. Groninger, Bernard M. Manuel, Melvin I. Shapiro and Peter L. Thigpen; the following executive officers of Designs: Joel H. Reichman, the Company's President and Chief Executive Officer, Scott N. Semel, the Company's Executive Vice President, General Counsel and Secretary and Carolyn R. Faulkner, the Company's Vice President, Chief Financial Officer and Treasurer; and the following officer of Designs: Anthony E. Hubbard, the Company's Vice President and Deputy General Counsel. As of the date of this communication, Stanley I. Berger, Joel H. Reichman, Scott N. Semel, Carolyn R. Faulkner, James G. Groninger, Melvin</w:t>
      </w:r>
    </w:p>
    <w:p>
      <w:pPr>
        <w:sectPr>
          <w:pgSz w:w="11900" w:h="16838" w:orient="portrait"/>
          <w:cols w:equalWidth="0" w:num="1">
            <w:col w:w="10099"/>
          </w:cols>
          <w:pgMar w:left="360" w:top="110" w:right="1440" w:bottom="0" w:gutter="0" w:footer="0" w:header="0"/>
        </w:sectPr>
      </w:pPr>
    </w:p>
    <w:bookmarkStart w:id="2" w:name="page3"/>
    <w:bookmarkEnd w:id="2"/>
    <w:p>
      <w:pPr>
        <w:ind w:right="2619"/>
        <w:spacing w:after="0" w:line="318" w:lineRule="auto"/>
        <w:rPr>
          <w:sz w:val="20"/>
          <w:szCs w:val="20"/>
          <w:color w:val="auto"/>
        </w:rPr>
      </w:pPr>
      <w:r>
        <w:rPr>
          <w:rFonts w:ascii="Courier New" w:cs="Courier New" w:eastAsia="Courier New" w:hAnsi="Courier New"/>
          <w:sz w:val="16"/>
          <w:szCs w:val="16"/>
          <w:color w:val="auto"/>
        </w:rPr>
        <w:t>I. Shapiro, Bernard M. Manuel, Peter L. Thigpen and Anthony E. Hubbard beneficially owned 1,204,394, 416,455, 310,537, 68,000, 79,765, 64,144, 88,842, 58,465, and 12,000 shares of Designs common stock, respectively (including shares subject to stock options exercisable within 60 days).</w:t>
      </w:r>
    </w:p>
    <w:p>
      <w:pPr>
        <w:spacing w:after="0" w:line="52" w:lineRule="exact"/>
        <w:rPr>
          <w:sz w:val="20"/>
          <w:szCs w:val="20"/>
          <w:color w:val="auto"/>
        </w:rPr>
      </w:pPr>
    </w:p>
    <w:p>
      <w:pPr>
        <w:ind w:right="2199"/>
        <w:spacing w:after="0" w:line="244" w:lineRule="auto"/>
        <w:rPr>
          <w:sz w:val="20"/>
          <w:szCs w:val="20"/>
          <w:color w:val="auto"/>
        </w:rPr>
      </w:pPr>
      <w:r>
        <w:rPr>
          <w:rFonts w:ascii="Courier New" w:cs="Courier New" w:eastAsia="Courier New" w:hAnsi="Courier New"/>
          <w:sz w:val="18"/>
          <w:szCs w:val="18"/>
          <w:color w:val="auto"/>
        </w:rPr>
        <w:t>Designs has retained Shields &amp; Company, Inc.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p>
      <w:pPr>
        <w:spacing w:after="0" w:line="108" w:lineRule="exact"/>
        <w:rPr>
          <w:sz w:val="20"/>
          <w:szCs w:val="20"/>
          <w:color w:val="auto"/>
        </w:rPr>
      </w:pPr>
    </w:p>
    <w:p>
      <w:pPr>
        <w:ind w:right="2319"/>
        <w:spacing w:after="0" w:line="287" w:lineRule="auto"/>
        <w:rPr>
          <w:sz w:val="20"/>
          <w:szCs w:val="20"/>
          <w:color w:val="auto"/>
        </w:rPr>
      </w:pPr>
      <w:r>
        <w:rPr>
          <w:rFonts w:ascii="Courier New" w:cs="Courier New" w:eastAsia="Courier New" w:hAnsi="Courier New"/>
          <w:sz w:val="16"/>
          <w:szCs w:val="16"/>
          <w:color w:val="auto"/>
        </w:rPr>
        <w:t>Forward looking information requires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75"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Designs, Inc. operates 113 outlet and specialty retail apparel stores in two retail formats. These stores are located in outlet parks and enclosed regional shopping malls throughout the eastern United States.</w:t>
      </w:r>
    </w:p>
    <w:sectPr>
      <w:pgSz w:w="11900" w:h="16838" w:orient="portrait"/>
      <w:cols w:equalWidth="0" w:num="1">
        <w:col w:w="10099"/>
      </w:cols>
      <w:pgMar w:left="3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2020-02-22T15:02:47Z</dcterms:created>
  <dcterms:modified xsi:type="dcterms:W3CDTF">2020-02-22T15:02:47Z</dcterms:modified>
</cp:coreProperties>
</file>