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NOTIFICATION OF REMOVAL FROM LISTING</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AND/OR REGISTRATION UNDER SECTION 12(b)</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The Nasdaq Stock Market LLC</w:t>
      </w:r>
    </w:p>
    <w:p>
      <w:pPr>
        <w:spacing w:after="0" w:line="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Issuer as Specified in Its charter, and name of Exchange were security is listed and/or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555 Turnpike Street</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Canton, Massachusetts 02021</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(781) 828-9300</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Issuer’s principal executive offices</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(Description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place an X in the box to designate the rule provision relied upon to strike the class of securities from listing and registration:</w:t>
      </w:r>
    </w:p>
    <w:p>
      <w:pPr>
        <w:spacing w:after="0" w:line="13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240.12d2-2(a)(1)</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240.12d2-2(a)(3)</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240.12d2-2(a)(4)</w:t>
      </w:r>
    </w:p>
    <w:p>
      <w:pPr>
        <w:spacing w:after="0" w:line="130" w:lineRule="exact"/>
        <w:rPr>
          <w:rFonts w:ascii="MS PGothic" w:cs="MS PGothic" w:eastAsia="MS PGothic" w:hAnsi="MS PGothic"/>
          <w:sz w:val="18"/>
          <w:szCs w:val="18"/>
          <w:color w:val="auto"/>
        </w:rPr>
      </w:pPr>
    </w:p>
    <w:p>
      <w:pPr>
        <w:ind w:left="424" w:right="720" w:hanging="424"/>
        <w:spacing w:after="0" w:line="282" w:lineRule="auto"/>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240.12d2-2(b), the Exchange has complied with its rules to strike the class of securities from listing and/or withdraw registration on the Exchange.</w:t>
      </w:r>
      <w:r>
        <w:rPr>
          <w:rFonts w:ascii="Times New Roman" w:cs="Times New Roman" w:eastAsia="Times New Roman" w:hAnsi="Times New Roman"/>
          <w:sz w:val="15"/>
          <w:szCs w:val="15"/>
          <w:color w:val="auto"/>
        </w:rPr>
        <w:t>1</w:t>
      </w:r>
    </w:p>
    <w:p>
      <w:pPr>
        <w:spacing w:after="0" w:line="67" w:lineRule="exact"/>
        <w:rPr>
          <w:sz w:val="24"/>
          <w:szCs w:val="24"/>
          <w:color w:val="auto"/>
        </w:rPr>
      </w:pPr>
    </w:p>
    <w:p>
      <w:pPr>
        <w:ind w:left="424" w:right="640" w:hanging="424"/>
        <w:spacing w:after="0" w:line="282" w:lineRule="auto"/>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62" w:lineRule="exact"/>
        <w:rPr>
          <w:sz w:val="24"/>
          <w:szCs w:val="24"/>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As of the date hereof, the Issuer is not in compliance with the requirements for continued listing under Nasdaq Listing Rule 5550(b)(1) and Listing Rule 5450(a)(1).</w:t>
      </w:r>
    </w:p>
    <w:p>
      <w:pPr>
        <w:spacing w:after="0" w:line="162" w:lineRule="exact"/>
        <w:rPr>
          <w:sz w:val="24"/>
          <w:szCs w:val="24"/>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Destination XL Group, Inc. certifies that it has reasonable grounds to believe that it meets all of the requirements for filing the Form 25 and has caused this notification to be signed on its behalf by the undersigned duly authorized person.</w:t>
      </w:r>
    </w:p>
    <w:p>
      <w:pPr>
        <w:spacing w:after="0" w:line="203" w:lineRule="exact"/>
        <w:rPr>
          <w:sz w:val="24"/>
          <w:szCs w:val="24"/>
          <w:color w:val="auto"/>
        </w:rPr>
      </w:pPr>
    </w:p>
    <w:tbl>
      <w:tblPr>
        <w:tblLayout w:type="fixed"/>
        <w:tblInd w:w="4"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Administrative Officer, General</w:t>
            </w:r>
          </w:p>
        </w:tc>
      </w:tr>
      <w:tr>
        <w:trPr>
          <w:trHeight w:val="234"/>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21, 2020</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S. Molloy</w:t>
            </w:r>
          </w:p>
        </w:tc>
        <w:tc>
          <w:tcPr>
            <w:tcW w:w="120" w:type="dxa"/>
            <w:vAlign w:val="bottom"/>
          </w:tcPr>
          <w:p>
            <w:pPr>
              <w:spacing w:after="0"/>
              <w:rPr>
                <w:sz w:val="20"/>
                <w:szCs w:val="20"/>
                <w:color w:val="auto"/>
              </w:rPr>
            </w:pP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Counsel and Secretary</w:t>
            </w:r>
          </w:p>
        </w:tc>
      </w:tr>
      <w:tr>
        <w:trPr>
          <w:trHeight w:val="232"/>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5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221"/>
        </w:trPr>
        <w:tc>
          <w:tcPr>
            <w:tcW w:w="3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r>
      <w:tr>
        <w:trPr>
          <w:trHeight w:val="48"/>
        </w:trPr>
        <w:tc>
          <w:tcPr>
            <w:tcW w:w="34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bl>
    <w:p>
      <w:pPr>
        <w:spacing w:after="0" w:line="1" w:lineRule="exact"/>
        <w:rPr>
          <w:sz w:val="24"/>
          <w:szCs w:val="24"/>
          <w:color w:val="auto"/>
        </w:rPr>
      </w:pPr>
    </w:p>
    <w:sectPr>
      <w:pgSz w:w="11900" w:h="16838" w:orient="portrait"/>
      <w:cols w:equalWidth="0" w:num="1">
        <w:col w:w="11024"/>
      </w:cols>
      <w:pgMar w:left="436" w:top="36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2020-12-21T06:02:19Z</dcterms:created>
  <dcterms:modified xsi:type="dcterms:W3CDTF">2020-12-21T06:02:19Z</dcterms:modified>
</cp:coreProperties>
</file>