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October 11, 1996</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1500" w:space="720"/>
            <w:col w:w="4619"/>
          </w:cols>
          <w:pgMar w:left="240" w:top="447" w:right="1440" w:bottom="1440" w:gutter="0" w:footer="0" w:header="0"/>
          <w:type w:val="continuous"/>
        </w:sectPr>
      </w:pPr>
    </w:p>
    <w:p>
      <w:pPr>
        <w:spacing w:after="0" w:line="209" w:lineRule="exact"/>
        <w:rPr>
          <w:sz w:val="24"/>
          <w:szCs w:val="24"/>
          <w:color w:val="auto"/>
        </w:rPr>
      </w:pPr>
    </w:p>
    <w:p>
      <w:pPr>
        <w:ind w:left="220" w:right="1160" w:firstLine="316"/>
        <w:spacing w:after="0" w:line="290" w:lineRule="auto"/>
        <w:rPr>
          <w:sz w:val="20"/>
          <w:szCs w:val="20"/>
          <w:color w:val="auto"/>
        </w:rPr>
      </w:pPr>
      <w:r>
        <w:rPr>
          <w:rFonts w:ascii="Courier New" w:cs="Courier New" w:eastAsia="Courier New" w:hAnsi="Courier New"/>
          <w:sz w:val="16"/>
          <w:szCs w:val="16"/>
          <w:color w:val="auto"/>
        </w:rPr>
        <w:t>66 B Street, Needham, Massachusetts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600" w:space="720"/>
            <w:col w:w="3899"/>
          </w:cols>
          <w:pgMar w:left="240" w:top="447" w:right="1440" w:bottom="1440" w:gutter="0" w:footer="0" w:header="0"/>
          <w:type w:val="continuous"/>
        </w:sectPr>
      </w:pPr>
    </w:p>
    <w:p>
      <w:pPr>
        <w:spacing w:after="0" w:line="172"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(617) 444-7222</w:t>
      </w:r>
    </w:p>
    <w:p>
      <w:pPr>
        <w:sectPr>
          <w:pgSz w:w="11900" w:h="16838" w:orient="portrait"/>
          <w:cols w:equalWidth="0" w:num="1">
            <w:col w:w="10219"/>
          </w:cols>
          <w:pgMar w:left="240" w:top="447" w:right="1440" w:bottom="1440" w:gutter="0" w:footer="0" w:header="0"/>
          <w:type w:val="continuous"/>
        </w:sectPr>
      </w:pP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On October 3, 1994, Designs, Inc. (the "Company") announced that its Board of Directors authorized the purchase of up to 2 million shares of the Company's Common Stock. Since this stock repurchase program was adopted the Company has repurchased and retired 300,000 shares. The timing and price of additional repurchases, if any, under this stock repurchase program will be determined in the discretion of management based upon its assessment of market conditions and the price of the Company's Common Stock. It is expected that the Company's Board of Directors will review the progress of the repurchase program to assess future market conditions. The Company currently has approximately 15,800,000 shares outstanding.</w:t>
      </w: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44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October 11, 1996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 Scott N. Semel</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Scott N. Semel, Executive Vice</w:t>
      </w:r>
    </w:p>
    <w:p>
      <w:pPr>
        <w:ind w:left="520"/>
        <w:spacing w:after="0" w:line="238" w:lineRule="auto"/>
        <w:rPr>
          <w:sz w:val="20"/>
          <w:szCs w:val="20"/>
          <w:color w:val="auto"/>
        </w:rPr>
      </w:pPr>
      <w:r>
        <w:rPr>
          <w:rFonts w:ascii="Courier New" w:cs="Courier New" w:eastAsia="Courier New" w:hAnsi="Courier New"/>
          <w:sz w:val="18"/>
          <w:szCs w:val="18"/>
          <w:color w:val="auto"/>
        </w:rPr>
        <w:t>President and Secretary</w:t>
      </w:r>
    </w:p>
    <w:sectPr>
      <w:pgSz w:w="11900" w:h="16838" w:orient="portrait"/>
      <w:cols w:equalWidth="0" w:num="3">
        <w:col w:w="540" w:space="200"/>
        <w:col w:w="2240" w:space="720"/>
        <w:col w:w="6519"/>
      </w:cols>
      <w:pgMar w:left="240" w:top="4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2019-12-19T22:04:59Z</dcterms:created>
  <dcterms:modified xsi:type="dcterms:W3CDTF">2019-12-19T22:04:59Z</dcterms:modified>
</cp:coreProperties>
</file>