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10-K</w:t>
      </w:r>
    </w:p>
    <w:p>
      <w:pPr>
        <w:spacing w:after="0" w:line="17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ANNUAL REPORT PURSUANT TO SECTION 13 OR 15(d)</w:t>
      </w:r>
    </w:p>
    <w:p>
      <w:pPr>
        <w:spacing w:after="0" w:line="5"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19"/>
          </w:cols>
          <w:pgMar w:left="240" w:top="396" w:right="1440" w:bottom="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January 30, 1999 (Fiscal 1998)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right"/>
        <w:ind w:right="3179"/>
        <w:spacing w:after="0"/>
        <w:rPr>
          <w:sz w:val="20"/>
          <w:szCs w:val="20"/>
          <w:color w:val="auto"/>
        </w:rPr>
      </w:pPr>
      <w:r>
        <w:rPr>
          <w:rFonts w:ascii="Courier New" w:cs="Courier New" w:eastAsia="Courier New" w:hAnsi="Courier New"/>
          <w:sz w:val="14"/>
          <w:szCs w:val="14"/>
          <w:color w:val="auto"/>
        </w:rPr>
        <w:t>Commission File</w:t>
      </w:r>
    </w:p>
    <w:p>
      <w:pPr>
        <w:spacing w:after="0" w:line="5" w:lineRule="exact"/>
        <w:rPr>
          <w:sz w:val="24"/>
          <w:szCs w:val="24"/>
          <w:color w:val="auto"/>
        </w:rPr>
      </w:pPr>
    </w:p>
    <w:p>
      <w:pPr>
        <w:jc w:val="right"/>
        <w:ind w:right="3179"/>
        <w:spacing w:after="0"/>
        <w:rPr>
          <w:sz w:val="20"/>
          <w:szCs w:val="20"/>
          <w:color w:val="auto"/>
        </w:rPr>
      </w:pPr>
      <w:r>
        <w:rPr>
          <w:rFonts w:ascii="Courier New" w:cs="Courier New" w:eastAsia="Courier New" w:hAnsi="Courier New"/>
          <w:sz w:val="15"/>
          <w:szCs w:val="15"/>
          <w:color w:val="auto"/>
        </w:rPr>
        <w:t>Number 0-15898</w:t>
      </w:r>
    </w:p>
    <w:p>
      <w:pPr>
        <w:spacing w:after="0" w:line="169" w:lineRule="exact"/>
        <w:rPr>
          <w:sz w:val="24"/>
          <w:szCs w:val="24"/>
          <w:color w:val="auto"/>
        </w:rPr>
      </w:pPr>
    </w:p>
    <w:p>
      <w:pPr>
        <w:sectPr>
          <w:pgSz w:w="11900" w:h="16838" w:orient="portrait"/>
          <w:cols w:equalWidth="0" w:num="2">
            <w:col w:w="5000" w:space="720"/>
            <w:col w:w="4499"/>
          </w:cols>
          <w:pgMar w:left="240" w:top="396" w:right="1440" w:bottom="0" w:gutter="0" w:footer="0" w:header="0"/>
          <w:type w:val="continuous"/>
        </w:sectPr>
      </w:pPr>
    </w:p>
    <w:p>
      <w:pPr>
        <w:jc w:val="center"/>
        <w:ind w:right="3099"/>
        <w:spacing w:after="0"/>
        <w:rPr>
          <w:sz w:val="20"/>
          <w:szCs w:val="20"/>
          <w:color w:val="auto"/>
        </w:rPr>
      </w:pPr>
      <w:r>
        <w:rPr>
          <w:rFonts w:ascii="Courier New" w:cs="Courier New" w:eastAsia="Courier New" w:hAnsi="Courier New"/>
          <w:sz w:val="15"/>
          <w:szCs w:val="15"/>
          <w:color w:val="auto"/>
        </w:rPr>
        <w:t>DESIGNS, INC.</w:t>
      </w:r>
    </w:p>
    <w:p>
      <w:pPr>
        <w:spacing w:after="0" w:line="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396" w:right="1440" w:bottom="0" w:gutter="0" w:footer="0" w:header="0"/>
          <w:type w:val="continuous"/>
        </w:sectPr>
      </w:pPr>
    </w:p>
    <w:p>
      <w:pPr>
        <w:spacing w:after="0" w:line="175"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Delaware</w:t>
      </w:r>
    </w:p>
    <w:p>
      <w:pPr>
        <w:ind w:left="700"/>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04-2623104</w:t>
      </w:r>
    </w:p>
    <w:p>
      <w:pPr>
        <w:ind w:left="26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380" w:space="720"/>
            <w:col w:w="5119"/>
          </w:cols>
          <w:pgMar w:left="240" w:top="396" w:right="1440" w:bottom="0" w:gutter="0" w:footer="0" w:header="0"/>
          <w:type w:val="continuous"/>
        </w:sectPr>
      </w:pPr>
    </w:p>
    <w:p>
      <w:pPr>
        <w:jc w:val="center"/>
        <w:ind w:right="700"/>
        <w:spacing w:after="0"/>
        <w:rPr>
          <w:sz w:val="20"/>
          <w:szCs w:val="20"/>
          <w:color w:val="auto"/>
        </w:rPr>
      </w:pPr>
      <w:r>
        <w:rPr>
          <w:rFonts w:ascii="Courier New" w:cs="Courier New" w:eastAsia="Courier New" w:hAnsi="Courier New"/>
          <w:sz w:val="15"/>
          <w:szCs w:val="15"/>
          <w:color w:val="auto"/>
        </w:rPr>
        <w:t>66 B Street, Needham, MA</w:t>
      </w:r>
    </w:p>
    <w:p>
      <w:pPr>
        <w:spacing w:after="0" w:line="5" w:lineRule="exact"/>
        <w:rPr>
          <w:sz w:val="24"/>
          <w:szCs w:val="24"/>
          <w:color w:val="auto"/>
        </w:rPr>
      </w:pPr>
    </w:p>
    <w:p>
      <w:pPr>
        <w:jc w:val="center"/>
        <w:ind w:right="70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5"/>
          <w:szCs w:val="15"/>
          <w:color w:val="auto"/>
        </w:rPr>
        <w:t>02494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740" w:space="720"/>
            <w:col w:w="4759"/>
          </w:cols>
          <w:pgMar w:left="240" w:top="396" w:right="1440" w:bottom="0" w:gutter="0" w:footer="0" w:header="0"/>
          <w:type w:val="continuous"/>
        </w:sectPr>
      </w:pPr>
    </w:p>
    <w:p>
      <w:pPr>
        <w:jc w:val="center"/>
        <w:ind w:right="3199"/>
        <w:spacing w:after="0"/>
        <w:rPr>
          <w:sz w:val="20"/>
          <w:szCs w:val="20"/>
          <w:color w:val="auto"/>
        </w:rPr>
      </w:pPr>
      <w:r>
        <w:rPr>
          <w:rFonts w:ascii="Courier New" w:cs="Courier New" w:eastAsia="Courier New" w:hAnsi="Courier New"/>
          <w:sz w:val="15"/>
          <w:szCs w:val="15"/>
          <w:color w:val="auto"/>
        </w:rPr>
        <w:t>(781) 444-7222</w:t>
      </w:r>
    </w:p>
    <w:p>
      <w:pPr>
        <w:spacing w:after="0" w:line="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396" w:right="1440" w:bottom="0" w:gutter="0" w:footer="0" w:header="0"/>
          <w:type w:val="continuous"/>
        </w:sectPr>
      </w:pP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Securities registered pursuant to Section 12(b) of the Act: None</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9"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Common Stock, $0.01 par value</w:t>
      </w:r>
    </w:p>
    <w:p>
      <w:pPr>
        <w:jc w:val="center"/>
        <w:ind w:right="3099"/>
        <w:spacing w:after="0"/>
        <w:rPr>
          <w:sz w:val="20"/>
          <w:szCs w:val="20"/>
          <w:color w:val="auto"/>
        </w:rPr>
      </w:pPr>
      <w:r>
        <w:rPr>
          <w:rFonts w:ascii="Courier New" w:cs="Courier New" w:eastAsia="Courier New" w:hAnsi="Courier New"/>
          <w:sz w:val="15"/>
          <w:szCs w:val="15"/>
          <w:color w:val="auto"/>
        </w:rPr>
        <w:t>Preferred Stock Purchase Rights</w:t>
      </w:r>
    </w:p>
    <w:p>
      <w:pPr>
        <w:jc w:val="center"/>
        <w:ind w:right="3099"/>
        <w:spacing w:after="0"/>
        <w:rPr>
          <w:sz w:val="20"/>
          <w:szCs w:val="20"/>
          <w:color w:val="auto"/>
        </w:rPr>
      </w:pPr>
      <w:r>
        <w:rPr>
          <w:rFonts w:ascii="Courier New" w:cs="Courier New" w:eastAsia="Courier New" w:hAnsi="Courier New"/>
          <w:sz w:val="15"/>
          <w:szCs w:val="15"/>
          <w:color w:val="auto"/>
        </w:rPr>
        <w:t>(Title of each Class)</w:t>
      </w:r>
    </w:p>
    <w:p>
      <w:pPr>
        <w:spacing w:after="0" w:line="168"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175"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78"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aggregate market value of the voting stock of the registrant held by non-affiliates of the registrant, based on the last sales price of such stock on April 28, 1999 was approximately $30.5 million.</w:t>
      </w:r>
    </w:p>
    <w:p>
      <w:pPr>
        <w:spacing w:after="0" w:line="175" w:lineRule="exact"/>
        <w:rPr>
          <w:sz w:val="24"/>
          <w:szCs w:val="24"/>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The registrant had 15,927,551 shares of Common Stock, $0.01 par value, outstanding as of April 28, 1999.</w:t>
      </w: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40"/>
              <w:spacing w:after="0"/>
              <w:rPr>
                <w:sz w:val="20"/>
                <w:szCs w:val="20"/>
                <w:color w:val="auto"/>
              </w:rPr>
            </w:pPr>
            <w:r>
              <w:rPr>
                <w:rFonts w:ascii="Courier New" w:cs="Courier New" w:eastAsia="Courier New" w:hAnsi="Courier New"/>
                <w:sz w:val="15"/>
                <w:szCs w:val="15"/>
                <w:color w:val="auto"/>
              </w:rPr>
              <w:t>continued</w:t>
            </w:r>
          </w:p>
        </w:tc>
      </w:tr>
      <w:tr>
        <w:trPr>
          <w:trHeight w:val="655"/>
        </w:trPr>
        <w:tc>
          <w:tcPr>
            <w:tcW w:w="780" w:type="dxa"/>
            <w:vAlign w:val="bottom"/>
          </w:tcPr>
          <w:p>
            <w:pPr>
              <w:spacing w:after="0"/>
              <w:rPr>
                <w:sz w:val="24"/>
                <w:szCs w:val="24"/>
                <w:color w:val="auto"/>
              </w:rPr>
            </w:pPr>
          </w:p>
        </w:tc>
        <w:tc>
          <w:tcPr>
            <w:tcW w:w="626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DOCUMENTS INCORPORATED BY REFERENCE</w:t>
            </w:r>
          </w:p>
        </w:tc>
      </w:tr>
      <w:tr>
        <w:trPr>
          <w:trHeight w:val="339"/>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Form 10-K Requirement</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Incorporated Document</w:t>
            </w:r>
          </w:p>
        </w:tc>
      </w:tr>
      <w:tr>
        <w:trPr>
          <w:trHeight w:val="170"/>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23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Directors and Executive</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All information under the caption</w:t>
            </w:r>
          </w:p>
        </w:tc>
      </w:tr>
      <w:tr>
        <w:trPr>
          <w:trHeight w:val="170"/>
        </w:trPr>
        <w:tc>
          <w:tcPr>
            <w:tcW w:w="78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Officers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"Nominees for Director and Executive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Officers" in the Company's definitive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Proxy Statement which is expected to be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filed within 120 days of the end of the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fiscal year ended January 30, 1999.</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Executive Compensation</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All information under the caption</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"Executive Compensation" in the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Company's definitive Proxy Statement</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which is expected to be filed within</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120 days of the end of the fiscal</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year ended January 30, 1999.</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Security Ownership of</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All information under the caption</w:t>
            </w:r>
          </w:p>
        </w:tc>
      </w:tr>
      <w:tr>
        <w:trPr>
          <w:trHeight w:val="170"/>
        </w:trPr>
        <w:tc>
          <w:tcPr>
            <w:tcW w:w="78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w w:val="98"/>
              </w:rPr>
              <w:t>Certain Beneficial Owners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"Security Ownership of Certain</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Beneficial Owners and Management"</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in the Company's definitive Proxy</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Statement which is expected to be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filed within 120 days of the end of the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fiscal year ended January 30, 1999.</w:t>
            </w:r>
          </w:p>
        </w:tc>
      </w:tr>
      <w:tr>
        <w:trPr>
          <w:trHeight w:val="339"/>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w w:val="98"/>
              </w:rPr>
              <w:t>Certain Relationships and</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All information under the caption</w:t>
            </w:r>
          </w:p>
        </w:tc>
      </w:tr>
      <w:tr>
        <w:trPr>
          <w:trHeight w:val="170"/>
        </w:trPr>
        <w:tc>
          <w:tcPr>
            <w:tcW w:w="78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Courier New" w:cs="Courier New" w:eastAsia="Courier New" w:hAnsi="Courier New"/>
                <w:sz w:val="15"/>
                <w:szCs w:val="15"/>
                <w:color w:val="auto"/>
              </w:rPr>
              <w:t>Related Transactions</w:t>
            </w: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"Certain Relationships and Related</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w w:val="97"/>
              </w:rPr>
              <w:t>Transactions" in the Company's definitive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Proxy Statement which is expected to be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filed within 120 days of the end of the</w:t>
            </w:r>
          </w:p>
        </w:tc>
      </w:tr>
      <w:tr>
        <w:trPr>
          <w:trHeight w:val="170"/>
        </w:trPr>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tcPr>
          <w:p>
            <w:pPr>
              <w:ind w:left="300"/>
              <w:spacing w:after="0"/>
              <w:rPr>
                <w:sz w:val="20"/>
                <w:szCs w:val="20"/>
                <w:color w:val="auto"/>
              </w:rPr>
            </w:pPr>
            <w:r>
              <w:rPr>
                <w:rFonts w:ascii="Courier New" w:cs="Courier New" w:eastAsia="Courier New" w:hAnsi="Courier New"/>
                <w:sz w:val="15"/>
                <w:szCs w:val="15"/>
                <w:color w:val="auto"/>
              </w:rPr>
              <w:t>fiscal year ended January 30, 1999.</w:t>
            </w:r>
          </w:p>
        </w:tc>
      </w:tr>
    </w:tbl>
    <w:p>
      <w:pPr>
        <w:sectPr>
          <w:pgSz w:w="11900" w:h="16838" w:orient="portrait"/>
          <w:cols w:equalWidth="0" w:num="1">
            <w:col w:w="10219"/>
          </w:cols>
          <w:pgMar w:left="240" w:top="396" w:right="1440" w:bottom="0" w:gutter="0" w:footer="0" w:header="0"/>
          <w:type w:val="continuous"/>
        </w:sectPr>
      </w:pPr>
    </w:p>
    <w:bookmarkStart w:id="1" w:name="page2"/>
    <w:bookmarkEnd w:id="1"/>
    <w:p>
      <w:pPr>
        <w:ind w:left="576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9019"/>
          </w:cols>
          <w:pgMar w:left="1440" w:top="311" w:right="1440" w:bottom="1440" w:gutter="0" w:footer="0" w:header="0"/>
        </w:sectPr>
      </w:pPr>
    </w:p>
    <w:bookmarkStart w:id="2" w:name="page3"/>
    <w:bookmarkEnd w:id="2"/>
    <w:p>
      <w:pPr>
        <w:ind w:left="2980"/>
        <w:spacing w:after="0"/>
        <w:rPr>
          <w:sz w:val="20"/>
          <w:szCs w:val="20"/>
          <w:color w:val="auto"/>
        </w:rPr>
      </w:pPr>
      <w:r>
        <w:rPr>
          <w:rFonts w:ascii="Courier New" w:cs="Courier New" w:eastAsia="Courier New" w:hAnsi="Courier New"/>
          <w:sz w:val="15"/>
          <w:szCs w:val="15"/>
          <w:color w:val="auto"/>
        </w:rPr>
        <w:t>DESIGNS, INC.</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Index to Annual Report on Form 10-K</w:t>
      </w:r>
    </w:p>
    <w:p>
      <w:pPr>
        <w:ind w:left="2380"/>
        <w:spacing w:after="0"/>
        <w:rPr>
          <w:sz w:val="20"/>
          <w:szCs w:val="20"/>
          <w:color w:val="auto"/>
        </w:rPr>
      </w:pPr>
      <w:r>
        <w:rPr>
          <w:rFonts w:ascii="Courier New" w:cs="Courier New" w:eastAsia="Courier New" w:hAnsi="Courier New"/>
          <w:sz w:val="15"/>
          <w:szCs w:val="15"/>
          <w:color w:val="auto"/>
        </w:rPr>
        <w:t>Year Ended January 30, 1999</w:t>
      </w:r>
    </w:p>
    <w:p>
      <w:pPr>
        <w:spacing w:after="0" w:line="169" w:lineRule="exact"/>
        <w:rPr>
          <w:sz w:val="20"/>
          <w:szCs w:val="20"/>
          <w:color w:val="auto"/>
        </w:rPr>
      </w:pPr>
    </w:p>
    <w:p>
      <w:pPr>
        <w:spacing w:after="0"/>
        <w:tabs>
          <w:tab w:leader="none" w:pos="65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Page</w:t>
      </w:r>
    </w:p>
    <w:p>
      <w:pPr>
        <w:spacing w:after="0"/>
        <w:tabs>
          <w:tab w:leader="none" w:pos="940" w:val="left"/>
          <w:tab w:leader="dot" w:pos="68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4</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11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tabs>
          <w:tab w:leader="none" w:pos="94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w:t>
      </w:r>
    </w:p>
    <w:p>
      <w:pPr>
        <w:ind w:left="960"/>
        <w:spacing w:after="0"/>
        <w:tabs>
          <w:tab w:leader="dot" w:pos="6760" w:val="left"/>
        </w:tabs>
        <w:rPr>
          <w:sz w:val="20"/>
          <w:szCs w:val="20"/>
          <w:color w:val="auto"/>
        </w:rPr>
      </w:pPr>
      <w:r>
        <w:rPr>
          <w:rFonts w:ascii="Courier New" w:cs="Courier New" w:eastAsia="Courier New" w:hAnsi="Courier New"/>
          <w:sz w:val="15"/>
          <w:szCs w:val="15"/>
          <w:color w:val="auto"/>
        </w:rPr>
        <w:t>Shareholder Matters</w:t>
      </w:r>
      <w:r>
        <w:rPr>
          <w:sz w:val="20"/>
          <w:szCs w:val="20"/>
          <w:color w:val="auto"/>
        </w:rPr>
        <w:tab/>
      </w:r>
      <w:r>
        <w:rPr>
          <w:rFonts w:ascii="Courier New" w:cs="Courier New" w:eastAsia="Courier New" w:hAnsi="Courier New"/>
          <w:sz w:val="15"/>
          <w:szCs w:val="15"/>
          <w:color w:val="auto"/>
        </w:rPr>
        <w:t>12</w:t>
      </w:r>
    </w:p>
    <w:p>
      <w:pPr>
        <w:spacing w:after="0" w:line="168"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13</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w:t>
      </w:r>
    </w:p>
    <w:p>
      <w:pPr>
        <w:ind w:left="960"/>
        <w:spacing w:after="0"/>
        <w:tabs>
          <w:tab w:leader="dot" w:pos="6760" w:val="left"/>
        </w:tabs>
        <w:rPr>
          <w:sz w:val="20"/>
          <w:szCs w:val="20"/>
          <w:color w:val="auto"/>
        </w:rPr>
      </w:pPr>
      <w:r>
        <w:rPr>
          <w:rFonts w:ascii="Courier New" w:cs="Courier New" w:eastAsia="Courier New" w:hAnsi="Courier New"/>
          <w:sz w:val="15"/>
          <w:szCs w:val="15"/>
          <w:color w:val="auto"/>
        </w:rPr>
        <w:t>Financial Condition and Results of Operations</w:t>
      </w:r>
      <w:r>
        <w:rPr>
          <w:sz w:val="20"/>
          <w:szCs w:val="20"/>
          <w:color w:val="auto"/>
        </w:rPr>
        <w:tab/>
      </w:r>
      <w:r>
        <w:rPr>
          <w:rFonts w:ascii="Courier New" w:cs="Courier New" w:eastAsia="Courier New" w:hAnsi="Courier New"/>
          <w:sz w:val="15"/>
          <w:szCs w:val="15"/>
          <w:color w:val="auto"/>
        </w:rPr>
        <w:t>14</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7a.</w:t>
        <w:tab/>
        <w:t>Quantitative and Qualitative Disclosures about Market Risk</w:t>
      </w:r>
      <w:r>
        <w:rPr>
          <w:sz w:val="20"/>
          <w:szCs w:val="20"/>
          <w:color w:val="auto"/>
        </w:rPr>
        <w:tab/>
      </w:r>
      <w:r>
        <w:rPr>
          <w:rFonts w:ascii="Courier New" w:cs="Courier New" w:eastAsia="Courier New" w:hAnsi="Courier New"/>
          <w:sz w:val="15"/>
          <w:szCs w:val="15"/>
          <w:color w:val="auto"/>
        </w:rPr>
        <w:t>25</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25</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w:t>
      </w:r>
    </w:p>
    <w:p>
      <w:pPr>
        <w:ind w:left="960"/>
        <w:spacing w:after="0"/>
        <w:tabs>
          <w:tab w:leader="dot" w:pos="6760" w:val="left"/>
        </w:tabs>
        <w:rPr>
          <w:sz w:val="20"/>
          <w:szCs w:val="20"/>
          <w:color w:val="auto"/>
        </w:rPr>
      </w:pPr>
      <w:r>
        <w:rPr>
          <w:rFonts w:ascii="Courier New" w:cs="Courier New" w:eastAsia="Courier New" w:hAnsi="Courier New"/>
          <w:sz w:val="15"/>
          <w:szCs w:val="15"/>
          <w:color w:val="auto"/>
        </w:rPr>
        <w:t>on Accounting and Financial Disclosure</w:t>
      </w:r>
      <w:r>
        <w:rPr>
          <w:sz w:val="20"/>
          <w:szCs w:val="20"/>
          <w:color w:val="auto"/>
        </w:rPr>
        <w:tab/>
      </w:r>
      <w:r>
        <w:rPr>
          <w:rFonts w:ascii="Courier New" w:cs="Courier New" w:eastAsia="Courier New" w:hAnsi="Courier New"/>
          <w:sz w:val="15"/>
          <w:szCs w:val="15"/>
          <w:color w:val="auto"/>
        </w:rPr>
        <w:t>25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11.</w:t>
        <w:tab/>
        <w:t>Executive Compensation</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w:t>
      </w:r>
    </w:p>
    <w:p>
      <w:pPr>
        <w:ind w:left="960"/>
        <w:spacing w:after="0"/>
        <w:tabs>
          <w:tab w:leader="dot" w:pos="6760" w:val="left"/>
        </w:tabs>
        <w:rPr>
          <w:sz w:val="20"/>
          <w:szCs w:val="20"/>
          <w:color w:val="auto"/>
        </w:rPr>
      </w:pPr>
      <w:r>
        <w:rPr>
          <w:rFonts w:ascii="Courier New" w:cs="Courier New" w:eastAsia="Courier New" w:hAnsi="Courier New"/>
          <w:sz w:val="15"/>
          <w:szCs w:val="15"/>
          <w:color w:val="auto"/>
        </w:rPr>
        <w:t>and Management</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spacing w:after="0"/>
        <w:tabs>
          <w:tab w:leader="none" w:pos="940" w:val="left"/>
          <w:tab w:leader="dot" w:pos="6760" w:val="left"/>
        </w:tabs>
        <w:rPr>
          <w:sz w:val="20"/>
          <w:szCs w:val="20"/>
          <w:color w:val="auto"/>
        </w:rPr>
      </w:pPr>
      <w:r>
        <w:rPr>
          <w:rFonts w:ascii="Courier New" w:cs="Courier New" w:eastAsia="Courier New" w:hAnsi="Courier New"/>
          <w:sz w:val="15"/>
          <w:szCs w:val="15"/>
          <w:color w:val="auto"/>
        </w:rPr>
        <w:t>Item 13.</w:t>
        <w:tab/>
        <w:t>Certain Relationships and Related Transactions</w:t>
      </w:r>
      <w:r>
        <w:rPr>
          <w:sz w:val="20"/>
          <w:szCs w:val="20"/>
          <w:color w:val="auto"/>
        </w:rPr>
        <w:tab/>
      </w:r>
      <w:r>
        <w:rPr>
          <w:rFonts w:ascii="Courier New" w:cs="Courier New" w:eastAsia="Courier New" w:hAnsi="Courier New"/>
          <w:sz w:val="15"/>
          <w:szCs w:val="15"/>
          <w:color w:val="auto"/>
        </w:rPr>
        <w:t>26</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The information called for by Items 10, 11, 12 and 13, to</w:t>
      </w:r>
    </w:p>
    <w:p>
      <w:pPr>
        <w:ind w:left="960"/>
        <w:spacing w:after="0"/>
        <w:rPr>
          <w:sz w:val="20"/>
          <w:szCs w:val="20"/>
          <w:color w:val="auto"/>
        </w:rPr>
      </w:pPr>
      <w:r>
        <w:rPr>
          <w:rFonts w:ascii="Courier New" w:cs="Courier New" w:eastAsia="Courier New" w:hAnsi="Courier New"/>
          <w:sz w:val="15"/>
          <w:szCs w:val="15"/>
          <w:color w:val="auto"/>
        </w:rPr>
        <w:t>the extent not included in this document, is incorporated</w:t>
      </w:r>
    </w:p>
    <w:p>
      <w:pPr>
        <w:ind w:left="960"/>
        <w:spacing w:after="0"/>
        <w:rPr>
          <w:sz w:val="20"/>
          <w:szCs w:val="20"/>
          <w:color w:val="auto"/>
        </w:rPr>
      </w:pPr>
      <w:r>
        <w:rPr>
          <w:rFonts w:ascii="Courier New" w:cs="Courier New" w:eastAsia="Courier New" w:hAnsi="Courier New"/>
          <w:sz w:val="15"/>
          <w:szCs w:val="15"/>
          <w:color w:val="auto"/>
        </w:rPr>
        <w:t>herein by reference to the Company's definitive proxy</w:t>
      </w:r>
    </w:p>
    <w:p>
      <w:pPr>
        <w:ind w:left="960"/>
        <w:spacing w:after="0" w:line="238" w:lineRule="auto"/>
        <w:rPr>
          <w:sz w:val="20"/>
          <w:szCs w:val="20"/>
          <w:color w:val="auto"/>
        </w:rPr>
      </w:pPr>
      <w:r>
        <w:rPr>
          <w:rFonts w:ascii="Courier New" w:cs="Courier New" w:eastAsia="Courier New" w:hAnsi="Courier New"/>
          <w:sz w:val="15"/>
          <w:szCs w:val="15"/>
          <w:color w:val="auto"/>
        </w:rPr>
        <w:t>statement which is expected to be filed within 120 days</w:t>
      </w:r>
    </w:p>
    <w:p>
      <w:pPr>
        <w:ind w:left="960"/>
        <w:spacing w:after="0"/>
        <w:rPr>
          <w:sz w:val="20"/>
          <w:szCs w:val="20"/>
          <w:color w:val="auto"/>
        </w:rPr>
      </w:pPr>
      <w:r>
        <w:rPr>
          <w:rFonts w:ascii="Courier New" w:cs="Courier New" w:eastAsia="Courier New" w:hAnsi="Courier New"/>
          <w:sz w:val="15"/>
          <w:szCs w:val="15"/>
          <w:color w:val="auto"/>
        </w:rPr>
        <w:t>after the Company's fiscal year ending January 30,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tabs>
          <w:tab w:leader="none" w:pos="94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w:t>
      </w:r>
    </w:p>
    <w:p>
      <w:pPr>
        <w:ind w:left="1220"/>
        <w:spacing w:after="0"/>
        <w:tabs>
          <w:tab w:leader="dot" w:pos="6760" w:val="left"/>
        </w:tabs>
        <w:rPr>
          <w:sz w:val="20"/>
          <w:szCs w:val="20"/>
          <w:color w:val="auto"/>
        </w:rPr>
      </w:pPr>
      <w:r>
        <w:rPr>
          <w:rFonts w:ascii="Courier New" w:cs="Courier New" w:eastAsia="Courier New" w:hAnsi="Courier New"/>
          <w:sz w:val="15"/>
          <w:szCs w:val="15"/>
          <w:color w:val="auto"/>
        </w:rPr>
        <w:t>on Form 8-K</w:t>
      </w:r>
      <w:r>
        <w:rPr>
          <w:sz w:val="20"/>
          <w:szCs w:val="20"/>
          <w:color w:val="auto"/>
        </w:rPr>
        <w:tab/>
      </w:r>
      <w:r>
        <w:rPr>
          <w:rFonts w:ascii="Courier New" w:cs="Courier New" w:eastAsia="Courier New" w:hAnsi="Courier New"/>
          <w:sz w:val="15"/>
          <w:szCs w:val="15"/>
          <w:color w:val="auto"/>
        </w:rPr>
        <w:t>27</w:t>
      </w:r>
    </w:p>
    <w:p>
      <w:pPr>
        <w:spacing w:after="0" w:line="33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3" w:name="page4"/>
    <w:bookmarkEnd w:id="3"/>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Designs, Inc. (the "Company) is a specialty retailer based in the United States selling quality branded apparel and accessories. The Company markets a broad selection of Levi Strauss &amp; Co. and other well-known brand merchandise through outlet stores under the names "Levi's(R) Outlet By Designs", "Dockers(R) Outlet by Designs", "Buffalo Jeans(R) Factory Stores" and "Boston Traders(R) Outlet Stores" and through mall-based first quality stores under the names "Designs" and "BTC". Through October 31, 1998, the Company also owned a 70% interest in a partnership that operated, as part of a joint venture (the "Joint Venture") with a subsidiary of Levi's Only Stores, Inc. ("LOS"), stores under the name "Original Levi's Stores(TM)" and outlet stores under the name "Levi's(R) Outlet". The Company uses certain Levi Strauss &amp; Co. trademarks on its Levi's(R) Outlet and Dockers(R) Outlet by Designs stores pursuant to a trademark license agreement with Levi Strauss &amp; Co.</w:t>
      </w:r>
    </w:p>
    <w:p>
      <w:pPr>
        <w:spacing w:after="0" w:line="183"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In fiscal year 1998, the Company re-aligned its store portfolio and overhead structure to narrow its business to one focused on the profitable Levi's(R) and Dockers(R) Outlet by Designs stores. The Company's Outlet segment also includes its test of five Buffalo Jeans(R) Factory Stores, launched in August 1998. As part of this re-alignment to primarily an outlet based business, the Company closed eight of the eleven Boston Trading Co.(TM)/BTC(TM) mall stores, and recorded a store closing reserve in the fourth quarter of fiscal 1998 for the remaining three BTC(TM) stores which are planned, barring unforeseen circumstances, to close during the first half of fiscal 1999. In addition, the Company closed 16 Designs stores, and recorded a store closing reserve for the closing of one Designs store that is also planned to close in the first half of fiscal 1999. Further, the Company closed seven Boston Traders(R) Outlet stores, and recorded a store closing reserve for the remaining four Boston Traders(R) outlet stores that are planned, barring unforeseen circumstances, to close by the end of the first half of fiscal 1999.</w:t>
      </w:r>
    </w:p>
    <w:p>
      <w:pPr>
        <w:spacing w:after="0" w:line="33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conjunction with the Company's decision to focus on its outlet business, the Company purchased 25 Levi's(R) and Docker's(R) outlets from LOS on September 30, 1998. On October 31, 1998, the Company assumed full ownership of the 11 Joint Venture Levi's(R) Outlets stores and began the process of dissolving the Joint Venture. In addition, the Joint Venture distributed three Original Levi's Stores(R) to LOS. The remaining eight Original Levi's Stores(TM) held in the Joint Venture were closed by year-end in connection with the process of dissolving the Joint Venture. The purchase of the 25 Levi's(R) and Docker's(R) Outlets was planned to enable the Company to leverage its existing overhead and expense structure over a larger sales volume, in an effort to produce incremental earnings estimated at $2.8 million and cash flows of $3.6 million on a full year basis.</w:t>
      </w:r>
    </w:p>
    <w:p>
      <w:pPr>
        <w:spacing w:after="0" w:line="182"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These strategic actions return Designs Inc. to its' core competency as a single branded outlet operator, with 95 of it's 105 stores devoted exclusively to selling Levi Strauss &amp; Co. brands of apparel and accessories.</w:t>
      </w:r>
    </w:p>
    <w:p>
      <w:pPr>
        <w:spacing w:after="0" w:line="1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On December 7, 1998, a consent with respect to 1,570,200 shares of Common Stock executed on behalf of Jewelcor Management, Inc., a Nevada corporation ("Jewelcor"), and its controlling shareholder, Seymour Holtzman, was delivered to the Company for the purpose of removing and replacing the members of the Company's Board of Directors other than Chairman Stanley I. Berger. A preliminary Consent Solicitation Statement was filed on December 7, 1998 by the Holtzman Group with the Securities and Exchange Commission. On December 11, 1998, the Board of Directors of the Company determined to oppose the consent solicitation (the "Consent Solicitation") by Jewelcor and Mr. Holtzman.</w:t>
      </w:r>
    </w:p>
    <w:p>
      <w:pPr>
        <w:spacing w:after="0" w:line="16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Company did not enter into any settlement with Jewelcor or Mr.</w:t>
      </w:r>
    </w:p>
    <w:p>
      <w:pPr>
        <w:spacing w:after="0"/>
        <w:rPr>
          <w:sz w:val="20"/>
          <w:szCs w:val="20"/>
          <w:color w:val="auto"/>
        </w:rPr>
      </w:pPr>
      <w:r>
        <w:rPr>
          <w:rFonts w:ascii="Courier New" w:cs="Courier New" w:eastAsia="Courier New" w:hAnsi="Courier New"/>
          <w:sz w:val="15"/>
          <w:szCs w:val="15"/>
          <w:color w:val="auto"/>
        </w:rPr>
        <w:t>Holtzman terminating the Consent Solicitation.</w:t>
      </w:r>
    </w:p>
    <w:p>
      <w:pPr>
        <w:spacing w:after="0" w:line="174" w:lineRule="exact"/>
        <w:rPr>
          <w:sz w:val="20"/>
          <w:szCs w:val="20"/>
          <w:color w:val="auto"/>
        </w:rPr>
      </w:pPr>
    </w:p>
    <w:p>
      <w:pPr>
        <w:ind w:right="3439" w:firstLine="529"/>
        <w:spacing w:after="0" w:line="260" w:lineRule="auto"/>
        <w:rPr>
          <w:sz w:val="20"/>
          <w:szCs w:val="20"/>
          <w:color w:val="auto"/>
        </w:rPr>
      </w:pPr>
      <w:r>
        <w:rPr>
          <w:rFonts w:ascii="Courier New" w:cs="Courier New" w:eastAsia="Courier New" w:hAnsi="Courier New"/>
          <w:sz w:val="14"/>
          <w:szCs w:val="14"/>
          <w:color w:val="auto"/>
        </w:rPr>
        <w:t>On December 11, 1998, the Company announced that its Board of Directors had formed a committee of independent outside directors to consider the Company's strategic alternatives, including a possible sale of the Company.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Formats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Levi's(R) Outlet by Designs and Dockers(R) Outlet by Designs stores are located in outlet parks and shopping centers located primarily in the eastern United States. These stores sell manufacturing overruns, discontinued product, and irregulars purchased directly from Levi Strauss &amp; Co. and its licensees. In addition, these stores also sell end-of-season Levi's(R) and Dockers(R) merchandise transferred from Designs and BTC(TM) stores. In Fiscal 1998, 5% of the inventory receipts for these stores were transferred from the Designs and BTC(TM) stores.</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Many of the manufacturers' outlet parks and shopping centers in which Levi's(R) Outlet by Designs stores are located have matured, resulting in limited year-to-year increases in customer traffic. The combination of this maturing outlet store base, increased competition, and a limited merchandise mix of Levi's(R) and Dockers(R) brand products resulted in unsatisfactory comparable store performance in fiscal years 1997 and 1998.</w:t>
      </w:r>
    </w:p>
    <w:p>
      <w:pPr>
        <w:sectPr>
          <w:pgSz w:w="11900" w:h="16838" w:orient="portrait"/>
          <w:cols w:equalWidth="0" w:num="1">
            <w:col w:w="10219"/>
          </w:cols>
          <w:pgMar w:left="240" w:top="622"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The five</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rPr>
              <w:t>Designs stores that are expected to remain open in fiscal 1999</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are located in</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w w:val="97"/>
              </w:rPr>
              <w:t>enclosed regional shopping centers and offer a broad selection of</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Levi Strauss &amp;</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w w:val="97"/>
              </w:rPr>
              <w:t>Co. brands of merchandise, supplemented by additional brand names</w:t>
            </w:r>
          </w:p>
        </w:tc>
      </w:tr>
      <w:tr>
        <w:trPr>
          <w:trHeight w:val="170"/>
        </w:trPr>
        <w:tc>
          <w:tcPr>
            <w:tcW w:w="7040" w:type="dxa"/>
            <w:vAlign w:val="bottom"/>
            <w:gridSpan w:val="2"/>
          </w:tcPr>
          <w:p>
            <w:pPr>
              <w:spacing w:after="0"/>
              <w:rPr>
                <w:sz w:val="20"/>
                <w:szCs w:val="20"/>
                <w:color w:val="auto"/>
              </w:rPr>
            </w:pPr>
            <w:r>
              <w:rPr>
                <w:rFonts w:ascii="Courier New" w:cs="Courier New" w:eastAsia="Courier New" w:hAnsi="Courier New"/>
                <w:sz w:val="15"/>
                <w:szCs w:val="15"/>
                <w:color w:val="auto"/>
              </w:rPr>
              <w:t>where appropriate. The Company currently plans, barring unforeseen</w:t>
            </w:r>
          </w:p>
        </w:tc>
      </w:tr>
      <w:tr>
        <w:trPr>
          <w:trHeight w:val="170"/>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circumstances,</w:t>
            </w:r>
          </w:p>
        </w:tc>
        <w:tc>
          <w:tcPr>
            <w:tcW w:w="5780" w:type="dxa"/>
            <w:vAlign w:val="bottom"/>
          </w:tcPr>
          <w:p>
            <w:pPr>
              <w:ind w:left="60"/>
              <w:spacing w:after="0"/>
              <w:rPr>
                <w:sz w:val="20"/>
                <w:szCs w:val="20"/>
                <w:color w:val="auto"/>
              </w:rPr>
            </w:pPr>
            <w:r>
              <w:rPr>
                <w:rFonts w:ascii="Courier New" w:cs="Courier New" w:eastAsia="Courier New" w:hAnsi="Courier New"/>
                <w:sz w:val="15"/>
                <w:szCs w:val="15"/>
                <w:color w:val="auto"/>
              </w:rPr>
              <w:t>to carry a selection of Levi Strauss &amp; Co brand</w:t>
            </w:r>
          </w:p>
        </w:tc>
      </w:tr>
      <w:tr>
        <w:trPr>
          <w:trHeight w:val="509"/>
        </w:trPr>
        <w:tc>
          <w:tcPr>
            <w:tcW w:w="1260" w:type="dxa"/>
            <w:vAlign w:val="bottom"/>
          </w:tcPr>
          <w:p>
            <w:pPr>
              <w:spacing w:after="0"/>
              <w:rPr>
                <w:sz w:val="24"/>
                <w:szCs w:val="24"/>
                <w:color w:val="auto"/>
              </w:rPr>
            </w:pPr>
          </w:p>
        </w:tc>
        <w:tc>
          <w:tcPr>
            <w:tcW w:w="5780" w:type="dxa"/>
            <w:vAlign w:val="bottom"/>
          </w:tcPr>
          <w:p>
            <w:pPr>
              <w:ind w:left="5700"/>
              <w:spacing w:after="0"/>
              <w:rPr>
                <w:sz w:val="20"/>
                <w:szCs w:val="20"/>
                <w:color w:val="auto"/>
              </w:rPr>
            </w:pPr>
            <w:r>
              <w:rPr>
                <w:rFonts w:ascii="Courier New" w:cs="Courier New" w:eastAsia="Courier New" w:hAnsi="Courier New"/>
                <w:sz w:val="14"/>
                <w:szCs w:val="14"/>
                <w:color w:val="auto"/>
                <w:w w:val="70"/>
              </w:rPr>
              <w:t>4</w:t>
            </w:r>
          </w:p>
        </w:tc>
      </w:tr>
    </w:tbl>
    <w:p>
      <w:pPr>
        <w:sectPr>
          <w:pgSz w:w="11900" w:h="16838" w:orient="portrait"/>
          <w:cols w:equalWidth="0" w:num="1">
            <w:col w:w="10219"/>
          </w:cols>
          <w:pgMar w:left="240" w:top="136" w:right="1440" w:bottom="1440" w:gutter="0" w:footer="0" w:header="0"/>
        </w:sectPr>
      </w:pPr>
    </w:p>
    <w:bookmarkStart w:id="5" w:name="page6"/>
    <w:bookmarkEnd w:id="5"/>
    <w:p>
      <w:pPr>
        <w:ind w:left="10" w:right="3179"/>
        <w:spacing w:after="0" w:line="237" w:lineRule="auto"/>
        <w:rPr>
          <w:sz w:val="20"/>
          <w:szCs w:val="20"/>
          <w:color w:val="auto"/>
        </w:rPr>
      </w:pPr>
      <w:r>
        <w:rPr>
          <w:rFonts w:ascii="Courier New" w:cs="Courier New" w:eastAsia="Courier New" w:hAnsi="Courier New"/>
          <w:sz w:val="15"/>
          <w:szCs w:val="15"/>
          <w:color w:val="auto"/>
        </w:rPr>
        <w:t>products in these stores equal to approximately 70% of the merchandise mix. The Company's strategy in these stores is to continue selling Levi Strauss &amp; Co. brands and complementary brands of tops and bottoms. The leases for two of these five stores expire at the end of fiscal 1999.</w:t>
      </w:r>
    </w:p>
    <w:p>
      <w:pPr>
        <w:spacing w:after="0" w:line="176"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Buffalo Jeans(R) Factory Stores, which operate in outlet parks on the eastern seaboard, sell close-out and in-season Mens and Womens apparel under the Buffalo Jeans(R) brand name at 30% off of regular retail prices. The Buffalo Jeans(R) brand is currently sold in leading department stores and, as of today, seems not to be subject to wide-spread discounting in its first quality distribution channels. The Buffalo Jeans(R) line, which consists of jeans, tops, dresses, skirts and outerwear, is focused predominantly on the junior customer, with some basic jeans and tops designed to appeal to a broad spectrum of customers. The Company believes that the Buffalo Jeans(R) Factory Stores represent an opportunity to capitalize on the current growth in teen fashion in the lower occupancy cost outlet channel.</w:t>
      </w:r>
    </w:p>
    <w:p>
      <w:pPr>
        <w:spacing w:after="0" w:line="181" w:lineRule="exact"/>
        <w:rPr>
          <w:sz w:val="20"/>
          <w:szCs w:val="20"/>
          <w:color w:val="auto"/>
        </w:rPr>
      </w:pPr>
    </w:p>
    <w:p>
      <w:pPr>
        <w:ind w:left="10" w:right="3179" w:firstLine="529"/>
        <w:spacing w:after="0" w:line="258" w:lineRule="auto"/>
        <w:rPr>
          <w:sz w:val="20"/>
          <w:szCs w:val="20"/>
          <w:color w:val="auto"/>
        </w:rPr>
      </w:pPr>
      <w:r>
        <w:rPr>
          <w:rFonts w:ascii="Courier New" w:cs="Courier New" w:eastAsia="Courier New" w:hAnsi="Courier New"/>
          <w:sz w:val="14"/>
          <w:szCs w:val="14"/>
          <w:color w:val="auto"/>
        </w:rPr>
        <w:t>Management believes that the Company competes with other apparel retailers by offering quality merchandise, knowledgeable in-store service and competitive price points. The Company stresses product training with its sales staff and, with the assistance of Levi Strauss &amp; Co. and merchandise materials supplied by other brands sold in the Designs stores, provides its sales personnel with substantial product knowledge training across all branded product lines.</w:t>
      </w:r>
    </w:p>
    <w:p>
      <w:pPr>
        <w:spacing w:after="0" w:line="164" w:lineRule="exact"/>
        <w:rPr>
          <w:sz w:val="20"/>
          <w:szCs w:val="20"/>
          <w:color w:val="auto"/>
        </w:rPr>
      </w:pPr>
    </w:p>
    <w:p>
      <w:pPr>
        <w:ind w:left="10" w:right="3439" w:firstLine="529"/>
        <w:spacing w:after="0" w:line="237" w:lineRule="auto"/>
        <w:rPr>
          <w:sz w:val="20"/>
          <w:szCs w:val="20"/>
          <w:color w:val="auto"/>
        </w:rPr>
      </w:pPr>
      <w:r>
        <w:rPr>
          <w:rFonts w:ascii="Courier New" w:cs="Courier New" w:eastAsia="Courier New" w:hAnsi="Courier New"/>
          <w:sz w:val="15"/>
          <w:szCs w:val="15"/>
          <w:color w:val="auto"/>
        </w:rPr>
        <w:t>The following table provides a summary of the number of stores in operation at year end for the past three fiscal years. Levi Strauss &amp; Co. approves all new outlet store locations which carry Levi Strauss &amp; Co. brands and use any trademark owned by Levi Strauss &amp; Co.</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January 30,</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January 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February 1,</w:t>
            </w:r>
          </w:p>
        </w:tc>
      </w:t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Levi's(R) Outlet by Designs</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Levi's(R) Outlet previously operated</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by the Joint Venture (1)</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Levi's(R) Outlet stores acquired (2)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Dockers(R) Outlet stores acquired (2)</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Buffalo Jeans(R) Factory Stores</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Boston Trading Co.(R) (3)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spacing w:after="0"/>
              <w:rPr>
                <w:sz w:val="14"/>
                <w:szCs w:val="14"/>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Designs/BTC(TM) (3)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Boston Traders(R) outlet stores (3)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Joint Venture: (1)</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Original Levi's Stores(R)</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r>
      <w:tr>
        <w:trPr>
          <w:trHeight w:val="170"/>
        </w:trPr>
        <w:tc>
          <w:tcPr>
            <w:tcW w:w="3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Levi's(R) Outlets</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Sub-total</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113</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Stores planned to close in fiscal</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2760" w:type="dxa"/>
            <w:vAlign w:val="bottom"/>
          </w:tcPr>
          <w:p>
            <w:pPr>
              <w:jc w:val="right"/>
              <w:ind w:right="2387"/>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Total stores</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105</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75" w:lineRule="exact"/>
        <w:rPr>
          <w:sz w:val="20"/>
          <w:szCs w:val="20"/>
          <w:color w:val="auto"/>
        </w:rPr>
      </w:pPr>
    </w:p>
    <w:p>
      <w:pPr>
        <w:ind w:left="530" w:right="3179"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and Levi Strauss &amp; Co. agreed to dissolve and wind up the Joint Venture between subsidiaries of the two companies. As part of the dissolution process, on October 31, 1998, the Joint Venture distributed 11 Levi's(R) Outlet stores to the Company and three Original Levi's Stores(R) to Levi's Only Stores, Inc., a wholly-owned subsidiary of Levi Strauss &amp; Co. The remaining eight Original Levi's Stores(R) were closed by the end of fiscal 1998.</w:t>
      </w:r>
    </w:p>
    <w:p>
      <w:pPr>
        <w:spacing w:after="0" w:line="176" w:lineRule="exact"/>
        <w:rPr>
          <w:rFonts w:ascii="Courier New" w:cs="Courier New" w:eastAsia="Courier New" w:hAnsi="Courier New"/>
          <w:sz w:val="15"/>
          <w:szCs w:val="15"/>
          <w:color w:val="auto"/>
        </w:rPr>
      </w:pPr>
    </w:p>
    <w:p>
      <w:pPr>
        <w:ind w:left="530" w:right="32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30, 1998, the Company acquired from Levi's Only Stores, Inc. 16 Dockers(R) Outlet stores and nine Levi's(R) Outlet stores for approximately $9.7 million.</w:t>
      </w:r>
    </w:p>
    <w:p>
      <w:pPr>
        <w:spacing w:after="0" w:line="174" w:lineRule="exact"/>
        <w:rPr>
          <w:rFonts w:ascii="Courier New" w:cs="Courier New" w:eastAsia="Courier New" w:hAnsi="Courier New"/>
          <w:sz w:val="15"/>
          <w:szCs w:val="15"/>
          <w:color w:val="auto"/>
        </w:rPr>
      </w:pPr>
    </w:p>
    <w:p>
      <w:pPr>
        <w:ind w:left="530" w:right="317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closed 38 stores as part of the Company's store closing programs. Five Boston Traders(R) outlet stores were converted to Buffalo Jeans(R) Factory Stores throughout fiscal 1998. In fiscal 1997, the Company closed 16 Designs stores and 15 Boston Traders(R) outlet stores.</w:t>
      </w:r>
    </w:p>
    <w:p>
      <w:pPr>
        <w:spacing w:after="0" w:line="178" w:lineRule="exact"/>
        <w:rPr>
          <w:rFonts w:ascii="Courier New" w:cs="Courier New" w:eastAsia="Courier New" w:hAnsi="Courier New"/>
          <w:sz w:val="15"/>
          <w:szCs w:val="15"/>
          <w:color w:val="auto"/>
        </w:rPr>
      </w:pPr>
    </w:p>
    <w:p>
      <w:pPr>
        <w:ind w:left="530" w:right="3259" w:hanging="530"/>
        <w:spacing w:after="0" w:line="237"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1998, the Company established reserves to close four Boston Traders(R) outlet stores, three Boston Trading Co.(R) stores and one Designs store.</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7" w:right="1440" w:bottom="1440" w:gutter="0" w:footer="0" w:header="0"/>
        </w:sectPr>
      </w:pPr>
    </w:p>
    <w:bookmarkStart w:id="6" w:name="page7"/>
    <w:bookmarkEnd w:id="6"/>
    <w:p>
      <w:pPr>
        <w:ind w:right="3179" w:firstLine="529"/>
        <w:spacing w:after="0" w:line="257"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and a subsidiary of Levi's Only Stores Inc. ("LOS"), a wholly-owned subsidiary of Levi Strauss &amp; Co., entered into a partnership agreement (the "Partnership Agreement") to sell Levi's(R) brand jeans and jeans-related products. The joint venture that was established by the Partnership Agreement is known as The Designs/OLS Partnership (the "OLS Partnership"). In the third quarter of fiscal 1998, the Company and Levi Strauss &amp; Co. agreed to dissolve and wind up the joint venture between subsidiaries of the two companies. As part of the dissolution process, on October 31, 1998, the OLS Partnership distributed 11 Levi's(R) Outlet stores to the Company with a net book value of approximately $6.4 million. In addition, the OLS Partnership distributed to LOS three Original Levi's Stores(R) located in New York City and Boston, Massachusetts with a net book value of $5.5 million. The remaining eight Original Levi's Stores(R) owned by the OLS Partnership were closed during the fourth quarter of fiscal 1998.</w:t>
      </w:r>
    </w:p>
    <w:p>
      <w:pPr>
        <w:spacing w:after="0" w:line="16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The Company's present plans for expansion in fiscal 1999 include the recent opening of three new Levi's(R)/Dockers(R) Outlet by Designs stores and relocating seven existing Levi's(R) Outlet by Designs stores to new outlet centers in the Eastern United States. All ten of these new stores are presently planned to be built in the Company's new outlet store format, which features a combined Dockers(R) Outlet by Designs store and Levi's(R) Outlet by Designs store that separately displays each brand in its own unique environment. In fiscal 1999, capital expenditures related to these new stores are expected, barring unforeseen circumstances, to total approximately $1.7 million. The Company continually evaluates the performance of all of its stores and may, from time to time, decide to close or reduce the size of certain store locations.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Base</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the Levi's(R) Outlet by Designs and Dockers(R) Outlet by Designs stores, the Company believes that its customer base primarily reflects that of the Levi's(R) and Dockers(R) brand customer. These stores also continue to attract foreign travelers shopping for Levi's(R), Dockers(R) and Slates(R) brand apparel and accessories. The Company's product selection offered in these stores is designed to satisfy the casual apparel needs of customers in all age groups and income brackets.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Merchandising and Distribution</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 its Levi's(R) Outlet by Designs and Dockers(R) Outlet by Designs stores, the Company offers a selection of Levi Strauss &amp; Co. brands of merchandise including manufacturing overruns, discontinued lines and irregulars purchased by the Company directly from Levi Strauss &amp; Co. and end-of-season merchandise transferred from the Designs and BTC(TM) stores. The Company continues to evaluate and act upon opportunities to purchase substantial quantities of Levi Strauss &amp; Co. brand merchandise offered to the Company by Levi Strauss &amp; Co. for sale in the Levi's(R) and Dockers(R) Outlet by Designs stores.</w:t>
      </w:r>
    </w:p>
    <w:p>
      <w:pPr>
        <w:spacing w:after="0" w:line="179"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All merchandising decisions, including pricing, markdowns, advertising and promotional campaigns, inventory purchases and merchandise allocations, are made centrally at the Company's headquarters with input from field operations personnel.</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Trademarks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Company is the owner of the "Boston Traders(R)" trademark and certain other trademarks acquired as part of the acquisition of certain assets of Boston Trading Ltd., Inc.</w:t>
      </w:r>
    </w:p>
    <w:p>
      <w:pPr>
        <w:spacing w:after="0" w:line="175" w:lineRule="exact"/>
        <w:rPr>
          <w:sz w:val="20"/>
          <w:szCs w:val="20"/>
          <w:color w:val="auto"/>
        </w:rPr>
      </w:pPr>
    </w:p>
    <w:p>
      <w:pPr>
        <w:ind w:right="3539" w:firstLine="529"/>
        <w:spacing w:after="0" w:line="237" w:lineRule="auto"/>
        <w:rPr>
          <w:sz w:val="20"/>
          <w:szCs w:val="20"/>
          <w:color w:val="auto"/>
        </w:rPr>
      </w:pPr>
      <w:r>
        <w:rPr>
          <w:rFonts w:ascii="Courier New" w:cs="Courier New" w:eastAsia="Courier New" w:hAnsi="Courier New"/>
          <w:sz w:val="15"/>
          <w:szCs w:val="15"/>
          <w:color w:val="auto"/>
        </w:rPr>
        <w:t>"Dockers(R)," "Levi's(R)" and "Slates(R)" are registered trademarks of Levi Strauss &amp; Co. Buffalo Jeans(R) is a registered trademark of Buffalo DeFrance.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 Operations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currently employs one Vice President and Director of Store Operations who reports directly to the President of the Company. Two Regional Vice Presidents, who report to the Vice President and Director of Store Operations, are responsible for the operations and profitability of stores within specific geographic regions. All three of these Vice Presidents have over 15 years of service with the Company.</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In order to provide management development and guidance to individual store managers, the Company employs approximately 15 district managers, having an average employment period of 6.5 years. Each district manager is responsible for hiring and developing store managers at the stores assigned to that district manager's area and for the sales and overall profitability of those stores. District managers report directly to a Regional Vice President.</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Designs and BTC(TM) stores average approximately 6,100 square feet in size and are located in enclosed regional shopping malls usually anchored by department stores. Levi's(R) Outlet by Designs stores are located in manufacturers' outlet parks and destination shopping centers and average approximately 12,000 square feet in size. The average square footage of the 25 acquired Dockers(R) and Levi's(R) Outlet stores and the 11 Levi's(R) Outlet stores that were distributed to the Company from the Joint Venture is approximately 5,200 square feet.</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Company's stores utilize interior design and merchandise layout plans designed by the Company's visual merchandising team, which plans are specifically designed to promote customer identification of the store as a specialty store selling quality branded apparel and accessories. The merchandise layout is further customized by store management and the Company's visual merchandising department to suit each particular store location. The Dockers(R) and Levi's(R) Outlet by Designs stores prominently display Levi's(R) and Dockers(R) brand logos and utilize distinctive promotional displays. The Company uses certain Levi Strauss &amp; Co. logos and trademarks on store signs with the permission of Levi Strauss &amp; Co.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 &amp; Training</w:t>
      </w:r>
    </w:p>
    <w:p>
      <w:pPr>
        <w:spacing w:after="0" w:line="175"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"Designs University" was established in fiscal 1996 to implement associate training and development programs throughout the organization. The Company's Operational Support and Development team is responsible for developing and teaching creative programs that will enhance associate performance.</w:t>
      </w:r>
    </w:p>
    <w:p>
      <w:pPr>
        <w:spacing w:after="0" w:line="163"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Sales Associate expectations are established at all levels of training, beginning with the Sales Associate Development Program. This program introduces the associate to the Company's operational policies, product information and customer service objectives. Through this program, associates are taught that servicing the customer is the highest priority. Management believes that Sales Associates are trained to accomplish the goal of reinforcing the customer's perception of the Company's stores as branded outlet and specialty stores and of differentiating its stores from those of the Company's competitors.</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All members of store management participate in the Store Management Development Program. Associates learn how to perform critical management functions required to successfully operate a store. The Store Management Development Program focuses on fundamental operational procedures, expense control and personnel management. The store management team is responsible for all operational matters in the store, including the hiring and training of sales associates</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8" w:name="page9"/>
    <w:bookmarkEnd w:id="8"/>
    <w:p>
      <w:pPr>
        <w:ind w:right="3259" w:firstLine="529"/>
        <w:spacing w:after="0" w:line="238" w:lineRule="auto"/>
        <w:rPr>
          <w:sz w:val="20"/>
          <w:szCs w:val="20"/>
          <w:color w:val="auto"/>
        </w:rPr>
      </w:pPr>
      <w:r>
        <w:rPr>
          <w:rFonts w:ascii="Courier New" w:cs="Courier New" w:eastAsia="Courier New" w:hAnsi="Courier New"/>
          <w:sz w:val="15"/>
          <w:szCs w:val="15"/>
          <w:color w:val="auto"/>
        </w:rPr>
        <w:t>Designs, BTC(TM) and Buffalo Jeans(R) Factory Stores each employ approximately 10 associates. Each Levi's(R) and Dockers(R) Outlet by Designs store employs approximately 30 associates. Store staffing typically includes a store manager, one or more assistant managers and shift supervisors, and a team of full-time and part-time sales associates. Store manager candidates or assistant manager candidates may also be included on the team in specific stores.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The Company believes that management information systems are an important factor in the continued growth of the Company. The Company continues to devote significant resources to the development of information systems, which are intended to enable the Company centrally to maintain inventory, pricing and other financial controls. During fiscal 1998, the Company upgraded its JDA merchandise management software to a new Year 2000 compliant version. This software is designed to enhance the analytical capabilities of the Company's merchandise and financial functions and to provide an integrated business approach to the financial and merchandising systems. During fiscal 1999, the Company will install a new point of sale system that has been designed to be Year 2000 compliant. Point of sale data, in conjunction with a full complement of EDI transactions handling invoicing, advanced shipment notices and purchase orders are the primary sources of data input for the merchandise management package. During fiscal 1999, the Company also expects to revamp its store and processing center receiving processes and install electronic scanning for receiving in all stores.</w:t>
      </w:r>
    </w:p>
    <w:p>
      <w:pPr>
        <w:spacing w:after="0" w:line="186"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Company makes use of software systems supporting vendor managed replenishment for core merchandise. These processes utilize available sales and inventory data to react to the individual needs of each store on a timely basis. Presently, only Levi Strauss &amp; Co. is providing vendor managed replenishment to the Company.</w:t>
      </w:r>
    </w:p>
    <w:p>
      <w:pPr>
        <w:spacing w:after="0" w:line="178" w:lineRule="exact"/>
        <w:rPr>
          <w:sz w:val="20"/>
          <w:szCs w:val="20"/>
          <w:color w:val="auto"/>
        </w:rPr>
      </w:pPr>
    </w:p>
    <w:p>
      <w:pPr>
        <w:ind w:right="3179" w:firstLine="529"/>
        <w:spacing w:after="0" w:line="235" w:lineRule="auto"/>
        <w:rPr>
          <w:sz w:val="20"/>
          <w:szCs w:val="20"/>
          <w:color w:val="auto"/>
        </w:rPr>
      </w:pPr>
      <w:r>
        <w:rPr>
          <w:rFonts w:ascii="Courier New" w:cs="Courier New" w:eastAsia="Courier New" w:hAnsi="Courier New"/>
          <w:sz w:val="15"/>
          <w:szCs w:val="15"/>
          <w:color w:val="auto"/>
        </w:rPr>
        <w:t>The Company's status regarding Year 2000 readiness is discussed more fully below. See Management's Discussion and Analysis.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Company relies on the visibility and recognition of the Levi's(R) and Dockers(R) brand names, as well as the natural flow of traffic that results from locating stores in areas of high retail activity including destination outlet centers and regional malls. Historically, the Company has received co-operative advertising allowances from Levi Strauss &amp; Co. that fund a substantial portion of the Company's advertising expenditures. In fiscal 1998 the Company received allowances totaling approximately 36% of its advertising expenditures. The cooperative advertising allowances associated with the Company's advertising will fluctuate in proportion to amounts of regularly priced Levi Strauss &amp; Co. brand products purchased and Levi Strauss &amp; Co.'s cooperative advertising policies.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The United States casual apparel market is highly competitive with many national and regional department stores, specialty apparel retailers and discount stores offering a broad range of apparel products similar to those sold by the Company. The Company considers any casual apparel manufacturer operating in outlet parks throughout the United States competitors in the casual apparel market.</w:t>
      </w:r>
    </w:p>
    <w:p>
      <w:pPr>
        <w:spacing w:after="0" w:line="176"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A majority of the Company's business involves the sale of branded apparel and accessories sold by or manufactured under license from Levi Strauss &amp; Co. in an outlet mall environment. Levi Strauss &amp; Co. is involved in the highly competitive fashion apparel industry. Levi's(R) brand jeans have been impacted by the increased competition from private label as well as fashion jeans market entrants, plus national sales trends of Levi's(R) brand products.</w:t>
      </w:r>
    </w:p>
    <w:p>
      <w:pPr>
        <w:spacing w:after="0" w:line="32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359" w:firstLine="529"/>
        <w:spacing w:after="0" w:line="260" w:lineRule="auto"/>
        <w:rPr>
          <w:sz w:val="20"/>
          <w:szCs w:val="20"/>
          <w:color w:val="auto"/>
        </w:rPr>
      </w:pPr>
      <w:r>
        <w:rPr>
          <w:rFonts w:ascii="Courier New" w:cs="Courier New" w:eastAsia="Courier New" w:hAnsi="Courier New"/>
          <w:sz w:val="14"/>
          <w:szCs w:val="14"/>
          <w:color w:val="auto"/>
        </w:rPr>
        <w:t>As of January 30, 1999, the Company employed approximately 1,800 associates, of whom 600 were full-time personnel. The Company hires additional temporary employees during the peak late summer and holiday seasons.</w:t>
      </w:r>
    </w:p>
    <w:p>
      <w:pPr>
        <w:spacing w:after="0" w:line="163"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All qualified full-time employees are entitled, when eligible, to life, medical, disability and dental insurance and to participate in the Company's 401(k) retirement savings plan. Store managers, district managers and vice presidents are eligible to receive incentive compensation subject to the achievement of specific performance objectives related primarily to sales and profitability. Vice Presidents and District Managers are also entitled to use an automobile provided by the Company or to receive an automobile allowance. Sales personnel are compensated on an hourly basis and, generally, receive no commissions; but from time to time are eligible to earn sales incentive payments from sales contests. Vice Presidents, certain District and store managers and certain other employees, have been granted stock options. None of the Company's employees are represented by a union.</w:t>
      </w:r>
    </w:p>
    <w:p>
      <w:pPr>
        <w:spacing w:after="0" w:line="34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As of January 30, 1999, the Company operated 95 Levi's(R) Outlet and Dockers(R) Outlet by Designs stores, five Buffalo Jeans(R) Factory Outlet stores, nine Designs and BTC(TM) stores and four Boston Traders(R) outlet stores. All such stores are leased by the Company directly from shopping mall and outlet park owners. Designs and BTC(TM) store leases are generally ten years in length with no renewal options. Outlet store leases are usually for a series of shorter periods and certain leases contain renewal options extending their terms to between 10 and 15 years. Most of the Company's outlet store leases provide for annual rent based on a percentage of store sales, subject to guaranteed minimum amounts.</w:t>
      </w:r>
    </w:p>
    <w:p>
      <w:pPr>
        <w:spacing w:after="0" w:line="180"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Sites for store expansion are selected on the basis of several factors intended to maximize the exposure of each store to the Company's target customers. These factors include the demographic profile of the area in which the site is located, the types of stores and other retailers in the area, the location of the store within the mall and the attractiveness of the store layout. The Company also utilizes financial models to project the profitability of each location using assumptions such as mall sales per square foot averages, estimated occupancy costs and return on investment requirements. The Company believes that its selection of locations enables the Company's outlet and mall stores to attract customers from the general shopping traffic and to generate its own customers from surrounding areas.</w:t>
      </w:r>
    </w:p>
    <w:p>
      <w:pPr>
        <w:spacing w:after="0" w:line="181"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The lease for the Company's headquarters office, which began in November 1995, is for a period of ten years. The lease provides for the Company to pay all occupancy costs associated with the land and the 80,000 square foot building. The Company entered into an agreement, effective April 1, 1998, to sublease approximately 15,000 square feet to a sublessee for a term of five to eight years. The Company also entered into a second agreement effective July 1, 1998 to sublease an additional 15,300 square feet to a sublessee for a term of five to seven years. The Company leases two warehouse facilities to receive and distribute merchandise for all of the Company's store locations.</w:t>
      </w:r>
    </w:p>
    <w:p>
      <w:pPr>
        <w:spacing w:after="0" w:line="16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"Management's Discussion and Analysis of Financial Condition and</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Results of Operations - Liquidity and Capital Resources - Capital Expenditures."</w:t>
      </w:r>
    </w:p>
    <w:p>
      <w:pPr>
        <w:spacing w:after="0" w:line="34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259" w:firstLine="529"/>
        <w:spacing w:after="0" w:line="260" w:lineRule="auto"/>
        <w:rPr>
          <w:sz w:val="20"/>
          <w:szCs w:val="20"/>
          <w:color w:val="auto"/>
        </w:rPr>
      </w:pPr>
      <w:r>
        <w:rPr>
          <w:rFonts w:ascii="Courier New" w:cs="Courier New" w:eastAsia="Courier New" w:hAnsi="Courier New"/>
          <w:sz w:val="14"/>
          <w:szCs w:val="14"/>
          <w:color w:val="auto"/>
        </w:rPr>
        <w:t>The Company is a party to litigation and claims arising in the course of its business. Management does not expect the results of these actions to have a material adverse effect on the Company's business or financial condition.</w:t>
      </w:r>
    </w:p>
    <w:p>
      <w:pPr>
        <w:spacing w:after="0" w:line="163"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In January 1998 Atlantic Harbor, Inc. filed a lawsuit against the Company for failing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results of operations or financial position.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On December 7, 1998, a consent with respect to 1,570,200 shares of Common Stock executed on behalf of Jewelcor Management, Inc., a Nevada corporation ("Jewelcor"), and its controlling shareholder, Seymour Holtzman, was delivered to the Company for the purpose of removing and replacing the members of the Company's Board of Directors other than Chairman Stanley I. Berger. A preliminary Consent Solicitation Statement was filed on December 7, 1998 by the Holtzman Group with the Securities and Exchange Commission. On December 11, 1998, the Board of Directors of the Company determined to oppose the consent solicitation (the "Consent Solicitation") by Jewelcor and Mr. Holtzman.</w:t>
      </w:r>
    </w:p>
    <w:p>
      <w:pPr>
        <w:spacing w:after="0" w:line="167"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Company did not enter into any settlement with Jewelcor or Mr.</w:t>
      </w:r>
    </w:p>
    <w:p>
      <w:pPr>
        <w:spacing w:after="0"/>
        <w:rPr>
          <w:sz w:val="20"/>
          <w:szCs w:val="20"/>
          <w:color w:val="auto"/>
        </w:rPr>
      </w:pPr>
      <w:r>
        <w:rPr>
          <w:rFonts w:ascii="Courier New" w:cs="Courier New" w:eastAsia="Courier New" w:hAnsi="Courier New"/>
          <w:sz w:val="15"/>
          <w:szCs w:val="15"/>
          <w:color w:val="auto"/>
        </w:rPr>
        <w:t>Holtzman terminating the Consent Solicitation.</w:t>
      </w:r>
    </w:p>
    <w:p>
      <w:pPr>
        <w:spacing w:after="0" w:line="33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2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ind w:left="700" w:right="4859" w:hanging="704"/>
        <w:spacing w:after="0" w:line="235" w:lineRule="auto"/>
        <w:rPr>
          <w:sz w:val="20"/>
          <w:szCs w:val="20"/>
          <w:color w:val="auto"/>
        </w:rPr>
      </w:pPr>
      <w:r>
        <w:rPr>
          <w:rFonts w:ascii="Courier New" w:cs="Courier New" w:eastAsia="Courier New" w:hAnsi="Courier New"/>
          <w:sz w:val="15"/>
          <w:szCs w:val="15"/>
          <w:color w:val="auto"/>
        </w:rPr>
        <w:t>Item 5. Market for the Registrant's Common Equity and Related Shareholder Matters</w:t>
      </w:r>
    </w:p>
    <w:p>
      <w:pPr>
        <w:spacing w:after="0" w:line="176"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Company's Common Stock trades on the Nasdaq National Market tier of The Nasdaq Stock Market under the symbol "DESI."</w:t>
      </w:r>
    </w:p>
    <w:p>
      <w:pPr>
        <w:spacing w:after="0" w:line="176" w:lineRule="exact"/>
        <w:rPr>
          <w:sz w:val="20"/>
          <w:szCs w:val="20"/>
          <w:color w:val="auto"/>
        </w:rPr>
      </w:pPr>
    </w:p>
    <w:p>
      <w:pPr>
        <w:jc w:val="both"/>
        <w:ind w:right="3259"/>
        <w:spacing w:after="0" w:line="237" w:lineRule="auto"/>
        <w:rPr>
          <w:sz w:val="20"/>
          <w:szCs w:val="20"/>
          <w:color w:val="auto"/>
        </w:rPr>
      </w:pPr>
      <w:r>
        <w:rPr>
          <w:rFonts w:ascii="Courier New" w:cs="Courier New" w:eastAsia="Courier New" w:hAnsi="Courier New"/>
          <w:sz w:val="15"/>
          <w:szCs w:val="15"/>
          <w:color w:val="auto"/>
        </w:rPr>
        <w:t>The following table sets forth, for the periods indicated, the high and low per share sales prices for the Common Stock, as reported on the Nasdaq consolidated reporting system.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Ending</w:t>
      </w:r>
    </w:p>
    <w:p>
      <w:pPr>
        <w:spacing w:after="0"/>
        <w:tabs>
          <w:tab w:leader="none" w:pos="3140" w:val="left"/>
          <w:tab w:leader="none" w:pos="3940" w:val="left"/>
        </w:tabs>
        <w:rPr>
          <w:sz w:val="20"/>
          <w:szCs w:val="20"/>
          <w:color w:val="auto"/>
        </w:rPr>
      </w:pPr>
      <w:r>
        <w:rPr>
          <w:rFonts w:ascii="Courier New" w:cs="Courier New" w:eastAsia="Courier New" w:hAnsi="Courier New"/>
          <w:sz w:val="15"/>
          <w:szCs w:val="15"/>
          <w:color w:val="auto"/>
        </w:rPr>
        <w:t>January 30, 1999</w:t>
      </w:r>
      <w:r>
        <w:rPr>
          <w:sz w:val="20"/>
          <w:szCs w:val="20"/>
          <w:color w:val="auto"/>
        </w:rPr>
        <w:tab/>
      </w: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4"/>
          <w:szCs w:val="14"/>
          <w:color w:val="auto"/>
        </w:rPr>
        <w:t>Low</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line="169" w:lineRule="exact"/>
              <w:rPr>
                <w:sz w:val="20"/>
                <w:szCs w:val="20"/>
                <w:color w:val="auto"/>
              </w:rPr>
            </w:pPr>
            <w:r>
              <w:rPr>
                <w:rFonts w:ascii="Courier New" w:cs="Courier New" w:eastAsia="Courier New" w:hAnsi="Courier New"/>
                <w:sz w:val="15"/>
                <w:szCs w:val="15"/>
                <w:color w:val="auto"/>
              </w:rPr>
              <w:t>First Quarter</w:t>
            </w:r>
          </w:p>
        </w:tc>
        <w:tc>
          <w:tcPr>
            <w:tcW w:w="920" w:type="dxa"/>
            <w:vAlign w:val="bottom"/>
          </w:tcPr>
          <w:p>
            <w:pPr>
              <w:ind w:left="780"/>
              <w:spacing w:after="0" w:line="169" w:lineRule="exact"/>
              <w:rPr>
                <w:sz w:val="20"/>
                <w:szCs w:val="20"/>
                <w:color w:val="auto"/>
              </w:rPr>
            </w:pPr>
            <w:r>
              <w:rPr>
                <w:rFonts w:ascii="Courier New" w:cs="Courier New" w:eastAsia="Courier New" w:hAnsi="Courier New"/>
                <w:sz w:val="15"/>
                <w:szCs w:val="15"/>
                <w:color w:val="auto"/>
              </w:rPr>
              <w:t>2</w:t>
            </w:r>
          </w:p>
        </w:tc>
        <w:tc>
          <w:tcPr>
            <w:tcW w:w="56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3/4</w:t>
            </w:r>
          </w:p>
        </w:tc>
        <w:tc>
          <w:tcPr>
            <w:tcW w:w="22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1</w:t>
            </w:r>
          </w:p>
        </w:tc>
        <w:tc>
          <w:tcPr>
            <w:tcW w:w="50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rPr>
              <w:t>7/8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920" w:type="dxa"/>
            <w:vAlign w:val="bottom"/>
          </w:tcPr>
          <w:p>
            <w:pPr>
              <w:ind w:left="780"/>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920" w:type="dxa"/>
            <w:vAlign w:val="bottom"/>
          </w:tcPr>
          <w:p>
            <w:pPr>
              <w:ind w:left="780"/>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11/32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920" w:type="dxa"/>
            <w:vAlign w:val="bottom"/>
          </w:tcPr>
          <w:p>
            <w:pPr>
              <w:ind w:left="780"/>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13/16</w:t>
            </w:r>
          </w:p>
        </w:tc>
        <w:tc>
          <w:tcPr>
            <w:tcW w:w="22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5/8</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Fiscal Year Ending</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January 31, 1998</w:t>
            </w:r>
          </w:p>
        </w:tc>
        <w:tc>
          <w:tcPr>
            <w:tcW w:w="148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High</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Low</w:t>
            </w:r>
          </w:p>
        </w:tc>
      </w:tr>
    </w:tbl>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1/4</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3/4</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1/16</w:t>
            </w:r>
          </w:p>
        </w:tc>
      </w:tr>
    </w:tbl>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As of April 28, 1999, based upon data provided by independent shareholder communication services and the transfer agent for the common stock, there were approximately 377 holders of record of common stock and 5677 beneficial holders of common stock.</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 Company currently pays no cash dividends on its Common Stock. For a description of financial covenants in the Company's loan agreement that may restrict dividend payments, see Note D of Notes to Consolidated Financial Statements.</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Years Ended (1)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3480" w:type="dxa"/>
            <w:vAlign w:val="bottom"/>
          </w:tcPr>
          <w:p>
            <w:pPr>
              <w:spacing w:after="0"/>
              <w:rPr>
                <w:sz w:val="24"/>
                <w:szCs w:val="24"/>
                <w:color w:val="auto"/>
              </w:rPr>
            </w:pP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January 30,</w:t>
            </w:r>
          </w:p>
        </w:tc>
        <w:tc>
          <w:tcPr>
            <w:tcW w:w="1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January 31,</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4"/>
              </w:rPr>
              <w:t>February 1,</w:t>
            </w: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February 3,</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January 28,</w:t>
            </w:r>
          </w:p>
        </w:tc>
      </w:tr>
      <w:tr>
        <w:trPr>
          <w:trHeight w:val="170"/>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10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6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PER SHARE AND OPERATING DATA)</w:t>
            </w:r>
          </w:p>
        </w:tc>
        <w:tc>
          <w:tcPr>
            <w:tcW w:w="880" w:type="dxa"/>
            <w:vAlign w:val="bottom"/>
          </w:tcPr>
          <w:p>
            <w:pPr>
              <w:spacing w:after="0"/>
              <w:rPr>
                <w:sz w:val="14"/>
                <w:szCs w:val="14"/>
                <w:color w:val="auto"/>
              </w:rPr>
            </w:pPr>
          </w:p>
        </w:tc>
      </w:tr>
      <w:tr>
        <w:trPr>
          <w:trHeight w:val="509"/>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201,634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265,726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289,593</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301,074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265,910</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Gross profit, net of occupancy costs</w:t>
            </w:r>
          </w:p>
        </w:tc>
        <w:tc>
          <w:tcPr>
            <w:tcW w:w="52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42,249</w:t>
            </w:r>
          </w:p>
        </w:tc>
        <w:tc>
          <w:tcPr>
            <w:tcW w:w="360" w:type="dxa"/>
            <w:vAlign w:val="bottom"/>
          </w:tcPr>
          <w:p>
            <w:pPr>
              <w:spacing w:after="0"/>
              <w:rPr>
                <w:sz w:val="14"/>
                <w:szCs w:val="1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38,358(3)</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86,229</w:t>
            </w:r>
          </w:p>
        </w:tc>
        <w:tc>
          <w:tcPr>
            <w:tcW w:w="26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89,085</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84,126</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Pre-tax income (loss)</w:t>
            </w:r>
          </w:p>
        </w:tc>
        <w:tc>
          <w:tcPr>
            <w:tcW w:w="520" w:type="dxa"/>
            <w:vAlign w:val="bottom"/>
          </w:tcPr>
          <w:p>
            <w:pPr>
              <w:spacing w:after="0"/>
              <w:rPr>
                <w:sz w:val="14"/>
                <w:szCs w:val="14"/>
                <w:color w:val="auto"/>
              </w:rPr>
            </w:pP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(30,962)(2)</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(46,885)(3)</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10,859</w:t>
            </w:r>
          </w:p>
        </w:tc>
        <w:tc>
          <w:tcPr>
            <w:tcW w:w="260" w:type="dxa"/>
            <w:vAlign w:val="bottom"/>
          </w:tcPr>
          <w:p>
            <w:pPr>
              <w:spacing w:after="0"/>
              <w:rPr>
                <w:sz w:val="14"/>
                <w:szCs w:val="14"/>
                <w:color w:val="auto"/>
              </w:rPr>
            </w:pP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16,940(4)</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28,399(4)</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520" w:type="dxa"/>
            <w:vAlign w:val="bottom"/>
          </w:tcPr>
          <w:p>
            <w:pPr>
              <w:spacing w:after="0"/>
              <w:rPr>
                <w:sz w:val="14"/>
                <w:szCs w:val="14"/>
                <w:color w:val="auto"/>
              </w:rPr>
            </w:pP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(18,541)</w:t>
            </w:r>
          </w:p>
        </w:tc>
        <w:tc>
          <w:tcPr>
            <w:tcW w:w="360" w:type="dxa"/>
            <w:vAlign w:val="bottom"/>
          </w:tcPr>
          <w:p>
            <w:pPr>
              <w:spacing w:after="0"/>
              <w:rPr>
                <w:sz w:val="14"/>
                <w:szCs w:val="1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9"/>
              </w:rPr>
              <w:t>(29,063)</w:t>
            </w:r>
          </w:p>
        </w:tc>
        <w:tc>
          <w:tcPr>
            <w:tcW w:w="2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6,254</w:t>
            </w:r>
          </w:p>
        </w:tc>
        <w:tc>
          <w:tcPr>
            <w:tcW w:w="26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9,773</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16,903</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Earnings pershare- basic</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0.40</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Earnings pershare- diluted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0.40</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Weighted average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38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earnings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 share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-basic</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15,810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15,649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15,755</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15,770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15,914</w:t>
            </w: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Weighted average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shares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38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w w:val="99"/>
              </w:rPr>
              <w:t>earnings</w:t>
            </w:r>
          </w:p>
        </w:tc>
        <w:tc>
          <w:tcPr>
            <w:tcW w:w="24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pershare -diluted</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15,810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15,649</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15,833</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15,898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16,121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Working capital</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24,078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42,104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72,320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64,557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55,725</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57,925</w:t>
            </w:r>
          </w:p>
        </w:tc>
        <w:tc>
          <w:tcPr>
            <w:tcW w:w="4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54,972</w:t>
            </w:r>
          </w:p>
        </w:tc>
        <w:tc>
          <w:tcPr>
            <w:tcW w:w="3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79,958</w:t>
            </w:r>
          </w:p>
        </w:tc>
        <w:tc>
          <w:tcPr>
            <w:tcW w:w="3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58,008</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52,649</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17,788</w:t>
            </w:r>
          </w:p>
        </w:tc>
        <w:tc>
          <w:tcPr>
            <w:tcW w:w="4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35,307</w:t>
            </w:r>
          </w:p>
        </w:tc>
        <w:tc>
          <w:tcPr>
            <w:tcW w:w="3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39,216</w:t>
            </w:r>
          </w:p>
        </w:tc>
        <w:tc>
          <w:tcPr>
            <w:tcW w:w="3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36,083</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26,503</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99,317</w:t>
            </w:r>
          </w:p>
        </w:tc>
        <w:tc>
          <w:tcPr>
            <w:tcW w:w="4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116,399</w:t>
            </w:r>
          </w:p>
        </w:tc>
        <w:tc>
          <w:tcPr>
            <w:tcW w:w="3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141,760</w:t>
            </w:r>
          </w:p>
        </w:tc>
        <w:tc>
          <w:tcPr>
            <w:tcW w:w="3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132,649</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127,295</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Long-term</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debt (5)</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4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3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3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63,956</w:t>
            </w:r>
          </w:p>
        </w:tc>
        <w:tc>
          <w:tcPr>
            <w:tcW w:w="4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82,380</w:t>
            </w:r>
          </w:p>
        </w:tc>
        <w:tc>
          <w:tcPr>
            <w:tcW w:w="3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111,045</w:t>
            </w:r>
          </w:p>
        </w:tc>
        <w:tc>
          <w:tcPr>
            <w:tcW w:w="3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106,085</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95,702</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OPERATING</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DATA:</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per square foot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Number of</w:t>
            </w:r>
          </w:p>
        </w:tc>
        <w:tc>
          <w:tcPr>
            <w:tcW w:w="2880" w:type="dxa"/>
            <w:vAlign w:val="bottom"/>
          </w:tcPr>
          <w:p>
            <w:pPr>
              <w:ind w:left="60"/>
              <w:spacing w:after="0"/>
              <w:rPr>
                <w:sz w:val="20"/>
                <w:szCs w:val="20"/>
                <w:color w:val="auto"/>
              </w:rPr>
            </w:pPr>
            <w:r>
              <w:rPr>
                <w:rFonts w:ascii="Courier New" w:cs="Courier New" w:eastAsia="Courier New" w:hAnsi="Courier New"/>
                <w:sz w:val="15"/>
                <w:szCs w:val="15"/>
                <w:color w:val="auto"/>
              </w:rPr>
              <w:t>stores open at fiscal year end</w:t>
            </w:r>
          </w:p>
        </w:tc>
        <w:tc>
          <w:tcPr>
            <w:tcW w:w="3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w:t>
            </w:r>
          </w:p>
        </w:tc>
        <w:tc>
          <w:tcPr>
            <w:tcW w:w="48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w:t>
            </w:r>
          </w:p>
        </w:tc>
        <w:tc>
          <w:tcPr>
            <w:tcW w:w="36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30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bl>
    <w:p>
      <w:pPr>
        <w:spacing w:after="0" w:line="344" w:lineRule="exact"/>
        <w:rPr>
          <w:sz w:val="20"/>
          <w:szCs w:val="20"/>
          <w:color w:val="auto"/>
        </w:rPr>
      </w:pPr>
    </w:p>
    <w:p>
      <w:pPr>
        <w:ind w:left="530" w:right="3360" w:hanging="530"/>
        <w:spacing w:after="0" w:line="237" w:lineRule="auto"/>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is a 52 or 53 week period ending on the Saturday closest to January 31. The fiscal year ended February 3, 1996 covered 53 weeks.</w:t>
      </w:r>
    </w:p>
    <w:p>
      <w:pPr>
        <w:spacing w:after="0" w:line="174" w:lineRule="exact"/>
        <w:rPr>
          <w:rFonts w:ascii="Courier New" w:cs="Courier New" w:eastAsia="Courier New" w:hAnsi="Courier New"/>
          <w:sz w:val="15"/>
          <w:szCs w:val="15"/>
          <w:color w:val="auto"/>
        </w:rPr>
      </w:pPr>
    </w:p>
    <w:p>
      <w:pPr>
        <w:ind w:left="530" w:right="3360" w:hanging="530"/>
        <w:spacing w:after="0" w:line="238" w:lineRule="auto"/>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loss for fiscal 1998 includes the $13.4 million charge taken in the third quarter related to closing 30 unprofitable stores. Also included in the pre-tax loss for fiscal 1998 is the $5.2 million charge related to the closing of one Designs store, three BTC(TM) stores and four Boston Traders(R) outlet stores, all eight of which are expected to be closed by the end of the first quarter of fiscal 1999. In addition, the Company recognized $2.9 million in restructuring income in the fourth quarter which was the result of favorable lease negotiations associated with the original estimated $13.4 million charge.</w:t>
      </w:r>
    </w:p>
    <w:p>
      <w:pPr>
        <w:spacing w:after="0" w:line="178" w:lineRule="exact"/>
        <w:rPr>
          <w:rFonts w:ascii="Courier New" w:cs="Courier New" w:eastAsia="Courier New" w:hAnsi="Courier New"/>
          <w:sz w:val="15"/>
          <w:szCs w:val="15"/>
          <w:color w:val="auto"/>
        </w:rPr>
      </w:pPr>
    </w:p>
    <w:p>
      <w:pPr>
        <w:ind w:left="530" w:right="3360" w:hanging="530"/>
        <w:spacing w:after="0" w:line="237" w:lineRule="auto"/>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Pre-tax loss for fiscal 1997 includes the $20 million charge taken in the second quarter related to the Company's strategy shift and the fourth quarter charge of $1.6 million for the Company's reduction in work force. Of the $20 million charge, $13.9 million or 5.2% of sales, is reflected in gross margin.</w:t>
      </w:r>
    </w:p>
    <w:p>
      <w:pPr>
        <w:spacing w:after="0" w:line="178" w:lineRule="exact"/>
        <w:rPr>
          <w:rFonts w:ascii="Courier New" w:cs="Courier New" w:eastAsia="Courier New" w:hAnsi="Courier New"/>
          <w:sz w:val="15"/>
          <w:szCs w:val="15"/>
          <w:color w:val="auto"/>
        </w:rPr>
      </w:pPr>
    </w:p>
    <w:p>
      <w:pPr>
        <w:ind w:left="530" w:right="3360" w:hanging="530"/>
        <w:spacing w:after="0" w:line="237" w:lineRule="auto"/>
        <w:tabs>
          <w:tab w:leader="none" w:pos="5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 million and $3.2 million of non-recurring income related to the fiscal 1993 restructuring program recognized in the fiscal years ended February 3, 1996 and January 28, 1995, respectively.</w:t>
      </w:r>
    </w:p>
    <w:p>
      <w:pPr>
        <w:spacing w:after="0" w:line="174" w:lineRule="exact"/>
        <w:rPr>
          <w:rFonts w:ascii="Courier New" w:cs="Courier New" w:eastAsia="Courier New" w:hAnsi="Courier New"/>
          <w:sz w:val="15"/>
          <w:szCs w:val="15"/>
          <w:color w:val="auto"/>
        </w:rPr>
      </w:pPr>
    </w:p>
    <w:p>
      <w:pPr>
        <w:ind w:left="530" w:right="3360" w:hanging="530"/>
        <w:spacing w:after="0" w:line="260" w:lineRule="auto"/>
        <w:tabs>
          <w:tab w:leader="none" w:pos="53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 portion of long-term debt. Fiscal 1998, 1997, 1996 and 1995 include a $1 million promissory note issued in conjunction with the acquisition of certain assets of Boston Trading Ltd., Inc. on May 2, 1995.</w:t>
      </w:r>
    </w:p>
    <w:p>
      <w:pPr>
        <w:spacing w:after="0" w:line="327"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410"/>
          </w:cols>
          <w:pgMar w:left="230" w:top="622" w:right="1259" w:bottom="1440" w:gutter="0" w:footer="0" w:header="0"/>
        </w:sectPr>
      </w:pPr>
    </w:p>
    <w:bookmarkStart w:id="14" w:name="page15"/>
    <w:bookmarkEnd w:id="14"/>
    <w:p>
      <w:pPr>
        <w:ind w:left="10"/>
        <w:spacing w:after="0"/>
        <w:rPr>
          <w:sz w:val="20"/>
          <w:szCs w:val="20"/>
          <w:color w:val="auto"/>
        </w:rPr>
      </w:pPr>
      <w:r>
        <w:rPr>
          <w:rFonts w:ascii="Courier New" w:cs="Courier New" w:eastAsia="Courier New" w:hAnsi="Courier New"/>
          <w:sz w:val="15"/>
          <w:szCs w:val="15"/>
          <w:color w:val="auto"/>
        </w:rPr>
        <w:t>Item 7. Management's Discussion and Analysis of Financial Condition</w:t>
      </w:r>
    </w:p>
    <w:p>
      <w:pPr>
        <w:ind w:left="710"/>
        <w:spacing w:after="0"/>
        <w:rPr>
          <w:sz w:val="20"/>
          <w:szCs w:val="20"/>
          <w:color w:val="auto"/>
        </w:rPr>
      </w:pPr>
      <w:r>
        <w:rPr>
          <w:rFonts w:ascii="Courier New" w:cs="Courier New" w:eastAsia="Courier New" w:hAnsi="Courier New"/>
          <w:sz w:val="15"/>
          <w:szCs w:val="15"/>
          <w:color w:val="auto"/>
        </w:rPr>
        <w:t>and Results of Operations</w:t>
      </w:r>
    </w:p>
    <w:p>
      <w:pPr>
        <w:spacing w:after="0" w:line="174" w:lineRule="exact"/>
        <w:rPr>
          <w:sz w:val="20"/>
          <w:szCs w:val="20"/>
          <w:color w:val="auto"/>
        </w:rPr>
      </w:pPr>
    </w:p>
    <w:p>
      <w:pPr>
        <w:ind w:left="10" w:right="4320"/>
        <w:spacing w:after="0" w:line="237" w:lineRule="auto"/>
        <w:rPr>
          <w:sz w:val="20"/>
          <w:szCs w:val="20"/>
          <w:color w:val="auto"/>
        </w:rPr>
      </w:pPr>
      <w:r>
        <w:rPr>
          <w:rFonts w:ascii="Courier New" w:cs="Courier New" w:eastAsia="Courier New" w:hAnsi="Courier New"/>
          <w:sz w:val="15"/>
          <w:szCs w:val="15"/>
          <w:color w:val="auto"/>
        </w:rPr>
        <w:t>The following table provides a five-year history of the total sales results of the Company, together with a summary of the number of stores in operation and the change in the Company's comparable store sales. "Changes in comparable store sales" measures the percentage change in sales in comparable stores, which are those stores open for at least one full fiscal year.</w:t>
      </w:r>
    </w:p>
    <w:p>
      <w:pPr>
        <w:spacing w:after="0" w:line="200" w:lineRule="exact"/>
        <w:rPr>
          <w:sz w:val="20"/>
          <w:szCs w:val="20"/>
          <w:color w:val="auto"/>
        </w:rPr>
      </w:pPr>
    </w:p>
    <w:p>
      <w:pPr>
        <w:spacing w:after="0" w:line="312" w:lineRule="exact"/>
        <w:rPr>
          <w:sz w:val="20"/>
          <w:szCs w:val="20"/>
          <w:color w:val="auto"/>
        </w:rPr>
      </w:pPr>
    </w:p>
    <w:tbl>
      <w:tblPr>
        <w:tblLayout w:type="fixed"/>
        <w:tblInd w:w="521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860" w:type="dxa"/>
            <w:vAlign w:val="bottom"/>
            <w:gridSpan w:val="2"/>
          </w:tcPr>
          <w:p>
            <w:pPr>
              <w:ind w:left="920"/>
              <w:spacing w:after="0"/>
              <w:rPr>
                <w:sz w:val="20"/>
                <w:szCs w:val="20"/>
                <w:color w:val="auto"/>
              </w:rPr>
            </w:pPr>
            <w:r>
              <w:rPr>
                <w:rFonts w:ascii="Courier New" w:cs="Courier New" w:eastAsia="Courier New" w:hAnsi="Courier New"/>
                <w:sz w:val="15"/>
                <w:szCs w:val="15"/>
                <w:color w:val="auto"/>
                <w:w w:val="96"/>
              </w:rPr>
              <w:t>FISCAL YEARS ENDED (1)</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980" w:type="dxa"/>
            <w:vAlign w:val="bottom"/>
            <w:gridSpan w:val="5"/>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Jan. 30,</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Jan. 31,</w:t>
            </w:r>
          </w:p>
        </w:tc>
        <w:tc>
          <w:tcPr>
            <w:tcW w:w="15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Feb.1,</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Feb. 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Jan. 28,</w:t>
            </w:r>
          </w:p>
        </w:tc>
      </w:tr>
      <w:tr>
        <w:trPr>
          <w:trHeight w:val="170"/>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1997</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(Fiscal</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1997)</w:t>
            </w:r>
          </w:p>
        </w:tc>
        <w:tc>
          <w:tcPr>
            <w:tcW w:w="15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Total Sales (In Thousands)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$ 201,634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$ 265,726</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$ 289,593</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$ 301,074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$ 265,910</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w w:val="99"/>
              </w:rPr>
              <w:t>Number of stores in operation at end of the fiscal year:</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Store Type</w:t>
            </w: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Designs and BTC(TM)</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Levi's(R) Outlet and Dockers(R) Outlet by Designs(2)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Buffalo Jeans(R) Factory Stores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Boston Trading Co.(R)</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Boston Traders(R) outlets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Joint Venture:</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Original Levi's Stores(R)(2)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r>
      <w:tr>
        <w:trPr>
          <w:trHeight w:val="170"/>
        </w:trPr>
        <w:tc>
          <w:tcPr>
            <w:tcW w:w="5060" w:type="dxa"/>
            <w:vAlign w:val="bottom"/>
          </w:tcPr>
          <w:p>
            <w:pPr>
              <w:ind w:left="160"/>
              <w:spacing w:after="0"/>
              <w:rPr>
                <w:sz w:val="20"/>
                <w:szCs w:val="20"/>
                <w:color w:val="auto"/>
              </w:rPr>
            </w:pPr>
            <w:r>
              <w:rPr>
                <w:rFonts w:ascii="Courier New" w:cs="Courier New" w:eastAsia="Courier New" w:hAnsi="Courier New"/>
                <w:sz w:val="15"/>
                <w:szCs w:val="15"/>
                <w:color w:val="auto"/>
              </w:rPr>
              <w:t>Levi's(R) Outlet stores(2)</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1140" w:type="dxa"/>
            <w:vAlign w:val="bottom"/>
          </w:tcPr>
          <w:p>
            <w:pPr>
              <w:spacing w:after="0"/>
              <w:rPr>
                <w:sz w:val="14"/>
                <w:szCs w:val="14"/>
                <w:color w:val="auto"/>
              </w:rPr>
            </w:pPr>
          </w:p>
        </w:tc>
      </w:tr>
      <w:tr>
        <w:trPr>
          <w:trHeight w:val="170"/>
        </w:trPr>
        <w:tc>
          <w:tcPr>
            <w:tcW w:w="5060" w:type="dxa"/>
            <w:vAlign w:val="bottom"/>
          </w:tcPr>
          <w:p>
            <w:pPr>
              <w:spacing w:after="0"/>
              <w:rPr>
                <w:sz w:val="14"/>
                <w:szCs w:val="14"/>
                <w:color w:val="auto"/>
              </w:rPr>
            </w:pPr>
          </w:p>
        </w:tc>
        <w:tc>
          <w:tcPr>
            <w:tcW w:w="630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Total stores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Comparable stores</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w:t>
            </w:r>
          </w:p>
        </w:tc>
      </w:tr>
      <w:tr>
        <w:trPr>
          <w:trHeight w:val="339"/>
        </w:trPr>
        <w:tc>
          <w:tcPr>
            <w:tcW w:w="5060" w:type="dxa"/>
            <w:vAlign w:val="bottom"/>
          </w:tcPr>
          <w:p>
            <w:pPr>
              <w:spacing w:after="0"/>
              <w:rPr>
                <w:sz w:val="20"/>
                <w:szCs w:val="20"/>
                <w:color w:val="auto"/>
              </w:rPr>
            </w:pPr>
            <w:r>
              <w:rPr>
                <w:rFonts w:ascii="Courier New" w:cs="Courier New" w:eastAsia="Courier New" w:hAnsi="Courier New"/>
                <w:sz w:val="15"/>
                <w:szCs w:val="15"/>
                <w:color w:val="auto"/>
              </w:rPr>
              <w:t>Changes in total sales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5060" w:type="dxa"/>
            <w:vAlign w:val="bottom"/>
          </w:tcPr>
          <w:p>
            <w:pPr>
              <w:spacing w:after="0"/>
              <w:rPr>
                <w:sz w:val="20"/>
                <w:szCs w:val="20"/>
                <w:color w:val="auto"/>
              </w:rPr>
            </w:pPr>
            <w:r>
              <w:rPr>
                <w:rFonts w:ascii="Courier New" w:cs="Courier New" w:eastAsia="Courier New" w:hAnsi="Courier New"/>
                <w:sz w:val="15"/>
                <w:szCs w:val="15"/>
                <w:color w:val="auto"/>
              </w:rPr>
              <w:t>Changes in comparable store sales</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344" w:lineRule="exact"/>
        <w:rPr>
          <w:sz w:val="20"/>
          <w:szCs w:val="20"/>
          <w:color w:val="auto"/>
        </w:rPr>
      </w:pPr>
    </w:p>
    <w:p>
      <w:pPr>
        <w:ind w:left="530" w:right="4320" w:hanging="530"/>
        <w:spacing w:after="0" w:line="237" w:lineRule="auto"/>
        <w:tabs>
          <w:tab w:leader="none" w:pos="5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is a 52 or 53 week period ending on the Saturday closest to January 31. The fiscal year ended February 3, 1996 covered 53 weeks. Comparable store sales for fiscal 1996 were based upon 52-week comparisons.</w:t>
      </w:r>
    </w:p>
    <w:p>
      <w:pPr>
        <w:spacing w:after="0" w:line="176" w:lineRule="exact"/>
        <w:rPr>
          <w:rFonts w:ascii="Courier New" w:cs="Courier New" w:eastAsia="Courier New" w:hAnsi="Courier New"/>
          <w:sz w:val="15"/>
          <w:szCs w:val="15"/>
          <w:color w:val="auto"/>
        </w:rPr>
      </w:pPr>
    </w:p>
    <w:p>
      <w:pPr>
        <w:ind w:left="530" w:right="4320" w:hanging="530"/>
        <w:spacing w:after="0" w:line="257" w:lineRule="auto"/>
        <w:tabs>
          <w:tab w:leader="none" w:pos="53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fiscal 1998, the Company and Levi Strauss &amp; Co. agreed to dissolve and wind up the Joint Venture between subsidiaries of the two companies. As part of the dissolution process, on October 31, 1998, the Joint Venture distributed 11 Levi's(R) Outlet stores to the Company and three Original Levi's Stores(R) to Levi's Only Stores, Inc., a wholly-owned subsidiary of Levi Strauss &amp; Co. The remaining eight Original Levi's Stores(R) owned by the Joint Venture were closed by the end of fiscal 1998. On September 30, 1998, the Company acquired from Levi's Only Stores, Inc. 16 Dockers(R) Outlet stores and nine Levi's(R) Outlet stores.</w:t>
      </w:r>
    </w:p>
    <w:p>
      <w:pPr>
        <w:spacing w:after="0" w:line="331"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370"/>
          </w:cols>
          <w:pgMar w:left="230" w:top="622" w:right="29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OUTLET STORE EXPANSION, JOINT VENTURE WIND UP AND UNPROFITABLE STORE CLOSINGS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During fiscal 1998, the Company completed the following transactions that narrowed the Company's business to one focused on its Levi's(R) and Dockers(R) Outlet by Designs Stores.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September 30, 1998, the Company purchased 16 Dockers(R) Outlet stores and nine Levi's(R) Outlet stores from a subsidiary of Levi Strauss &amp; Co. for approximately $9.7 million. These 25 stores have generated $7.7 million in sales for the four month period ended January 30, 1999. The Company believes, barring unforeseen circumstances, that this group of stores will produce approximately $2.8 million in earnings and $3.6 million in cash flow in fiscal 1999. The acquisition included the purchase of $5.1 million of inventory and $4.6 million of fixed assets associated with these stores. The Company also assumed the real estate leases associated with these stores. The Company sees opportunities to improve the performance of the 25 stores as these stores are integrated into its existing store operations, thereby leveraging the Company's existing outlet store infrastructure in areas such as store operating and payroll expenses.</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Also during the third quarter of fiscal 1998, the Company and Levi Strauss &amp; Co. agreed to dissolve and wind up the Joint Venture between subsidiaries of the two companies (the "OLS Partnership"). As part of the dissolution process, on October 31, 1998, the joint venture distributed 11 Levi's(R) Outlet stores to the Company with a net book value of approximately $6.4 million. The 11 Levi's(R) Outlet stores generated a total of approximately $751,000 in earnings and $1.3 million in cash flow throughout all of fiscal year 1998. The Company believes, barring unforeseen circumstances, that this group of stores will produce approximately $1.0 million in earnings and $1.5 million in cash flow in fiscal 1999. Since the Company previously owned only a 70% interest in these stores, the only pro-forma adjustment for future earnings is the additional 30% of earnings and cash flow that will be derived from these stores, which are now wholly-owned by the Company.</w:t>
      </w:r>
    </w:p>
    <w:p>
      <w:pPr>
        <w:spacing w:after="0" w:line="18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addition, the Joint Venture distributed to LDJV Inc., a subsidiary of Levi's Only Stores, Inc., three Original Levi's Stores(R) located in New York City and Boston, Massachusetts. The net book value of these distributed stores was approximately $5.5 million, which was greater than LDJV Inc.'s equity ownership in the Joint Venture. Consequently, LDJV Inc. made a $2.9 million capital contribution to the Joint Venture on October 31, 1998. These three Original Levi's Stores(TM) represented approximately $20 million in sales annually. These stores had annual earnings and cash flows of approximately $1.9 million and $3.0 million, respectively, of which the Company's 70% interest in these stores was approximately $1.3 million and $2.1 million, respectively.</w:t>
      </w:r>
    </w:p>
    <w:p>
      <w:pPr>
        <w:spacing w:after="0" w:line="16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part of the termination of its operations, the Joint Venture closed eight remaining Original Levi's Stores(R) through negotiated lease terminations and expirations. The Joint Venture recorded a charge in connection with these store closings, which is discussed below. The Company anticipates that the Joint Venture will have sufficient cash to satisfy its remaining obligations. However, if the Joint Venture does not have sufficient cash to pay its obligations, the Company would be required to contribute additional funds in proportion to its 70% partnership interest.</w:t>
      </w:r>
    </w:p>
    <w:p>
      <w:pPr>
        <w:spacing w:after="0" w:line="178"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During the third quarter of fiscal 1998, the Company also announced its plans to close 14 unprofitable Designs stores and eight unprofitable Boston Trading Co.(R)/BTC(TM) stores through lease terminations and expirations. This store closing strategy resulted in the Company recording a pre-tax charge of $13.4 million, or $0.47 per share after tax, related to the closing of 14 Designs stores, eight Boston Trading Co.(R)/BTC(TM) and the eight Original Levi's Stores(R) owned by the Joint Venture. The total revised estimated cost to close these stores is $10.5 million, which is $2.9 million less than the original charge, primarily due to favorable landlord negotiations on lease termination payments. As a result, the Company recognized pre-tax income of $2.9 million, or $0.06 per share, in the fourth quarter of fiscal 1998. Total estimated cash costs are $4.2 million related to lease terminations, employee severance and other related expenses. The remainder of the $10.5 million charge consists of non-cash costs of approximately $6.3 million in store fixed asset write-offs. All of these stores were closed by the end of fiscal 1998. At January 30, 1999, the remaining reserve balance related to these store closings is $1.9 million which primarily relates to landlord settlements and severance payments that will be paid in fiscal 1999.</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6" w:name="page17"/>
    <w:bookmarkEnd w:id="16"/>
    <w:p>
      <w:pPr>
        <w:ind w:left="10" w:right="3179"/>
        <w:spacing w:after="0" w:line="257" w:lineRule="auto"/>
        <w:rPr>
          <w:sz w:val="20"/>
          <w:szCs w:val="20"/>
          <w:color w:val="auto"/>
        </w:rPr>
      </w:pPr>
      <w:r>
        <w:rPr>
          <w:rFonts w:ascii="Courier New" w:cs="Courier New" w:eastAsia="Courier New" w:hAnsi="Courier New"/>
          <w:sz w:val="14"/>
          <w:szCs w:val="14"/>
          <w:color w:val="auto"/>
        </w:rPr>
        <w:t>During the fourth quarter of fiscal 1998, the Company recorded additional store closing and severance reserves of $5.2 million, or $0.20 per share, related to the decision to close three BTC(TM) mall stores, one Designs mall store, and four Boston Traders(R) Outlet stores and to further reduce corporate headcount. This pre-tax charge included cash costs of approximately $2.9 million related to lease terminations and corporate severance, and $2.3 million of non-cash costs related to store fixed asset write-offs and markdowns.</w:t>
      </w:r>
    </w:p>
    <w:p>
      <w:pPr>
        <w:spacing w:after="0" w:line="167" w:lineRule="exact"/>
        <w:rPr>
          <w:sz w:val="20"/>
          <w:szCs w:val="20"/>
          <w:color w:val="auto"/>
        </w:rPr>
      </w:pPr>
    </w:p>
    <w:p>
      <w:pPr>
        <w:jc w:val="both"/>
        <w:ind w:left="10" w:right="3359"/>
        <w:spacing w:after="0" w:line="260" w:lineRule="auto"/>
        <w:rPr>
          <w:sz w:val="20"/>
          <w:szCs w:val="20"/>
          <w:color w:val="auto"/>
        </w:rPr>
      </w:pPr>
      <w:r>
        <w:rPr>
          <w:rFonts w:ascii="Courier New" w:cs="Courier New" w:eastAsia="Courier New" w:hAnsi="Courier New"/>
          <w:sz w:val="14"/>
          <w:szCs w:val="14"/>
          <w:color w:val="auto"/>
        </w:rPr>
        <w:t>The combined earnings and cash flow benefits of these third and fourth quarter charges are expected, barring unforeseen circumstances, to be $8.5 million and $13.8 million, respectively, for each of the fiscal years 1999 and 2000.</w:t>
      </w:r>
    </w:p>
    <w:p>
      <w:pPr>
        <w:spacing w:after="0" w:line="163" w:lineRule="exact"/>
        <w:rPr>
          <w:sz w:val="20"/>
          <w:szCs w:val="20"/>
          <w:color w:val="auto"/>
        </w:rPr>
      </w:pPr>
    </w:p>
    <w:p>
      <w:pPr>
        <w:ind w:left="10" w:right="3179"/>
        <w:spacing w:after="0" w:line="239" w:lineRule="auto"/>
        <w:rPr>
          <w:sz w:val="20"/>
          <w:szCs w:val="20"/>
          <w:color w:val="auto"/>
        </w:rPr>
      </w:pPr>
      <w:r>
        <w:rPr>
          <w:rFonts w:ascii="Courier New" w:cs="Courier New" w:eastAsia="Courier New" w:hAnsi="Courier New"/>
          <w:sz w:val="15"/>
          <w:szCs w:val="15"/>
          <w:color w:val="auto"/>
        </w:rPr>
        <w:t>On October 31, 1998 the Company and Levi Strauss &amp; Co. amended the trademark license agreement (as amended, the "Outlet License Agreement") that authorizes the Company to use certain Levi Strauss &amp; Co. trademarks in connection with the operation of the Company's Levi's(R) Outlet by Designs and Dockers(R) Outlet by Designs stores in 25 states in the eastern portion of the United States. Subject to certain default provisions, the term of the Outlet License Agreement was extended to September 30, 2004, and the license for any particular store is the period co-terminous with the lease term for such store (including extension options).The Outlet License Agreement now provides that the Company has the opportunity to extend the term of the license associated with one or more of the Company's older Levi's(R) Outlet by Designs stores by either renovating the store or replacing the store with a new store with an updated format and fixturing. In order to extend the license associated with each of the Company's 59 older outlet stores, the Company must, subject to certain grace periods, complete these renovations or the construction of replacement stores by December 31, 2004. As leases expire, the Company may lose the right to use the Levi's(R) trademark in connection with certain Levi's(R) Outlet by Designs stores unless the store is either renovated or replaced as described above. At January 30, 1999, the average remaining lease term (including extension options) of the Company's Levi's(R) Outlet by Designs and Dockers(R) Outlet by Designs stores was approximately 9.5 years.</w:t>
      </w:r>
    </w:p>
    <w:p>
      <w:pPr>
        <w:spacing w:after="0" w:line="176"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The Company, with the approval of Levi Strauss &amp; Co., initiated a program to remodel or replace its 59 oldest Levi's(R) Outlet by Designs stores beginning in fiscal 1998. The Company intends, barring unforseen circumstances, to move, remodel or replace these stores over the next five years beginning in fiscal 1999. To date, the Company has closed one of its older 59 Levi's(R) Outlet by Designs stores and opened three new Levi's(R)/Dockers(R) Outlet by Designs stores.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Recent Developments</w:t>
      </w:r>
    </w:p>
    <w:p>
      <w:pPr>
        <w:spacing w:after="0" w:line="175"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On December 7, 1998, a consent with respect to 1,570,200 shares of Common Stock executed on behalf of Jewelcor Management, Inc., a Nevada corporation ("Jewelcor"), and its controlling shareholder, Seymour Holtzman, was delivered to the Company for the purpose of removing and replacing the members of the Company's Board of Directors other than Chairman Stanley I. Berger. A preliminary Consent Solicitation Statement was filed on December 7, 1998 by the Holtzman Group with the Securities and Exchange Commission. On December 11, 1998, the Board of Directors of the Company determined to oppose the consent solicitation (the "Consent Solicitation") by Jewelcor and Mr. Holtzman.</w:t>
      </w:r>
    </w:p>
    <w:p>
      <w:pPr>
        <w:spacing w:after="0" w:line="167"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178"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The Company did not enter into any settlement with Jewelcor or Mr. Holtzman terminating the Consent Solicitation.</w:t>
      </w:r>
    </w:p>
    <w:p>
      <w:pPr>
        <w:spacing w:after="0" w:line="176"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On December 11, 1998, the Company announced that its Board of Directors had formed a committee of independent outside directors to consider the Company's strategic alternatives, including a possible sale of the Company, with a view towards maximizing shareholder value in the near term.</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SALES</w:t>
      </w:r>
    </w:p>
    <w:p>
      <w:pPr>
        <w:spacing w:after="0" w:line="175"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Set forth below is the Company's total sales and comparable store sales for fiscal 1998, 1997 and 1996. Of the 113 stores the Company operated as of January 30, 1999, 80 were comparable stores.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Fiscal</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Percentage</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Fiscal</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Percentage</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Change</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Change</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Outlet store segment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$ 153,581</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(13.4%)</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$ 177,326</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(9.1%)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$ 195,110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Specialty store segment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8,718</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(14.0%)</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10,141</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(4.7%)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10,645</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Closed and other segment(1)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39,335</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(49.7%)</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78,259</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(6.7%)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83,838</w:t>
            </w:r>
          </w:p>
        </w:tc>
      </w:tr>
      <w:tr>
        <w:trPr>
          <w:trHeight w:val="170"/>
        </w:trPr>
        <w:tc>
          <w:tcPr>
            <w:tcW w:w="268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 Sales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$ 201,634</w:t>
            </w:r>
          </w:p>
        </w:tc>
        <w:tc>
          <w:tcPr>
            <w:tcW w:w="1380" w:type="dxa"/>
            <w:vAlign w:val="bottom"/>
          </w:tcPr>
          <w:p>
            <w:pPr>
              <w:spacing w:after="0"/>
              <w:rPr>
                <w:sz w:val="24"/>
                <w:szCs w:val="2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$ 265,726</w:t>
            </w:r>
          </w:p>
        </w:tc>
        <w:tc>
          <w:tcPr>
            <w:tcW w:w="11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$ 289,593</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Change in Total Sales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w:t>
            </w:r>
          </w:p>
        </w:tc>
        <w:tc>
          <w:tcPr>
            <w:tcW w:w="138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Change in Comp Sales</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w:t>
            </w:r>
          </w:p>
        </w:tc>
        <w:tc>
          <w:tcPr>
            <w:tcW w:w="1380" w:type="dxa"/>
            <w:vAlign w:val="bottom"/>
          </w:tcPr>
          <w:p>
            <w:pPr>
              <w:spacing w:after="0"/>
              <w:rPr>
                <w:sz w:val="14"/>
                <w:szCs w:val="14"/>
                <w:color w:val="auto"/>
              </w:rPr>
            </w:pP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bl>
    <w:p>
      <w:pPr>
        <w:spacing w:after="0" w:line="344" w:lineRule="exact"/>
        <w:rPr>
          <w:sz w:val="20"/>
          <w:szCs w:val="20"/>
          <w:color w:val="auto"/>
        </w:rPr>
      </w:pPr>
    </w:p>
    <w:p>
      <w:pPr>
        <w:ind w:left="530" w:right="3179" w:hanging="530"/>
        <w:spacing w:after="0" w:line="237"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all stores closed as part of the Company's store closing programs in fiscal 1998 and 1997 and the eight stores that the Company expects to close during fiscal 1999, see discussion above.</w:t>
      </w:r>
    </w:p>
    <w:p>
      <w:pPr>
        <w:sectPr>
          <w:pgSz w:w="11900" w:h="16838" w:orient="portrait"/>
          <w:cols w:equalWidth="0" w:num="1">
            <w:col w:w="10229"/>
          </w:cols>
          <w:pgMar w:left="230" w:top="627" w:right="1440" w:bottom="0" w:gutter="0" w:footer="0" w:header="0"/>
        </w:sectPr>
      </w:pPr>
    </w:p>
    <w:bookmarkStart w:id="17" w:name="page18"/>
    <w:bookmarkEnd w:id="17"/>
    <w:p>
      <w:pPr>
        <w:ind w:left="56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305"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The decrease in sales in fiscal 1998 was due to an 18% decrease in comparable store sales and 37 store closings, partially offset by sales from the 25 acquired Levi's(R) and Dockers(R) outlet stores. The decrease in sales in fiscal 1997 was due to a 10% decrease in comparable store sales and 31 store closings, partially offset by sales from new stores that were opened during the fiscal year. Comparable store sales decreases in fiscal 1998 and 1997 were due primarily to lower sales in men's Levi's(R) brand jeans and tops associated with limited merchandise mix and reduced demand for Levi's(R) brand product. These sales decreases were partially offset by increased sales of women's Levi's(R) brand jeans and men's and women's Dockers(R) brand apparel. Based on current sales trends and merchandise commitments, the Company anticipates an increase in comparable store sales for fiscal 1999.</w:t>
      </w:r>
    </w:p>
    <w:p>
      <w:pPr>
        <w:spacing w:after="0" w:line="34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GROSS MARGIN</w:t>
      </w:r>
    </w:p>
    <w:p>
      <w:pPr>
        <w:spacing w:after="0" w:line="175"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Set forth below are gross margin dollars and gross margin rates as a percentage of total sales for the fiscal years 1998, 1997 and 1996.</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27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Fiscal 1998</w:t>
            </w:r>
          </w:p>
        </w:tc>
        <w:tc>
          <w:tcPr>
            <w:tcW w:w="23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Fiscal 1997</w:t>
            </w:r>
          </w:p>
        </w:tc>
      </w:tr>
      <w:tr>
        <w:trPr>
          <w:trHeight w:val="170"/>
        </w:trPr>
        <w:tc>
          <w:tcPr>
            <w:tcW w:w="1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Percentage</w:t>
            </w:r>
          </w:p>
        </w:tc>
        <w:tc>
          <w:tcPr>
            <w:tcW w:w="1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Dollars</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 sales</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Dollars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of sales</w:t>
            </w:r>
          </w:p>
        </w:tc>
      </w:tr>
      <w:tr>
        <w:trPr>
          <w:trHeight w:val="170"/>
        </w:trPr>
        <w:tc>
          <w:tcPr>
            <w:tcW w:w="198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1980" w:type="dxa"/>
            <w:vAlign w:val="bottom"/>
          </w:tcPr>
          <w:p>
            <w:pPr>
              <w:spacing w:after="0"/>
              <w:rPr>
                <w:sz w:val="20"/>
                <w:szCs w:val="20"/>
                <w:color w:val="auto"/>
              </w:rPr>
            </w:pPr>
            <w:r>
              <w:rPr>
                <w:rFonts w:ascii="Courier New" w:cs="Courier New" w:eastAsia="Courier New" w:hAnsi="Courier New"/>
                <w:sz w:val="15"/>
                <w:szCs w:val="15"/>
                <w:color w:val="auto"/>
              </w:rPr>
              <w:t>Merchandise margin</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$ 76,076</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37.7%</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$ 78,608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(33,827)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(16.8%)</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(40,250)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w:t>
            </w:r>
          </w:p>
        </w:tc>
      </w:tr>
      <w:tr>
        <w:trPr>
          <w:trHeight w:val="170"/>
        </w:trPr>
        <w:tc>
          <w:tcPr>
            <w:tcW w:w="198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$ 42,249</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20.9%</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$ 38,358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14.4%</w:t>
            </w:r>
          </w:p>
        </w:tc>
      </w:tr>
    </w:tbl>
    <w:p>
      <w:pPr>
        <w:spacing w:after="0" w:line="344"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The improved merchandise margin in fiscal 1998 as compared to fiscal 1997 is due to the shift in the Company's store portfolio away from lower margin mall-based stores towards the traditionally higher margin outlet store operations and approximately an $800,000 benefit from LIFO. Included in gross margin for fiscal 1998 is approximately $800,000 for markdowns associated with the closing of eight additional stores, which was discussed above. The decrease in fiscal 1997 merchandise margin was primarily attributable to a $13.9 million charge for markdowns and fabric cancellation costs related to Boston Traders(R) brand merchandise which was included in the second quarter charge for the termination of the Company's private label product development program, discussed below under "Restructuring"; approximately $5.6 million related to fourth quarter adjustments for inventory shrinkage against physical inventory results and reserves against pending resolution of vendor discussions regarding proof of delivery of certain goods and increases in promotional markdowns associated with Levi's(R) brand products in fiscal 1997. The Company experienced decreases in initial margin on certain Levi's(R) brand merchandise in fiscal 1998 and 1997 as compared to fiscal 1996.</w:t>
      </w:r>
    </w:p>
    <w:p>
      <w:pPr>
        <w:spacing w:after="0" w:line="187" w:lineRule="exact"/>
        <w:rPr>
          <w:sz w:val="20"/>
          <w:szCs w:val="20"/>
          <w:color w:val="auto"/>
        </w:rPr>
      </w:pPr>
    </w:p>
    <w:p>
      <w:pPr>
        <w:spacing w:after="0" w:line="237" w:lineRule="auto"/>
        <w:rPr>
          <w:sz w:val="20"/>
          <w:szCs w:val="20"/>
          <w:color w:val="auto"/>
        </w:rPr>
      </w:pPr>
      <w:r>
        <w:rPr>
          <w:rFonts w:ascii="Courier New" w:cs="Courier New" w:eastAsia="Courier New" w:hAnsi="Courier New"/>
          <w:sz w:val="15"/>
          <w:szCs w:val="15"/>
          <w:color w:val="auto"/>
        </w:rPr>
        <w:t>Occupancy costs as a percentage of sales continued to increase in fiscal 1998 as compared to fiscal 1997 and 1996, as a result of fixed occupancy costs on a lower sales base due to comparable store sales decreases.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w:t>
      </w:r>
    </w:p>
    <w:p>
      <w:pPr>
        <w:spacing w:after="0" w:line="175"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Selling, general and administrative expenses as a percentage of sales were 23.8% or $48.0 million in fiscal 1998, 24.7% or $65.7 million in fiscal 1997 and 22.8% or $66.0 million in fiscal 1996. The decrease in selling, general and administrative expenses as a percentage of sales in fiscal 1998 was due to reduced store payroll expense from lower staffing in response to sales decreases. Also contributing to this decrease was a series of expense reduction actions started in fiscal 1997 that continue. In fiscal 1998, the Company incurred expenses in connection with the consent solicitation discussed above. In fiscal 1997, expenses on a dollar basis decreased slightly by $0.3 million as compared to fiscal 1996 as a result of the Company's cost reduction efforts that were initiated in fiscal 1997. Also in fiscal 1997, the Company recorded an impairment charge of $378,000 in accordance with Statement of Financial Accounting Standards No. 121, ("SFAS 121")"Accounting for the Impairment of Long-Lived Assets and for Long-Lived Assets to be Disposed Of." This charge reflects the estimated unrecoverable carrying value of a store's assets as compared to the fair value of those assets based on projected discounted future cash flows. In the fourth quarter of fiscal 1998, the Company recorded a fourth quarter charge that included $260,000 related to a further reduction of corporate headcount.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1997 RESTRUCTURING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second quarter of fiscal 1997, the Company recorded a pre-tax charge of</w:t>
      </w:r>
    </w:p>
    <w:p>
      <w:pPr>
        <w:spacing w:after="0" w:line="5" w:lineRule="exact"/>
        <w:rPr>
          <w:sz w:val="20"/>
          <w:szCs w:val="20"/>
          <w:color w:val="auto"/>
        </w:rPr>
      </w:pPr>
    </w:p>
    <w:p>
      <w:pPr>
        <w:spacing w:after="0" w:line="257" w:lineRule="auto"/>
        <w:rPr>
          <w:sz w:val="20"/>
          <w:szCs w:val="20"/>
          <w:color w:val="auto"/>
        </w:rPr>
      </w:pPr>
      <w:r>
        <w:rPr>
          <w:rFonts w:ascii="Courier New" w:cs="Courier New" w:eastAsia="Courier New" w:hAnsi="Courier New"/>
          <w:sz w:val="14"/>
          <w:szCs w:val="14"/>
          <w:color w:val="auto"/>
        </w:rPr>
        <w:t>$20 million related to its shift in strategy away from the vertically integrated Boston Traders(R) private label concept to a strategy with greater emphasis on name brands. This decision involved the liquidation of Boston Traders(R) brand products, the closure of the Company's New York City product development office and the closure of 17 Designs and 16 Boston Traders(R) Outlet stores. Total actual costs to close related to this shift in strategy and the closure of the stores were $19.9 million, which included cash costs of $6.0 million related to lease terminations, the cost of canceling private label fabric commitments, severance associated with the closing of the New York office, and other miscellaneous expenses. The remainder of the $19.9 million charge consisted of non-cash costs of approximately $13.9 million, which included $12.4 million of markdowns at cost related to the liquidation of Boston Traders(R) brand product and $1.5 million for write-offs of store fixed assets. Merchandise markdowns and costs associated with the cancellation of fabric</w:t>
      </w:r>
    </w:p>
    <w:p>
      <w:pPr>
        <w:spacing w:after="0" w:line="32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Fiscal 1996</w:t>
      </w: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Dollars</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of sales</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$124,550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43.0%</w:t>
            </w:r>
          </w:p>
        </w:tc>
      </w:tr>
      <w:tr>
        <w:trPr>
          <w:trHeight w:val="170"/>
        </w:trPr>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$ 86,229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w:t>
            </w:r>
          </w:p>
        </w:tc>
      </w:tr>
    </w:tbl>
    <w:p>
      <w:pPr>
        <w:sectPr>
          <w:pgSz w:w="11900" w:h="16838" w:orient="portrait"/>
          <w:cols w:equalWidth="0" w:num="2">
            <w:col w:w="7040" w:space="440"/>
            <w:col w:w="2739"/>
          </w:cols>
          <w:pgMar w:left="240" w:top="622" w:right="1440" w:bottom="1440" w:gutter="0" w:footer="0" w:header="0"/>
        </w:sectPr>
      </w:pPr>
    </w:p>
    <w:bookmarkStart w:id="20" w:name="page21"/>
    <w:bookmarkEnd w:id="20"/>
    <w:p>
      <w:pPr>
        <w:ind w:right="3179"/>
        <w:spacing w:after="0" w:line="258" w:lineRule="auto"/>
        <w:rPr>
          <w:sz w:val="20"/>
          <w:szCs w:val="20"/>
          <w:color w:val="auto"/>
        </w:rPr>
      </w:pPr>
      <w:r>
        <w:rPr>
          <w:rFonts w:ascii="Courier New" w:cs="Courier New" w:eastAsia="Courier New" w:hAnsi="Courier New"/>
          <w:sz w:val="14"/>
          <w:szCs w:val="14"/>
          <w:color w:val="auto"/>
        </w:rPr>
        <w:t>commitments, which total approximately $13.9 million, were accounted for in cost of goods sold for the fiscal year ending January 31, 1998. The remaining amounts related to lease termination costs, asset impairment charges, severance and other costs, were accounted for in the restructuring charge in the Company's Consolidated Statements of Operations for the year ending January 31, 1998.</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the fourth quarter of fiscal year 1997, the Company incurred an additional pre-tax charge of $1.6 million relating primarily to severance, benefits and other costs associated with a reduction in its home office and field staff. This reduction in force resulted in the elimination of 47 positions, or approximately 25%, of the Company's headquarters and field management staff. This charge was accounted for in the restructuring charge in the Company's Consolidated Statements of Operations for the year ended January 31, 1998. Total actual costs related to this reduction in staff were $1.4 million as compared to the original charge of $1.6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Depreciation and amortization expense for fiscal year 1998 decreased to $9.7 million from $11.2 million in fiscal 1997 and $10.4 million in fiscal 1996, primarily due to store closings in fiscal 1997 and fiscal 1998. "See Liquidity and Capital Resources -- Capital Expenditures."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Interest expense for fiscal 1998 was $697,000 as compared to $851,000 in fiscal 1997 and $197,000 in fiscal 1996. This decrease as compared to fiscal 1997 is primarily a result of lower average borrowing levels and decreased interest rates under the Company's credit facility as compared to the prior year. The Company had no borrowings under its credit facility in fiscal year 1996. See "Liquidity and Capital Resources." The Company anticipates, barring unforeseen circumstances, that interest expense will increase in fiscal 1999 as a result of increased average borrowings under the credit facility as compared to fiscal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Interest income for fiscal 1998 decreased to $121,000 from $145,000 in fiscal 1997 and $1.2 million in fiscal 1996. This decrease was attributable to limited investment activity during fiscal 1998 as compared to the two prior years. The Company anticipates that interest income will be minimal through fiscal 1999. See "Liquidity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reported a loss of $18.5 million or $1.17 per share for fiscal 1998 as compared with a loss of $29.1 million or $1.86 per share in fiscal 1997 and net income of $6.3 million or $0.40 per share in fiscal 1996. Assuming current sales trends in fiscal 1999 continue, the Company currently estimates total sales for fiscal 1999 to be approximately $200 million. The Company currently expects, barring unforeseen circumstances, to earn a profit of at least $0.25 per share for the fiscal year ending January 29, 2000. Below is a summary of certain pre-tax charges included in the net loss for fiscal years 1998 and 1997.</w:t>
      </w:r>
    </w:p>
    <w:p>
      <w:pPr>
        <w:spacing w:after="0" w:line="200" w:lineRule="exact"/>
        <w:rPr>
          <w:sz w:val="20"/>
          <w:szCs w:val="20"/>
          <w:color w:val="auto"/>
        </w:rPr>
      </w:pPr>
    </w:p>
    <w:p>
      <w:pPr>
        <w:spacing w:after="0" w:line="300" w:lineRule="exact"/>
        <w:rPr>
          <w:sz w:val="20"/>
          <w:szCs w:val="20"/>
          <w:color w:val="auto"/>
        </w:rPr>
      </w:pPr>
    </w:p>
    <w:p>
      <w:pPr>
        <w:ind w:left="5020"/>
        <w:spacing w:after="0"/>
        <w:tabs>
          <w:tab w:leader="none" w:pos="6400" w:val="left"/>
          <w:tab w:leader="none" w:pos="7560" w:val="left"/>
        </w:tabs>
        <w:rPr>
          <w:sz w:val="20"/>
          <w:szCs w:val="20"/>
          <w:color w:val="auto"/>
        </w:rPr>
      </w:pP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5"/>
          <w:szCs w:val="15"/>
          <w:color w:val="auto"/>
        </w:rPr>
        <w:t>Fiscal</w:t>
      </w:r>
      <w:r>
        <w:rPr>
          <w:sz w:val="20"/>
          <w:szCs w:val="20"/>
          <w:color w:val="auto"/>
        </w:rPr>
        <w:tab/>
      </w:r>
      <w:r>
        <w:rPr>
          <w:rFonts w:ascii="Courier New" w:cs="Courier New" w:eastAsia="Courier New" w:hAnsi="Courier New"/>
          <w:sz w:val="14"/>
          <w:szCs w:val="14"/>
          <w:color w:val="auto"/>
        </w:rPr>
        <w:t>Fiscal</w:t>
      </w:r>
    </w:p>
    <w:p>
      <w:pPr>
        <w:spacing w:after="0"/>
        <w:tabs>
          <w:tab w:leader="none" w:pos="5080" w:val="left"/>
          <w:tab w:leader="none" w:pos="6500" w:val="left"/>
          <w:tab w:leader="none" w:pos="76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Store closing</w:t>
            </w:r>
          </w:p>
        </w:tc>
        <w:tc>
          <w:tcPr>
            <w:tcW w:w="3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severance reserve</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6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recorded in the fourth quarter of fiscal 1998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5,200</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Store closing</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w w:val="99"/>
              </w:rPr>
              <w:t>reserve recorded</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6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the third quarter of fiscal</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13,400</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gridSpan w:val="3"/>
          </w:tcPr>
          <w:p>
            <w:pPr>
              <w:spacing w:after="0"/>
              <w:rPr>
                <w:sz w:val="20"/>
                <w:szCs w:val="20"/>
                <w:color w:val="auto"/>
              </w:rPr>
            </w:pPr>
            <w:r>
              <w:rPr>
                <w:rFonts w:ascii="Courier New" w:cs="Courier New" w:eastAsia="Courier New" w:hAnsi="Courier New"/>
                <w:sz w:val="15"/>
                <w:szCs w:val="15"/>
                <w:color w:val="auto"/>
              </w:rPr>
              <w:t>Excess store closing reserve taken into income</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46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 the fourth quarter of fiscal 1998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(2,900)</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Reduction in force recorded in</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the fourth</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quarter 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fiscal 1997</w:t>
            </w:r>
          </w:p>
        </w:tc>
        <w:tc>
          <w:tcPr>
            <w:tcW w:w="194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$ 1,600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Store closing</w:t>
            </w:r>
          </w:p>
        </w:tc>
        <w:tc>
          <w:tcPr>
            <w:tcW w:w="3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reserve and abandonment of</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6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vertical integration in the</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second quarter</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fiscal 1997</w:t>
            </w:r>
          </w:p>
        </w:tc>
        <w:tc>
          <w:tcPr>
            <w:tcW w:w="1940" w:type="dxa"/>
            <w:vAlign w:val="bottom"/>
          </w:tcPr>
          <w:p>
            <w:pPr>
              <w:spacing w:after="0"/>
              <w:rPr>
                <w:sz w:val="14"/>
                <w:szCs w:val="14"/>
                <w:color w:val="auto"/>
              </w:rPr>
            </w:pP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jc w:val="right"/>
              <w:ind w:right="1907"/>
              <w:spacing w:after="0"/>
              <w:rPr>
                <w:sz w:val="20"/>
                <w:szCs w:val="20"/>
                <w:color w:val="auto"/>
              </w:rPr>
            </w:pPr>
            <w:r>
              <w:rPr>
                <w:rFonts w:ascii="Courier New" w:cs="Courier New" w:eastAsia="Courier New" w:hAnsi="Courier New"/>
                <w:sz w:val="15"/>
                <w:szCs w:val="15"/>
                <w:color w:val="auto"/>
                <w:w w:val="95"/>
              </w:rPr>
              <w:t>Total charges</w:t>
            </w:r>
          </w:p>
        </w:tc>
        <w:tc>
          <w:tcPr>
            <w:tcW w:w="16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21,600</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97"/>
              </w:rPr>
              <w:t>Earnings (loss) per share impact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charges, adjusted</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0"/>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for minority interest portion of</w:t>
            </w:r>
          </w:p>
        </w:tc>
        <w:tc>
          <w:tcPr>
            <w:tcW w:w="1680" w:type="dxa"/>
            <w:vAlign w:val="bottom"/>
          </w:tcPr>
          <w:p>
            <w:pPr>
              <w:ind w:left="40"/>
              <w:spacing w:after="0"/>
              <w:rPr>
                <w:sz w:val="20"/>
                <w:szCs w:val="20"/>
                <w:color w:val="auto"/>
              </w:rPr>
            </w:pPr>
            <w:r>
              <w:rPr>
                <w:rFonts w:ascii="Courier New" w:cs="Courier New" w:eastAsia="Courier New" w:hAnsi="Courier New"/>
                <w:sz w:val="15"/>
                <w:szCs w:val="15"/>
                <w:color w:val="auto"/>
              </w:rPr>
              <w:t>related charges</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0.81)</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Earnings (loss) per share, exclusive of the above</w:t>
            </w: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4620" w:type="dxa"/>
            <w:vAlign w:val="bottom"/>
          </w:tcPr>
          <w:p>
            <w:pPr>
              <w:ind w:left="260"/>
              <w:spacing w:after="0"/>
              <w:rPr>
                <w:sz w:val="20"/>
                <w:szCs w:val="20"/>
                <w:color w:val="auto"/>
              </w:rPr>
            </w:pPr>
            <w:r>
              <w:rPr>
                <w:rFonts w:ascii="Courier New" w:cs="Courier New" w:eastAsia="Courier New" w:hAnsi="Courier New"/>
                <w:sz w:val="15"/>
                <w:szCs w:val="15"/>
                <w:color w:val="auto"/>
              </w:rPr>
              <w:t>charges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0.56)</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$ 0.40</w:t>
            </w:r>
          </w:p>
        </w:tc>
      </w:tr>
      <w:tr>
        <w:trPr>
          <w:trHeight w:val="678"/>
        </w:trPr>
        <w:tc>
          <w:tcPr>
            <w:tcW w:w="4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spacing w:after="0"/>
              <w:rPr>
                <w:sz w:val="24"/>
                <w:szCs w:val="24"/>
                <w:color w:val="auto"/>
              </w:rPr>
            </w:pPr>
          </w:p>
        </w:tc>
      </w:tr>
    </w:tbl>
    <w:p>
      <w:pPr>
        <w:sectPr>
          <w:pgSz w:w="11900" w:h="16838" w:orient="portrait"/>
          <w:cols w:equalWidth="0" w:num="1">
            <w:col w:w="10219"/>
          </w:cols>
          <w:pgMar w:left="240" w:top="627" w:right="1440" w:bottom="1440" w:gutter="0" w:footer="0" w:header="0"/>
        </w:sectPr>
      </w:pPr>
    </w:p>
    <w:bookmarkStart w:id="21" w:name="page22"/>
    <w:bookmarkEnd w:id="21"/>
    <w:p>
      <w:pPr>
        <w:ind w:left="10"/>
        <w:spacing w:after="0"/>
        <w:rPr>
          <w:sz w:val="20"/>
          <w:szCs w:val="20"/>
          <w:color w:val="auto"/>
        </w:rPr>
      </w:pPr>
      <w:r>
        <w:rPr>
          <w:rFonts w:ascii="Courier New" w:cs="Courier New" w:eastAsia="Courier New" w:hAnsi="Courier New"/>
          <w:sz w:val="15"/>
          <w:szCs w:val="15"/>
          <w:color w:val="auto"/>
        </w:rPr>
        <w:t>SEASONALITY</w:t>
      </w:r>
    </w:p>
    <w:p>
      <w:pPr>
        <w:spacing w:after="0" w:line="33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w:t>
      </w:r>
    </w:p>
    <w:p>
      <w:pPr>
        <w:ind w:left="2990"/>
        <w:spacing w:after="0"/>
        <w:tabs>
          <w:tab w:leader="none" w:pos="5529" w:val="left"/>
          <w:tab w:leader="none" w:pos="7909" w:val="left"/>
        </w:tabs>
        <w:rPr>
          <w:sz w:val="20"/>
          <w:szCs w:val="20"/>
          <w:color w:val="auto"/>
        </w:rPr>
      </w:pPr>
      <w:r>
        <w:rPr>
          <w:rFonts w:ascii="Courier New" w:cs="Courier New" w:eastAsia="Courier New" w:hAnsi="Courier New"/>
          <w:sz w:val="15"/>
          <w:szCs w:val="15"/>
          <w:color w:val="auto"/>
        </w:rPr>
        <w:t>FISCAL 1998</w:t>
      </w:r>
      <w:r>
        <w:rPr>
          <w:sz w:val="20"/>
          <w:szCs w:val="20"/>
          <w:color w:val="auto"/>
        </w:rPr>
        <w:tab/>
      </w:r>
      <w:r>
        <w:rPr>
          <w:rFonts w:ascii="Courier New" w:cs="Courier New" w:eastAsia="Courier New" w:hAnsi="Courier New"/>
          <w:sz w:val="15"/>
          <w:szCs w:val="15"/>
          <w:color w:val="auto"/>
        </w:rPr>
        <w:t>FISCAL 1997</w:t>
      </w:r>
      <w:r>
        <w:rPr>
          <w:sz w:val="20"/>
          <w:szCs w:val="20"/>
          <w:color w:val="auto"/>
        </w:rPr>
        <w:tab/>
      </w:r>
      <w:r>
        <w:rPr>
          <w:rFonts w:ascii="Courier New" w:cs="Courier New" w:eastAsia="Courier New" w:hAnsi="Courier New"/>
          <w:sz w:val="14"/>
          <w:szCs w:val="14"/>
          <w:color w:val="auto"/>
        </w:rPr>
        <w:t>FISCAL 1996</w:t>
      </w:r>
    </w:p>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4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(SALES DOLLARS IN THOUSANDS)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$ 43,400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$ 55,470</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59,336</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20.5%</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47,078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23.4%</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64,543</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66,524</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23.0%</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58,714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29.1%</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77,459</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29.1%</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84,958</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29.3%</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52,442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68,254</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w:t>
            </w:r>
          </w:p>
        </w:tc>
        <w:tc>
          <w:tcPr>
            <w:tcW w:w="4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78,755</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27.2%</w:t>
            </w:r>
          </w:p>
        </w:tc>
      </w:tr>
      <w:tr>
        <w:trPr>
          <w:trHeight w:val="170"/>
        </w:trPr>
        <w:tc>
          <w:tcPr>
            <w:tcW w:w="1840" w:type="dxa"/>
            <w:vAlign w:val="bottom"/>
          </w:tcPr>
          <w:p>
            <w:pPr>
              <w:spacing w:after="0"/>
              <w:rPr>
                <w:sz w:val="14"/>
                <w:szCs w:val="14"/>
                <w:color w:val="auto"/>
              </w:rPr>
            </w:pPr>
          </w:p>
        </w:tc>
        <w:tc>
          <w:tcPr>
            <w:tcW w:w="76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14"/>
                <w:szCs w:val="14"/>
                <w:color w:val="auto"/>
              </w:rPr>
            </w:pPr>
          </w:p>
        </w:tc>
        <w:tc>
          <w:tcPr>
            <w:tcW w:w="1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$201,634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$265,726</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289,593</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100.0%</w:t>
            </w:r>
          </w:p>
        </w:tc>
      </w:tr>
    </w:tbl>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A comparison of sales in each quarter of the past three fiscal years is presented above. The amounts shown are not necessarily indicative of actual trends, since such amounts also reflect the addition of new stores and the remodeling and closing of others during these periods. Historically, the Company has experienced seasonal fluctuations in revenues and income, exclusive of non-recurring charges, with increases occurring during the Company's third and fourth quarters as a result of "Fall" and "Holiday" seasons. In recent years, the Company's focus has shifted towards its outlet store business and the percentage of mall-based business has declined. Accordingly, the Company's third and fourth quarters, although continuing to generate a greater proportion of total sales, have become less significant to total sales as had previously been the case. This change is due to the seasonality of the Company's outlet business as compared with the mall-based specialty stores. A comparison of quarterly sales, gross profit, net income (loss) and net income (loss) per share for the past two fiscal years is presented in Note P of Notes to Consolidated Financial Statements.</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left="10" w:right="3359"/>
        <w:spacing w:after="0" w:line="258" w:lineRule="auto"/>
        <w:rPr>
          <w:sz w:val="20"/>
          <w:szCs w:val="20"/>
          <w:color w:val="auto"/>
        </w:rPr>
      </w:pPr>
      <w:r>
        <w:rPr>
          <w:rFonts w:ascii="Courier New" w:cs="Courier New" w:eastAsia="Courier New" w:hAnsi="Courier New"/>
          <w:sz w:val="14"/>
          <w:szCs w:val="14"/>
          <w:color w:val="auto"/>
        </w:rPr>
        <w:t>The Company's primary cash needs are for operating expenses, including cash outlays associated with inventory purchases, and capital expenditures for new and remodeled stores. The Company expects that cash flow from operations, short-term revolving borrowings and trade credit will enable it to finance its current working capital, remodeling and expansion requirements.</w:t>
      </w:r>
    </w:p>
    <w:p>
      <w:pPr>
        <w:spacing w:after="0" w:line="16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The following table sets forth financial data regarding the Company's liquidity position at the end of the past three fiscal years:</w:t>
      </w:r>
    </w:p>
    <w:p>
      <w:pPr>
        <w:spacing w:after="0" w:line="200" w:lineRule="exact"/>
        <w:rPr>
          <w:sz w:val="20"/>
          <w:szCs w:val="20"/>
          <w:color w:val="auto"/>
        </w:rPr>
      </w:pPr>
    </w:p>
    <w:p>
      <w:pPr>
        <w:spacing w:after="0" w:line="309"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FISCAL YEARS</w:t>
      </w:r>
    </w:p>
    <w:p>
      <w:pPr>
        <w:ind w:left="2650"/>
        <w:spacing w:after="0"/>
        <w:rPr>
          <w:sz w:val="20"/>
          <w:szCs w:val="20"/>
          <w:color w:val="auto"/>
        </w:rPr>
      </w:pPr>
      <w:r>
        <w:rPr>
          <w:rFonts w:ascii="Courier New" w:cs="Courier New" w:eastAsia="Courier New" w:hAnsi="Courier New"/>
          <w:sz w:val="15"/>
          <w:szCs w:val="15"/>
          <w:color w:val="auto"/>
        </w:rPr>
        <w:t>--------------------------------------------------------------------</w:t>
      </w:r>
    </w:p>
    <w:p>
      <w:pPr>
        <w:ind w:left="3350"/>
        <w:spacing w:after="0"/>
        <w:tabs>
          <w:tab w:leader="none" w:pos="5349" w:val="left"/>
          <w:tab w:leader="none" w:pos="728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ind w:left="170" w:hanging="170"/>
        <w:spacing w:after="0" w:line="238" w:lineRule="auto"/>
        <w:tabs>
          <w:tab w:leader="none" w:pos="17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(DOLLARS IN THOUSANDS)</w:t>
      </w:r>
    </w:p>
    <w:p>
      <w:pPr>
        <w:spacing w:after="0" w:line="3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Cash provided by (used in)</w:t>
            </w:r>
          </w:p>
        </w:tc>
        <w:tc>
          <w:tcPr>
            <w:tcW w:w="1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2980" w:type="dxa"/>
            <w:vAlign w:val="bottom"/>
            <w:gridSpan w:val="2"/>
          </w:tcPr>
          <w:p>
            <w:pPr>
              <w:jc w:val="right"/>
              <w:ind w:right="1767"/>
              <w:spacing w:after="0"/>
              <w:rPr>
                <w:sz w:val="20"/>
                <w:szCs w:val="20"/>
                <w:color w:val="auto"/>
              </w:rPr>
            </w:pPr>
            <w:r>
              <w:rPr>
                <w:rFonts w:ascii="Courier New" w:cs="Courier New" w:eastAsia="Courier New" w:hAnsi="Courier New"/>
                <w:sz w:val="15"/>
                <w:szCs w:val="15"/>
                <w:color w:val="auto"/>
              </w:rPr>
              <w:t>operations</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$ 1,820</w:t>
            </w:r>
          </w:p>
        </w:tc>
        <w:tc>
          <w:tcPr>
            <w:tcW w:w="19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(7,182)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(1,823)</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Working</w:t>
            </w:r>
          </w:p>
        </w:tc>
        <w:tc>
          <w:tcPr>
            <w:tcW w:w="232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Capital</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24,078</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42,104</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72,320</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32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Ratio</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1.7:1</w:t>
            </w:r>
          </w:p>
        </w:tc>
        <w:tc>
          <w:tcPr>
            <w:tcW w:w="19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2.4:1</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4.0:1</w:t>
            </w:r>
          </w:p>
        </w:tc>
      </w:tr>
    </w:tbl>
    <w:p>
      <w:pPr>
        <w:spacing w:after="0" w:line="34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To date, the Company has financed its working capital requirements, acquisitions and expansion program with cash flow from operations, borrowings under the Company's credit facility, and proceeds from common stock offerings. Cash provided by (used in) operating activities was $1.8 million, ($7.2) million and ($1.8) million in fiscal 1998, 1997 and 1996, respectively. The Company's improved cash flow from operations in fiscal 1998 is principally due to improved operating results and an income tax refund of $12.9 million related to fiscal 1997 operating losses.</w:t>
      </w:r>
    </w:p>
    <w:p>
      <w:pPr>
        <w:spacing w:after="0" w:line="341"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22" w:right="1440" w:bottom="1440" w:gutter="0" w:footer="0" w:header="0"/>
        </w:sectPr>
      </w:pPr>
    </w:p>
    <w:bookmarkStart w:id="22" w:name="page23"/>
    <w:bookmarkEnd w:id="22"/>
    <w:p>
      <w:pPr>
        <w:ind w:right="3439"/>
        <w:spacing w:after="0" w:line="257" w:lineRule="auto"/>
        <w:rPr>
          <w:sz w:val="20"/>
          <w:szCs w:val="20"/>
          <w:color w:val="auto"/>
        </w:rPr>
      </w:pPr>
      <w:r>
        <w:rPr>
          <w:rFonts w:ascii="Courier New" w:cs="Courier New" w:eastAsia="Courier New" w:hAnsi="Courier New"/>
          <w:sz w:val="14"/>
          <w:szCs w:val="14"/>
          <w:color w:val="auto"/>
        </w:rPr>
        <w:t>At January 30, 1999, the Company was in a net borrowing position of $13.7 million compared to a net borrowing position of $8.4 million at January 31, 1998. The increased level of borrowing in fiscal 1998 is due to the Company's acquisition of 25 outlet stores in September 1998 for $9.7 million as well as cash outlays associated with its fiscal 1997 and 1998 restructuring programs. The following table provides a comparative analysis of the Company's cash and borrowings at the end of fiscal years 1998 and 1997:</w:t>
      </w:r>
    </w:p>
    <w:p>
      <w:pPr>
        <w:spacing w:after="0" w:line="162" w:lineRule="exact"/>
        <w:rPr>
          <w:sz w:val="20"/>
          <w:szCs w:val="20"/>
          <w:color w:val="auto"/>
        </w:rPr>
      </w:pPr>
    </w:p>
    <w:p>
      <w:pPr>
        <w:spacing w:after="0"/>
        <w:tabs>
          <w:tab w:leader="none" w:pos="3580" w:val="left"/>
          <w:tab w:leader="none" w:pos="53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January 30, 1999</w:t>
      </w:r>
      <w:r>
        <w:rPr>
          <w:sz w:val="20"/>
          <w:szCs w:val="20"/>
          <w:color w:val="auto"/>
        </w:rPr>
        <w:tab/>
      </w:r>
      <w:r>
        <w:rPr>
          <w:rFonts w:ascii="Courier New" w:cs="Courier New" w:eastAsia="Courier New" w:hAnsi="Courier New"/>
          <w:sz w:val="14"/>
          <w:szCs w:val="14"/>
          <w:color w:val="auto"/>
        </w:rPr>
        <w:t>January 31, 1998</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6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$1,473</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Borrowings under credit facility</w:t>
            </w:r>
          </w:p>
        </w:tc>
        <w:tc>
          <w:tcPr>
            <w:tcW w:w="8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12,825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8,828</w:t>
            </w:r>
          </w:p>
        </w:tc>
      </w:t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Promissory note payable</w:t>
            </w:r>
          </w:p>
        </w:tc>
        <w:tc>
          <w:tcPr>
            <w:tcW w:w="88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3600" w:type="dxa"/>
            <w:vAlign w:val="bottom"/>
          </w:tcPr>
          <w:p>
            <w:pPr>
              <w:spacing w:after="0"/>
              <w:rPr>
                <w:sz w:val="14"/>
                <w:szCs w:val="14"/>
                <w:color w:val="auto"/>
              </w:rPr>
            </w:pPr>
          </w:p>
        </w:tc>
        <w:tc>
          <w:tcPr>
            <w:tcW w:w="20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borrowing position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6"/>
              </w:rPr>
              <w:t>13,672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$8,355</w:t>
            </w:r>
          </w:p>
        </w:tc>
      </w:tr>
      <w:tr>
        <w:trPr>
          <w:trHeight w:val="170"/>
        </w:trPr>
        <w:tc>
          <w:tcPr>
            <w:tcW w:w="3600" w:type="dxa"/>
            <w:vAlign w:val="bottom"/>
          </w:tcPr>
          <w:p>
            <w:pPr>
              <w:spacing w:after="0"/>
              <w:rPr>
                <w:sz w:val="14"/>
                <w:szCs w:val="14"/>
                <w:color w:val="auto"/>
              </w:rPr>
            </w:pPr>
          </w:p>
        </w:tc>
        <w:tc>
          <w:tcPr>
            <w:tcW w:w="20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January 30, 1999, total inventories increased 5.4% to $58.0 million from</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$55.0 million at January 31, 1998. This increase was comprised of the following components:</w:t>
      </w:r>
    </w:p>
    <w:p>
      <w:pPr>
        <w:spacing w:after="0" w:line="200" w:lineRule="exact"/>
        <w:rPr>
          <w:sz w:val="20"/>
          <w:szCs w:val="20"/>
          <w:color w:val="auto"/>
        </w:rPr>
      </w:pPr>
    </w:p>
    <w:p>
      <w:pPr>
        <w:spacing w:after="0" w:line="309" w:lineRule="exact"/>
        <w:rPr>
          <w:sz w:val="20"/>
          <w:szCs w:val="20"/>
          <w:color w:val="auto"/>
        </w:rPr>
      </w:pPr>
    </w:p>
    <w:p>
      <w:pPr>
        <w:ind w:left="4040"/>
        <w:spacing w:after="0"/>
        <w:tabs>
          <w:tab w:leader="none" w:pos="71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Number</w:t>
      </w:r>
    </w:p>
    <w:p>
      <w:pPr>
        <w:spacing w:after="0"/>
        <w:tabs>
          <w:tab w:leader="none" w:pos="2080" w:val="left"/>
          <w:tab w:leader="none" w:pos="3840" w:val="left"/>
          <w:tab w:leader="none" w:pos="5000" w:val="left"/>
          <w:tab w:leader="none" w:pos="6940"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January 30, 1999</w:t>
      </w:r>
      <w:r>
        <w:rPr>
          <w:sz w:val="20"/>
          <w:szCs w:val="20"/>
          <w:color w:val="auto"/>
        </w:rPr>
        <w:tab/>
      </w:r>
      <w:r>
        <w:rPr>
          <w:rFonts w:ascii="Courier New" w:cs="Courier New" w:eastAsia="Courier New" w:hAnsi="Courier New"/>
          <w:sz w:val="15"/>
          <w:szCs w:val="15"/>
          <w:color w:val="auto"/>
        </w:rPr>
        <w:t>of stores</w:t>
      </w:r>
      <w:r>
        <w:rPr>
          <w:sz w:val="20"/>
          <w:szCs w:val="20"/>
          <w:color w:val="auto"/>
        </w:rPr>
        <w:tab/>
      </w:r>
      <w:r>
        <w:rPr>
          <w:rFonts w:ascii="Courier New" w:cs="Courier New" w:eastAsia="Courier New" w:hAnsi="Courier New"/>
          <w:sz w:val="15"/>
          <w:szCs w:val="15"/>
          <w:color w:val="auto"/>
        </w:rPr>
        <w:t>January 31, 1998</w:t>
      </w:r>
      <w:r>
        <w:rPr>
          <w:sz w:val="20"/>
          <w:szCs w:val="20"/>
          <w:color w:val="auto"/>
        </w:rPr>
        <w:tab/>
      </w:r>
      <w:r>
        <w:rPr>
          <w:rFonts w:ascii="Courier New" w:cs="Courier New" w:eastAsia="Courier New" w:hAnsi="Courier New"/>
          <w:sz w:val="14"/>
          <w:szCs w:val="14"/>
          <w:color w:val="auto"/>
        </w:rPr>
        <w:t>of stores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Outlet stores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$53,146</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$38,324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Specialty stores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1,802</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Closed stores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2,977</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14,456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220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$57,925</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113</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$54,972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0"/>
        </w:trPr>
        <w:tc>
          <w:tcPr>
            <w:tcW w:w="220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majority of the increase in inventories at January 30, 1999 as compared to the prior year is the result of the acquisition of 25 outlet stores offset by 37 closed stores during fiscal 1998. The Company continues to evaluate and, within the discretion of management, act upon opportunities to purchase substantial quantities of Levi's(R) and Dockers(R) brand products for its Levi's(R) Outlet and Dockers(R) Outlet stores.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trade payables to Levi Strauss &amp; Co., its principal vendor, generally are due 30 days after the date of invoice. In fiscal 1998, the Company was current with all outstanding merchandise payables to vendors. The Company expects, barring unforeseen circumstances, that any purchases of branded merchandise from vendors other than Levi Strauss &amp; Co. will be limited and in accordance with customary industry credit terms.</w:t>
      </w:r>
    </w:p>
    <w:p>
      <w:pPr>
        <w:spacing w:after="0" w:line="176"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On June 4, 1998 the Company entered into an Amended and Restated Loan and Security Agreement with a subsidiary of BankBoston, N.A., BankBoston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except the assets of the OLS Partnership.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 Credit Agreement contains certain covenants and events of default customary for credit facilities of this nature, including change of control provisions and limitations on payment of dividends by the Company. The Company is subject to a prepayment penalty of $250,000 to $500,000 if the Credit Agreement terminates prior to June 4, 2000.</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In the third quarter of fiscal 1998, the Credit Agreement was amended to, among other things, permit and acknowledge the Company's acquisition of the 25 outlet stores from LOS and the transactions associated with the agreement to dissolve and wind up the OLS Partnership. These amendments included an increase in the minimum tangible net worth that the Company must maintain, which was</w:t>
      </w:r>
    </w:p>
    <w:p>
      <w:pPr>
        <w:spacing w:after="0" w:line="329"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3" w:name="page24"/>
    <w:bookmarkEnd w:id="23"/>
    <w:p>
      <w:pPr>
        <w:ind w:left="10" w:right="3259"/>
        <w:spacing w:after="0" w:line="238" w:lineRule="auto"/>
        <w:rPr>
          <w:sz w:val="20"/>
          <w:szCs w:val="20"/>
          <w:color w:val="auto"/>
        </w:rPr>
      </w:pPr>
      <w:r>
        <w:rPr>
          <w:rFonts w:ascii="Courier New" w:cs="Courier New" w:eastAsia="Courier New" w:hAnsi="Courier New"/>
          <w:sz w:val="15"/>
          <w:szCs w:val="15"/>
          <w:color w:val="auto"/>
        </w:rPr>
        <w:t>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w:t>
      </w:r>
    </w:p>
    <w:p>
      <w:pPr>
        <w:spacing w:after="0" w:line="179" w:lineRule="exact"/>
        <w:rPr>
          <w:sz w:val="20"/>
          <w:szCs w:val="20"/>
          <w:color w:val="auto"/>
        </w:rPr>
      </w:pPr>
    </w:p>
    <w:p>
      <w:pPr>
        <w:ind w:left="10" w:right="3359"/>
        <w:spacing w:after="0" w:line="259" w:lineRule="auto"/>
        <w:rPr>
          <w:sz w:val="20"/>
          <w:szCs w:val="20"/>
          <w:color w:val="auto"/>
        </w:rPr>
      </w:pPr>
      <w:r>
        <w:rPr>
          <w:rFonts w:ascii="Courier New" w:cs="Courier New" w:eastAsia="Courier New" w:hAnsi="Courier New"/>
          <w:sz w:val="14"/>
          <w:szCs w:val="14"/>
          <w:color w:val="auto"/>
        </w:rPr>
        <w:t>At January 30, 1999, the Company had borrowings of approximately $12.8 million outstanding under this facility and had two outstanding standby letters of credit totaling approximately $84,000. The Company was in compliance with all debt covenants under the Credit Agreement at the end of the fiscal year.</w:t>
      </w:r>
    </w:p>
    <w:p>
      <w:pPr>
        <w:spacing w:after="0" w:line="163"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is payable in two equal annual installments through May 1997. The note bears interest at the published prime rate and is payable semi-annually from the date of acquisition.</w:t>
      </w:r>
    </w:p>
    <w:p>
      <w:pPr>
        <w:spacing w:after="0" w:line="167"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In the first quarter of fiscal 1996,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and payable under the Purchase Note. Accordingly, the Company did not make the $500,000 payments of principal on the Purchase Note that were due on May 2, 1996 and May 2, 1997. The Company paid interest on the original principal amount of the Purchase Note through May 2, 1996 and continued to pay interest thereafter through January 31, 1998 on $500,000 of principal.</w:t>
      </w:r>
    </w:p>
    <w:p>
      <w:pPr>
        <w:spacing w:after="0" w:line="167"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January 1998, Atlantic Harbor, Inc. filed a lawsuit against the Company for failing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business or financial condition.</w:t>
      </w:r>
    </w:p>
    <w:p>
      <w:pPr>
        <w:spacing w:after="0" w:line="180"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 March 1998, the Company received a federal income tax refund of approximately $12.9 million because of losses incurred by the Company during fiscal 1997, which were carried back against federal income tax payments in prior years. The Company used a portion of the cash received to reduce outstanding borrowings under its credit facility.</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During the first quarter of fiscal year 1998, the Internal Revenue Service (IRS) completed an examination of the Company's federal income tax returns for fiscal years 1991 through 1995. Taxes on the adjustments proposed by the IRS, excluding interest, amount to approximately $4.9 million. The IRS has challenged the fiscal tax years in which various income and expense deductions were recognized, resulting in potential timing differences of previously paid federal income taxes. The Company intends to protest the proposed adjustments through the IRS appeals process. The Company believes that these adjustments will be reduced through the appeals process and, in the opinion of management, adequate provisions have been made for all income taxes and interest. The Company believes that any adjustments to prior periods that may arise as a result of this process, will not have a material impact on the results of operation and financial condition of the Company.</w:t>
      </w:r>
    </w:p>
    <w:p>
      <w:pPr>
        <w:spacing w:after="0" w:line="1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Year 2000 Issue</w:t>
      </w:r>
    </w:p>
    <w:p>
      <w:pPr>
        <w:spacing w:after="0" w:line="175" w:lineRule="exact"/>
        <w:rPr>
          <w:sz w:val="20"/>
          <w:szCs w:val="20"/>
          <w:color w:val="auto"/>
        </w:rPr>
      </w:pPr>
    </w:p>
    <w:p>
      <w:pPr>
        <w:ind w:left="530" w:right="3259" w:hanging="530"/>
        <w:spacing w:after="0" w:line="238" w:lineRule="auto"/>
        <w:tabs>
          <w:tab w:leader="none" w:pos="53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of Readiness: Most of the Company's computer and process control systems were designed to use only two digits to represent years. As a result, they may not recognize "00" as representing the year 2000, but rather the year 1900 which could result in errors or system failures. The Company is in the process of converting technology and its information systems to be Year 2000 compliant. Barring unforeseen circumstances, the Company anticipates that the conversion will be complete by the end of calendar year 1999.</w:t>
      </w:r>
    </w:p>
    <w:p>
      <w:pPr>
        <w:spacing w:after="0" w:line="177" w:lineRule="exact"/>
        <w:rPr>
          <w:rFonts w:ascii="Courier New" w:cs="Courier New" w:eastAsia="Courier New" w:hAnsi="Courier New"/>
          <w:sz w:val="15"/>
          <w:szCs w:val="15"/>
          <w:color w:val="auto"/>
        </w:rPr>
      </w:pPr>
    </w:p>
    <w:p>
      <w:pPr>
        <w:ind w:left="53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primary data processing systems for financial reporting, and merchandise management have been upgraded with new releases of year 2000 compliant software. Other significant systems utilized by the Company, which</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7" w:right="1440" w:bottom="1440" w:gutter="0" w:footer="0" w:header="0"/>
        </w:sectPr>
      </w:pPr>
    </w:p>
    <w:bookmarkStart w:id="24" w:name="page25"/>
    <w:bookmarkEnd w:id="24"/>
    <w:p>
      <w:pPr>
        <w:ind w:left="530" w:right="3359"/>
        <w:spacing w:after="0" w:line="237" w:lineRule="auto"/>
        <w:rPr>
          <w:sz w:val="20"/>
          <w:szCs w:val="20"/>
          <w:color w:val="auto"/>
        </w:rPr>
      </w:pPr>
      <w:r>
        <w:rPr>
          <w:rFonts w:ascii="Courier New" w:cs="Courier New" w:eastAsia="Courier New" w:hAnsi="Courier New"/>
          <w:sz w:val="15"/>
          <w:szCs w:val="15"/>
          <w:color w:val="auto"/>
        </w:rPr>
        <w:t>include point of sale register systems, are in the process of being upgraded and will be complete in the second quarter of fiscal 1999. The payroll system is in the process of being reviewed and the Company plans to upgrade this system in fiscal 1999.</w:t>
      </w:r>
    </w:p>
    <w:p>
      <w:pPr>
        <w:spacing w:after="0" w:line="176" w:lineRule="exact"/>
        <w:rPr>
          <w:sz w:val="20"/>
          <w:szCs w:val="20"/>
          <w:color w:val="auto"/>
        </w:rPr>
      </w:pPr>
    </w:p>
    <w:p>
      <w:pPr>
        <w:ind w:left="530" w:right="3359"/>
        <w:spacing w:after="0" w:line="238" w:lineRule="auto"/>
        <w:rPr>
          <w:sz w:val="20"/>
          <w:szCs w:val="20"/>
          <w:color w:val="auto"/>
        </w:rPr>
      </w:pPr>
      <w:r>
        <w:rPr>
          <w:rFonts w:ascii="Courier New" w:cs="Courier New" w:eastAsia="Courier New" w:hAnsi="Courier New"/>
          <w:sz w:val="15"/>
          <w:szCs w:val="15"/>
          <w:color w:val="auto"/>
        </w:rPr>
        <w:t>Management is reviewing embedded systems impacted by the year 2000 issue and a plan has been developed to address embedded systems based upon how critical they are to the business. During the second quarter of fiscal 1999 the Company expects to implement a plan to determine the year 2000 readiness of the Company's vendors including Levi Strauss &amp; Co. and the Company's other merchandise vendors.</w:t>
      </w:r>
    </w:p>
    <w:p>
      <w:pPr>
        <w:spacing w:after="0" w:line="176" w:lineRule="exact"/>
        <w:rPr>
          <w:sz w:val="20"/>
          <w:szCs w:val="20"/>
          <w:color w:val="auto"/>
        </w:rPr>
      </w:pPr>
    </w:p>
    <w:p>
      <w:pPr>
        <w:ind w:left="530" w:right="3359" w:hanging="530"/>
        <w:spacing w:after="0" w:line="238" w:lineRule="auto"/>
        <w:tabs>
          <w:tab w:leader="none" w:pos="5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to Address Year 2000 Issues: The Company expects to spend approximately $600,000 in total, which will be expensed in the Company's financial statements as incurred, in the conversion and upgrade costs. Through the end of fiscal year 1998, the Company has spent and expensed approximately $300,000 in this area. The Company expects that cash flow from operations, and short-term revolving borrowings will enable it to fund its Year 2000 remediation.</w:t>
      </w:r>
    </w:p>
    <w:p>
      <w:pPr>
        <w:spacing w:after="0" w:line="177" w:lineRule="exact"/>
        <w:rPr>
          <w:sz w:val="20"/>
          <w:szCs w:val="20"/>
          <w:color w:val="auto"/>
        </w:rPr>
      </w:pPr>
    </w:p>
    <w:p>
      <w:pPr>
        <w:ind w:left="530" w:right="3179" w:hanging="530"/>
        <w:spacing w:after="0" w:line="238" w:lineRule="auto"/>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the Company's Year 2000 Issues: The Company's ability to operate would be impacted by the lack of electronic transmission of data from its merchandise vendors and would result in the implementation of manual processes to account for receipt of merchandise. The implementation of manual processes would result in a slow down of product shipments to the Company's stores, which could have an adverse impact on sales. In a worse case scenario, telecommunications or electrical power interruptions on a regional or national scale could adversely affect all merchants' ability to operate.</w:t>
      </w:r>
    </w:p>
    <w:p>
      <w:pPr>
        <w:spacing w:after="0" w:line="179" w:lineRule="exact"/>
        <w:rPr>
          <w:sz w:val="20"/>
          <w:szCs w:val="20"/>
          <w:color w:val="auto"/>
        </w:rPr>
      </w:pPr>
    </w:p>
    <w:p>
      <w:pPr>
        <w:ind w:left="530" w:right="3439" w:hanging="519"/>
        <w:spacing w:after="0" w:line="237" w:lineRule="auto"/>
        <w:tabs>
          <w:tab w:leader="none" w:pos="509" w:val="left"/>
        </w:tabs>
        <w:rPr>
          <w:sz w:val="20"/>
          <w:szCs w:val="20"/>
          <w:color w:val="auto"/>
        </w:rPr>
      </w:pPr>
      <w:r>
        <w:rPr>
          <w:rFonts w:ascii="Courier New" w:cs="Courier New" w:eastAsia="Courier New" w:hAnsi="Courier New"/>
          <w:sz w:val="15"/>
          <w:szCs w:val="15"/>
          <w:color w:val="auto"/>
        </w:rPr>
        <w:t>IV.</w:t>
        <w:tab/>
        <w:t>Company's Contingency Plan: The Company's contingency plan in the event that a slow down of shipments from Levi Strauss &amp; Co. occurs includes increasing purchases in advance of the beginning of the year 2000 to ensure adequate supplies of merchandise would be available.</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CAPITAL EXPENDITURES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following table sets forth the stores opened, remodeled and closed and the associated capital expenditures incurred for the fiscal years presented:</w:t>
      </w:r>
    </w:p>
    <w:p>
      <w:pPr>
        <w:spacing w:after="0" w:line="170" w:lineRule="exact"/>
        <w:rPr>
          <w:sz w:val="20"/>
          <w:szCs w:val="20"/>
          <w:color w:val="auto"/>
        </w:rPr>
      </w:pPr>
    </w:p>
    <w:p>
      <w:pPr>
        <w:ind w:left="4050"/>
        <w:spacing w:after="0"/>
        <w:tabs>
          <w:tab w:leader="none" w:pos="5189" w:val="left"/>
          <w:tab w:leader="none" w:pos="6329"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4"/>
          <w:szCs w:val="14"/>
          <w:color w:val="auto"/>
        </w:rPr>
        <w:t>1996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Designs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Boston Trading Co.(R)</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Boston Traders(R)outlets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Joint Venture:</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Original Levi's Stores(TM)</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Levi's(R)Outlet stores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170"/>
        </w:trPr>
        <w:tc>
          <w:tcPr>
            <w:tcW w:w="320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new stores (1)</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Remodeled Levi's(R) Outlet</w:t>
            </w: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by Designs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Remodeled Designs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Remodeled Boston Traders(R)</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Outlets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20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remodeled stores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r>
      <w:tr>
        <w:trPr>
          <w:trHeight w:val="170"/>
        </w:trPr>
        <w:tc>
          <w:tcPr>
            <w:tcW w:w="320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Total closed stores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320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Capital expenditures (000's)</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$6,554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$2,775</w:t>
            </w:r>
          </w:p>
        </w:tc>
      </w:tr>
      <w:tr>
        <w:trPr>
          <w:trHeight w:val="170"/>
        </w:trPr>
        <w:tc>
          <w:tcPr>
            <w:tcW w:w="3200" w:type="dxa"/>
            <w:vAlign w:val="bottom"/>
          </w:tcPr>
          <w:p>
            <w:pPr>
              <w:spacing w:after="0"/>
              <w:rPr>
                <w:sz w:val="14"/>
                <w:szCs w:val="14"/>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530" w:right="3619" w:hanging="530"/>
        <w:spacing w:after="0" w:line="235" w:lineRule="auto"/>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16 Dockers(R) Outlet stores and nine Levi's(R) Outlet stores acquired by the Company on September 30, 1998.</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Exclusive of the acquisition described above, the Company did not remodel or open any new stores in fiscal 1998. The Company incurred capital expenditures of $510,000 in fiscal 1998 related to miscellaneous store capital improvements, leasehold improvements and technology expenditures.</w:t>
      </w:r>
    </w:p>
    <w:p>
      <w:pPr>
        <w:spacing w:after="0" w:line="176"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Company's present plans for expansion in fiscal 1999, barring unforeseen circumstances, includes opening three new Levi's(R)/Dockers(R) Outlet by Designs stores and relocating seven existing Levi's(R) Outlet by Designs stores to new outlet centers</w:t>
      </w:r>
    </w:p>
    <w:p>
      <w:pPr>
        <w:spacing w:after="0" w:line="340"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627" w:right="1440" w:bottom="1440" w:gutter="0" w:footer="0" w:header="0"/>
        </w:sectPr>
      </w:pPr>
    </w:p>
    <w:bookmarkStart w:id="25" w:name="page26"/>
    <w:bookmarkEnd w:id="25"/>
    <w:p>
      <w:pPr>
        <w:ind w:right="3439"/>
        <w:spacing w:after="0" w:line="237" w:lineRule="auto"/>
        <w:rPr>
          <w:sz w:val="20"/>
          <w:szCs w:val="20"/>
          <w:color w:val="auto"/>
        </w:rPr>
      </w:pPr>
      <w:r>
        <w:rPr>
          <w:rFonts w:ascii="Courier New" w:cs="Courier New" w:eastAsia="Courier New" w:hAnsi="Courier New"/>
          <w:sz w:val="15"/>
          <w:szCs w:val="15"/>
          <w:color w:val="auto"/>
        </w:rPr>
        <w:t>in the Eastern United States. The capital expenditures related to these new stores are expected, barring unforeseen circumstances, to total approximately $1.7 million. This amount is net of committed landlord allowances that the Company expects to receive during fiscal 1999.</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approximate cost to remodel or build a new Levi's(R)/Dockers(R) Outlet store is approximately $35 per square foot. If the Company remodels or replaces twelve of its 59 oldest Levi's(R) Outlet by Designs stores each year beginning in fiscal 1999, the capital expenditures associated with this construction, excluding any landlord allowances that the Company may receive, are expected to be approximately $4.2 million per year for each of the next five years. See Recent Developments above.</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continues to seek opportunities to open and operate outlet stores for other manufacturers of branded apparel. The Company continues to evaluate the performance of its existing stores and to consider ways to enhance its businesses. As a result of this process, certain store locations could be closed or relocated within a shopping center in the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requires that all derivative instruments be recorded on the balance sheet at their fair value. Changes in the fair value of derivatives are recorded in current earnings or other comprehensive income, depending on whether the derivative is designated as part of a hedge transaction and, if it is, the type of hedge transaction. The Company will be required to adopt SFAS No. 133 in fiscal 2000. The Company does not anticipate that the adoption of SFAS No. 133 will have a significant effect on the Company's results of operations or financial 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Effects of Inflation</w:t>
      </w:r>
    </w:p>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Although the Company's operations are influenced by general economic trends, the Company does not believe that inflation has had a material effect on the results of its operations in the last three fiscal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refer to the Company's Current Report on Form 8-K, previously filed with the United States Securities and Exchange Commission on May 1, 1998, which identifies certain risks and uncertainties that may have an impact on future earnings and the direction of the Company.</w:t>
      </w:r>
    </w:p>
    <w:p>
      <w:pPr>
        <w:spacing w:after="0" w:line="34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Not applicable.</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5" w:lineRule="exact"/>
        <w:rPr>
          <w:sz w:val="20"/>
          <w:szCs w:val="20"/>
          <w:color w:val="auto"/>
        </w:rPr>
      </w:pPr>
    </w:p>
    <w:p>
      <w:pPr>
        <w:jc w:val="both"/>
        <w:ind w:left="780" w:right="3439"/>
        <w:spacing w:after="0" w:line="237" w:lineRule="auto"/>
        <w:rPr>
          <w:sz w:val="20"/>
          <w:szCs w:val="20"/>
          <w:color w:val="auto"/>
        </w:rPr>
      </w:pPr>
      <w:r>
        <w:rPr>
          <w:rFonts w:ascii="Courier New" w:cs="Courier New" w:eastAsia="Courier New" w:hAnsi="Courier New"/>
          <w:sz w:val="15"/>
          <w:szCs w:val="15"/>
          <w:color w:val="auto"/>
        </w:rPr>
        <w:t>The financial statements and other information required by this item are listed in the "Index to Financial Statements" on page 34 of this Report.</w:t>
      </w:r>
    </w:p>
    <w:p>
      <w:pPr>
        <w:spacing w:after="0" w:line="175" w:lineRule="exact"/>
        <w:rPr>
          <w:sz w:val="20"/>
          <w:szCs w:val="20"/>
          <w:color w:val="auto"/>
        </w:rPr>
      </w:pPr>
    </w:p>
    <w:p>
      <w:pPr>
        <w:ind w:left="780" w:right="4239" w:hanging="792"/>
        <w:spacing w:after="0" w:line="235" w:lineRule="auto"/>
        <w:tabs>
          <w:tab w:leader="none" w:pos="76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None.</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Information with respect to directors and executive officers of the Company is incorporated herein by reference to the Company's definitive proxy statement expected to be filed within 120 days of the end of the fiscal year ended January 30,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Information with respect to executive compensation is incorporated herein by reference to the Company's definitive proxy statement expected to be filed within 120 days of the end of the fiscal year ended January 30, 1999.</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Information with respect to security ownership of certain beneficial owners and management is incorporated herein by reference to the Company's definitive proxy statement expected to be filed within 120 days of the end of the fiscal year ended January 30,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Information with respect to certain relationships and related transactions is incorporated by reference to the Company's definitive proxy statement to be filed within 120 days of the fiscal year ended January 30, 1999.</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22" w:right="1440" w:bottom="1440" w:gutter="0" w:footer="0" w:header="0"/>
        </w:sectPr>
      </w:pPr>
    </w:p>
    <w:bookmarkStart w:id="28" w:name="page29"/>
    <w:bookmarkEnd w:id="28"/>
    <w:p>
      <w:pPr>
        <w:ind w:left="317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14(a)(1) Financial Statements</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The list of consolidated financial statements and notes required by this Item 14(a)(1) is set forth in the "Index to Financial Statements" on page XX of this Report.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14(a)(2) Financial Statement Schedules</w:t>
      </w:r>
    </w:p>
    <w:p>
      <w:pPr>
        <w:spacing w:after="0" w:line="175" w:lineRule="exact"/>
        <w:rPr>
          <w:sz w:val="20"/>
          <w:szCs w:val="20"/>
          <w:color w:val="auto"/>
        </w:rPr>
      </w:pPr>
    </w:p>
    <w:p>
      <w:pPr>
        <w:ind w:left="10" w:right="3179"/>
        <w:spacing w:after="0" w:line="265" w:lineRule="auto"/>
        <w:rPr>
          <w:sz w:val="20"/>
          <w:szCs w:val="20"/>
          <w:color w:val="auto"/>
        </w:rPr>
      </w:pPr>
      <w:r>
        <w:rPr>
          <w:rFonts w:ascii="Courier New" w:cs="Courier New" w:eastAsia="Courier New" w:hAnsi="Courier New"/>
          <w:sz w:val="14"/>
          <w:szCs w:val="14"/>
          <w:color w:val="auto"/>
        </w:rPr>
        <w:t>Schedule II- Valuation and Qualifying Accounts for the three years ended January 30, 1999, January 31, 1998 and February 1, 1997 on page 28 of this Report.</w:t>
      </w:r>
    </w:p>
    <w:p>
      <w:pPr>
        <w:spacing w:after="0" w:line="158"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All other schedules, other than the one listed above,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14(a)(3) Exhibits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The list of exhibits required by this Item 14(a)(3) is set forth in the "Index to Exhibits" on pages 29 to 32 of this Report.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14(b) Reports on Form 8-K</w:t>
      </w:r>
    </w:p>
    <w:p>
      <w:pPr>
        <w:spacing w:after="0" w:line="175" w:lineRule="exact"/>
        <w:rPr>
          <w:sz w:val="20"/>
          <w:szCs w:val="20"/>
          <w:color w:val="auto"/>
        </w:rPr>
      </w:pPr>
    </w:p>
    <w:p>
      <w:pPr>
        <w:ind w:left="10" w:right="3179"/>
        <w:spacing w:after="0" w:line="256" w:lineRule="auto"/>
        <w:rPr>
          <w:sz w:val="20"/>
          <w:szCs w:val="20"/>
          <w:color w:val="auto"/>
        </w:rPr>
      </w:pPr>
      <w:r>
        <w:rPr>
          <w:rFonts w:ascii="Courier New" w:cs="Courier New" w:eastAsia="Courier New" w:hAnsi="Courier New"/>
          <w:sz w:val="14"/>
          <w:szCs w:val="14"/>
          <w:color w:val="auto"/>
        </w:rPr>
        <w:t>The Company reported under Item 5 of Form 8-K, dated December 3, 1998, that the Company (i) purchased nine Levi's(R) Outlet stores and 16 Dockers(R) Outlet stores from Levi's Only Stores, Inc. (LOS), (ii) entered into an Amendment and Distribution Agreement with LDJV Inc., a wholly owned subsidiary of LOS to dissolve and wind up the OLS Partnership, (iii) entered into a Guaranty on October 31, 1998, in connection with the Distribution Agreement, (iv) entered into an Amended and Restated Trademark License Agreement with Levi Strauss &amp; Co. dated October 31, 1998, (v) entered into a First Amendment on September 29, 1998 to the Amended and Restated Loan and Security Agreement, dated June 4, 1998 and</w:t>
      </w:r>
    </w:p>
    <w:p>
      <w:pPr>
        <w:spacing w:after="0" w:line="3" w:lineRule="exact"/>
        <w:rPr>
          <w:sz w:val="20"/>
          <w:szCs w:val="20"/>
          <w:color w:val="auto"/>
        </w:rPr>
      </w:pPr>
    </w:p>
    <w:p>
      <w:pPr>
        <w:ind w:left="10" w:right="3619" w:hanging="10"/>
        <w:spacing w:after="0" w:line="235"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 Second Amendment on October 31, 1998 to the Amended and Restated Loan and Security Agreement, dated June 4, 1998.</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9"/>
          </w:cols>
          <w:pgMar w:left="230" w:top="622" w:right="1440" w:bottom="1440" w:gutter="0" w:footer="0" w:header="0"/>
        </w:sectPr>
      </w:pPr>
    </w:p>
    <w:bookmarkStart w:id="29" w:name="page30"/>
    <w:bookmarkEnd w:id="29"/>
    <w:p>
      <w:pPr>
        <w:jc w:val="center"/>
        <w:ind w:right="3070"/>
        <w:spacing w:after="0"/>
        <w:rPr>
          <w:sz w:val="20"/>
          <w:szCs w:val="20"/>
          <w:color w:val="auto"/>
        </w:rPr>
      </w:pPr>
      <w:r>
        <w:rPr>
          <w:rFonts w:ascii="Courier New" w:cs="Courier New" w:eastAsia="Courier New" w:hAnsi="Courier New"/>
          <w:sz w:val="15"/>
          <w:szCs w:val="15"/>
          <w:color w:val="auto"/>
        </w:rPr>
        <w:t>SCHEDULE II</w:t>
      </w:r>
    </w:p>
    <w:p>
      <w:pPr>
        <w:jc w:val="center"/>
        <w:ind w:right="3090"/>
        <w:spacing w:after="0"/>
        <w:rPr>
          <w:sz w:val="20"/>
          <w:szCs w:val="20"/>
          <w:color w:val="auto"/>
        </w:rPr>
      </w:pPr>
      <w:r>
        <w:rPr>
          <w:rFonts w:ascii="Courier New" w:cs="Courier New" w:eastAsia="Courier New" w:hAnsi="Courier New"/>
          <w:sz w:val="15"/>
          <w:szCs w:val="15"/>
          <w:color w:val="auto"/>
        </w:rPr>
        <w:t>DESIGNS, INC.</w:t>
      </w:r>
    </w:p>
    <w:p>
      <w:pPr>
        <w:spacing w:after="0" w:line="16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VALUATION AND QUALIFYING ACCOUNTS</w:t>
      </w:r>
    </w:p>
    <w:p>
      <w:pPr>
        <w:ind w:left="1670"/>
        <w:spacing w:after="0"/>
        <w:rPr>
          <w:sz w:val="20"/>
          <w:szCs w:val="20"/>
          <w:color w:val="auto"/>
        </w:rPr>
      </w:pPr>
      <w:r>
        <w:rPr>
          <w:rFonts w:ascii="Courier New" w:cs="Courier New" w:eastAsia="Courier New" w:hAnsi="Courier New"/>
          <w:sz w:val="15"/>
          <w:szCs w:val="15"/>
          <w:color w:val="auto"/>
        </w:rPr>
        <w:t>For the Three Years Ended January 30, 1999</w:t>
      </w:r>
    </w:p>
    <w:p>
      <w:pPr>
        <w:spacing w:after="0" w:line="200" w:lineRule="exact"/>
        <w:rPr>
          <w:sz w:val="20"/>
          <w:szCs w:val="20"/>
          <w:color w:val="auto"/>
        </w:rPr>
      </w:pPr>
    </w:p>
    <w:p>
      <w:pPr>
        <w:spacing w:after="0" w:line="308" w:lineRule="exact"/>
        <w:rPr>
          <w:sz w:val="20"/>
          <w:szCs w:val="20"/>
          <w:color w:val="auto"/>
        </w:rPr>
      </w:pPr>
    </w:p>
    <w:p>
      <w:pPr>
        <w:ind w:left="3270"/>
        <w:spacing w:after="0"/>
        <w:tabs>
          <w:tab w:leader="none" w:pos="8269" w:val="left"/>
        </w:tabs>
        <w:rPr>
          <w:sz w:val="20"/>
          <w:szCs w:val="20"/>
          <w:color w:val="auto"/>
        </w:rPr>
      </w:pPr>
      <w:r>
        <w:rPr>
          <w:rFonts w:ascii="Courier New" w:cs="Courier New" w:eastAsia="Courier New" w:hAnsi="Courier New"/>
          <w:sz w:val="15"/>
          <w:szCs w:val="15"/>
          <w:color w:val="auto"/>
        </w:rPr>
        <w:t>Balance at</w:t>
      </w:r>
      <w:r>
        <w:rPr>
          <w:sz w:val="20"/>
          <w:szCs w:val="20"/>
          <w:color w:val="auto"/>
        </w:rPr>
        <w:tab/>
      </w:r>
      <w:r>
        <w:rPr>
          <w:rFonts w:ascii="Courier New" w:cs="Courier New" w:eastAsia="Courier New" w:hAnsi="Courier New"/>
          <w:sz w:val="14"/>
          <w:szCs w:val="14"/>
          <w:color w:val="auto"/>
        </w:rPr>
        <w:t>Balance</w:t>
      </w:r>
    </w:p>
    <w:p>
      <w:pPr>
        <w:ind w:left="3170"/>
        <w:spacing w:after="0"/>
        <w:tabs>
          <w:tab w:leader="none" w:pos="5349" w:val="left"/>
          <w:tab w:leader="none" w:pos="6669" w:val="left"/>
          <w:tab w:leader="none" w:pos="8269" w:val="left"/>
        </w:tabs>
        <w:rPr>
          <w:sz w:val="20"/>
          <w:szCs w:val="20"/>
          <w:color w:val="auto"/>
        </w:rPr>
      </w:pPr>
      <w:r>
        <w:rPr>
          <w:rFonts w:ascii="Courier New" w:cs="Courier New" w:eastAsia="Courier New" w:hAnsi="Courier New"/>
          <w:sz w:val="15"/>
          <w:szCs w:val="15"/>
          <w:color w:val="auto"/>
        </w:rPr>
        <w:t>Beginning of</w:t>
      </w:r>
      <w:r>
        <w:rPr>
          <w:sz w:val="20"/>
          <w:szCs w:val="20"/>
          <w:color w:val="auto"/>
        </w:rPr>
        <w:tab/>
      </w:r>
      <w:r>
        <w:rPr>
          <w:rFonts w:ascii="Courier New" w:cs="Courier New" w:eastAsia="Courier New" w:hAnsi="Courier New"/>
          <w:sz w:val="15"/>
          <w:szCs w:val="15"/>
          <w:color w:val="auto"/>
        </w:rPr>
        <w:t>Net</w:t>
      </w:r>
      <w:r>
        <w:rPr>
          <w:sz w:val="20"/>
          <w:szCs w:val="20"/>
          <w:color w:val="auto"/>
        </w:rPr>
        <w:tab/>
      </w:r>
      <w:r>
        <w:rPr>
          <w:rFonts w:ascii="Courier New" w:cs="Courier New" w:eastAsia="Courier New" w:hAnsi="Courier New"/>
          <w:sz w:val="15"/>
          <w:szCs w:val="15"/>
          <w:color w:val="auto"/>
        </w:rPr>
        <w:t>Charges/</w:t>
      </w:r>
      <w:r>
        <w:rPr>
          <w:sz w:val="20"/>
          <w:szCs w:val="20"/>
          <w:color w:val="auto"/>
        </w:rPr>
        <w:tab/>
      </w:r>
      <w:r>
        <w:rPr>
          <w:rFonts w:ascii="Courier New" w:cs="Courier New" w:eastAsia="Courier New" w:hAnsi="Courier New"/>
          <w:sz w:val="14"/>
          <w:szCs w:val="14"/>
          <w:color w:val="auto"/>
        </w:rPr>
        <w:t>At End</w:t>
      </w:r>
    </w:p>
    <w:p>
      <w:pPr>
        <w:ind w:left="790"/>
        <w:spacing w:after="0"/>
        <w:tabs>
          <w:tab w:leader="none" w:pos="3509" w:val="left"/>
          <w:tab w:leader="none" w:pos="5089" w:val="left"/>
          <w:tab w:leader="none" w:pos="6589" w:val="left"/>
          <w:tab w:leader="none" w:pos="8349"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Provision</w:t>
      </w:r>
      <w:r>
        <w:rPr>
          <w:sz w:val="20"/>
          <w:szCs w:val="20"/>
          <w:color w:val="auto"/>
        </w:rPr>
        <w:tab/>
      </w:r>
      <w:r>
        <w:rPr>
          <w:rFonts w:ascii="Courier New" w:cs="Courier New" w:eastAsia="Courier New" w:hAnsi="Courier New"/>
          <w:sz w:val="15"/>
          <w:szCs w:val="15"/>
          <w:color w:val="auto"/>
        </w:rPr>
        <w:t>Write-offs</w:t>
      </w:r>
      <w:r>
        <w:rPr>
          <w:sz w:val="20"/>
          <w:szCs w:val="20"/>
          <w:color w:val="auto"/>
        </w:rPr>
        <w:tab/>
      </w:r>
      <w:r>
        <w:rPr>
          <w:rFonts w:ascii="Courier New" w:cs="Courier New" w:eastAsia="Courier New" w:hAnsi="Courier New"/>
          <w:sz w:val="15"/>
          <w:szCs w:val="15"/>
          <w:color w:val="auto"/>
        </w:rPr>
        <w:t>Year</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gridSpan w:val="5"/>
          </w:tcPr>
          <w:p>
            <w:pPr>
              <w:spacing w:after="0"/>
              <w:rPr>
                <w:sz w:val="20"/>
                <w:szCs w:val="20"/>
                <w:color w:val="auto"/>
              </w:rPr>
            </w:pPr>
            <w:r>
              <w:rPr>
                <w:rFonts w:ascii="Courier New" w:cs="Courier New" w:eastAsia="Courier New" w:hAnsi="Courier New"/>
                <w:sz w:val="15"/>
                <w:szCs w:val="15"/>
                <w:color w:val="auto"/>
              </w:rPr>
              <w:t>Accrued Restructuring Reserves</w:t>
            </w: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3120" w:type="dxa"/>
            <w:vAlign w:val="bottom"/>
            <w:gridSpan w:val="5"/>
          </w:tcPr>
          <w:p>
            <w:pPr>
              <w:spacing w:after="0"/>
              <w:rPr>
                <w:sz w:val="20"/>
                <w:szCs w:val="20"/>
                <w:color w:val="auto"/>
              </w:rPr>
            </w:pPr>
            <w:r>
              <w:rPr>
                <w:rFonts w:ascii="Courier New" w:cs="Courier New" w:eastAsia="Courier New" w:hAnsi="Courier New"/>
                <w:sz w:val="15"/>
                <w:szCs w:val="15"/>
                <w:color w:val="auto"/>
              </w:rPr>
              <w:t>Year ended February 1, 1997</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January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21,600(1)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18,672)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2,629(3)</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Year</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January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2,629</w:t>
            </w:r>
          </w:p>
        </w:tc>
        <w:tc>
          <w:tcPr>
            <w:tcW w:w="16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15,706(2)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11,174)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7,161(4)</w:t>
            </w:r>
          </w:p>
        </w:tc>
      </w:tr>
    </w:tbl>
    <w:p>
      <w:pPr>
        <w:spacing w:after="0" w:line="344" w:lineRule="exact"/>
        <w:rPr>
          <w:sz w:val="20"/>
          <w:szCs w:val="20"/>
          <w:color w:val="auto"/>
        </w:rPr>
      </w:pPr>
    </w:p>
    <w:p>
      <w:pPr>
        <w:ind w:left="530" w:right="3179" w:hanging="530"/>
        <w:spacing w:after="0" w:line="238" w:lineRule="auto"/>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1997, the Company recorded charges of $21.6 million related to severance and its shift in strategy away from the vertically integrated Boston Traders(R) private label concept to a strategy with greater emphasis on name brands. Included in this charge was $13.9 million for merchandise markdowns and costs associated with the cancellation of fabric commitments which were included in cost of goods sold for the fiscal year ending January 31, 1998.</w:t>
      </w:r>
    </w:p>
    <w:p>
      <w:pPr>
        <w:spacing w:after="0" w:line="7" w:lineRule="exact"/>
        <w:rPr>
          <w:rFonts w:ascii="Courier New" w:cs="Courier New" w:eastAsia="Courier New" w:hAnsi="Courier New"/>
          <w:sz w:val="15"/>
          <w:szCs w:val="15"/>
          <w:color w:val="auto"/>
        </w:rPr>
      </w:pPr>
    </w:p>
    <w:p>
      <w:pPr>
        <w:ind w:left="530" w:right="3539" w:hanging="530"/>
        <w:spacing w:after="0" w:line="256" w:lineRule="auto"/>
        <w:tabs>
          <w:tab w:leader="none" w:pos="53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the severance and store closing charge for fiscal 1998 of $15.7 million, is a markdown reserve of $808,000 which was included in cost of goods sold for the fiscal year ending January 30, 1999.</w:t>
      </w:r>
    </w:p>
    <w:p>
      <w:pPr>
        <w:jc w:val="both"/>
        <w:ind w:left="530" w:right="3699" w:hanging="530"/>
        <w:spacing w:after="0" w:line="237" w:lineRule="auto"/>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reserve balance at year end is a markdown reserve of $830,000 which was included in inventory on the consolidated balance sheet.</w:t>
      </w:r>
    </w:p>
    <w:p>
      <w:pPr>
        <w:spacing w:after="0" w:line="5" w:lineRule="exact"/>
        <w:rPr>
          <w:rFonts w:ascii="Courier New" w:cs="Courier New" w:eastAsia="Courier New" w:hAnsi="Courier New"/>
          <w:sz w:val="15"/>
          <w:szCs w:val="15"/>
          <w:color w:val="auto"/>
        </w:rPr>
      </w:pPr>
    </w:p>
    <w:p>
      <w:pPr>
        <w:ind w:left="530" w:right="3359" w:hanging="530"/>
        <w:spacing w:after="0" w:line="237" w:lineRule="auto"/>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reserve balance at year end is a markdown reserve of $808,000 which was included in inventory and $1,981,000 of fixed asset reserves which were included in fixed assets on the consolidated balance sheet.</w:t>
      </w:r>
    </w:p>
    <w:p>
      <w:pPr>
        <w:spacing w:after="0" w:line="340"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622"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Exhibits</w:t>
            </w:r>
          </w:p>
        </w:tc>
        <w:tc>
          <w:tcPr>
            <w:tcW w:w="26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Restated Certificate of Incorporation of the Company, as</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amended (included as Exhibit 3.1 to Amendment No. 3 of the</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Company's Registration Statement on Form S-1 (No. 33-13402),</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Certificate of Amendment to Restated Certificate of</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Incorporation, as amended, dated June 22, 1993 (included as</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Exhibit 3.2 to the Company's Quarterly Report on Form 10-Q</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dated June 17, 1996,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3.3</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Certificate of Designations, Preferences and Rights of a</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Series of Preferred Stock of the Company establishing Series</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 Junior Participating Cumulative Preferred Stock dated May</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 1995 (included as Exhibit 3.2 to the Company's Annual</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Report on Form 10-K dated May 1, 1996, and incorporated</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3.4</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By-Laws of the Company, as amended.</w:t>
            </w:r>
          </w:p>
        </w:tc>
        <w:tc>
          <w:tcPr>
            <w:tcW w:w="260" w:type="dxa"/>
            <w:vAlign w:val="bottom"/>
          </w:tcPr>
          <w:p>
            <w:pPr>
              <w:spacing w:after="0"/>
              <w:rPr>
                <w:sz w:val="24"/>
                <w:szCs w:val="2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4.1</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Shareholder Rights Agreement dated as of May 1, 1995 between</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the Company and its transfer agent (included as Exhibit 4.1</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to the Company's Current Report on Form 8-K dated May 1,</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4.2</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First Amendment dated as of October 6, 1997 to the</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Shareholder Rights Agreement dated as of May 1, 1995 between</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the Company its transfer agent (included as Exhibit 4.1 to</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the Company's Current Report on Form 8-K dated October 9,</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1997,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1987 Incentive Stock Option Plan, as amended (included as</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Exhibit 10.1 to the Company's Annual Report on Form 10-K</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dated April 29, 1993,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1987 Non-Qualified Stock Option Plan, as amended (included as</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Exhibit 10.2 to the Company's Annual Report on Form 10-K</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dated April 29, 1993,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1992 Stock Incentive Plan, as amended (included as Exhibit</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10.3 to the Company's Quarterly Report on Form 10-Q dated</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June 16, 1998,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Senior Executive Incentive Plan for the fiscal year ending</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January 29, 2000.</w:t>
            </w:r>
          </w:p>
        </w:tc>
        <w:tc>
          <w:tcPr>
            <w:tcW w:w="260" w:type="dxa"/>
            <w:vAlign w:val="bottom"/>
          </w:tcPr>
          <w:p>
            <w:pPr>
              <w:spacing w:after="0"/>
              <w:rPr>
                <w:sz w:val="14"/>
                <w:szCs w:val="14"/>
                <w:color w:val="auto"/>
              </w:rPr>
            </w:pP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License Agreement between the Company and Levi Strauss &amp; Co.</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dated as of April 14, 1992 (included as Exhibit 10.8 to the</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Company's Annual Report on Form 10-K dated April 29, 1993,</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Amended and Restated Trademark License Agreement between the</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Company and Levi Strauss &amp; Co. dated as of October 31, 1998</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(included as Exhibit 10.4 to the Company's Current Report on</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Form 8-K dated December 3, 1998, and incorporated herein by</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Amended and Restated Loan and Security Agreement dated as of</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June 4, 1998, between the Company and BankBoston Retail</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Finance Inc., as agent for the Lender(s) identified therein</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("BRBF"), and the Lender(s) (included as Exhibit 10.1 to the</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Company's Current Report on Form 8-K dated June 11, 1998, and</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Fee letter dated as of June 4, 1998, between the Company and</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BBRF (included as Exhibit 10.2 to the Company's Current</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Report on Form 8-K dated June 11, 1998, and incorporated</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0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First Amendment to Loan and Security Agreement dated as of</w:t>
            </w:r>
          </w:p>
        </w:tc>
        <w:tc>
          <w:tcPr>
            <w:tcW w:w="260" w:type="dxa"/>
            <w:vAlign w:val="bottom"/>
          </w:tcPr>
          <w:p>
            <w:pPr>
              <w:spacing w:after="0"/>
              <w:rPr>
                <w:sz w:val="24"/>
                <w:szCs w:val="2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September 29, 1998 among the Company, BBRF and the Lender(s)</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identified therein (included as Exhibit 10.5 to the Company's</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Current Report on Form 8-K dated December 3, 1998, and</w:t>
            </w:r>
          </w:p>
        </w:tc>
        <w:tc>
          <w:tcPr>
            <w:tcW w:w="260" w:type="dxa"/>
            <w:vAlign w:val="bottom"/>
          </w:tcPr>
          <w:p>
            <w:pPr>
              <w:spacing w:after="0"/>
              <w:rPr>
                <w:sz w:val="14"/>
                <w:szCs w:val="14"/>
                <w:color w:val="auto"/>
              </w:rPr>
            </w:pPr>
          </w:p>
        </w:tc>
      </w:tr>
      <w:tr>
        <w:trPr>
          <w:trHeight w:val="170"/>
        </w:trPr>
        <w:tc>
          <w:tcPr>
            <w:tcW w:w="600" w:type="dxa"/>
            <w:vAlign w:val="bottom"/>
          </w:tcPr>
          <w:p>
            <w:pPr>
              <w:spacing w:after="0"/>
              <w:rPr>
                <w:sz w:val="14"/>
                <w:szCs w:val="14"/>
                <w:color w:val="auto"/>
              </w:rPr>
            </w:pPr>
          </w:p>
        </w:tc>
        <w:tc>
          <w:tcPr>
            <w:tcW w:w="5820" w:type="dxa"/>
            <w:vAlign w:val="bottom"/>
          </w:tcPr>
          <w:p>
            <w:pPr>
              <w:ind w:left="28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2"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10.10</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Second Amendment to Loan and Security Agreement dated as of</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October 31, 1998 among the Company, BBRF and the Lender(s)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identified therein (included as Exhibit 10.6 to the Company's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Current Report on Form 8-K dated December 3, 1998, and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10.11</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Participation Agreement among Designs JV Corp. (the "Designs</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Partner"), the Company, LDJV Inc. (the "LOS Partner"), Levi's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Only Stores, Inc. ("LOS"), Levi Strauss &amp; Co. ("LS&amp;CO") and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Levi Strauss Associates Inc. ("LSAI") dated January 28, 1995</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(included as Exhibit 10.1 to the Company's Current Report on</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Form 8-K dated April 24, 1995, and incorporated herein by</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10.12</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Partnership Agreement of The Designs/OLS Partnership (the</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"OLS Partnership") between the LOS Partner and the Designs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Partner dated January 28, 1995 (included as Exhibit 10.2 to</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the Company's Current Report on Form 8-K dated April 24,</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10.13</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Glossary executed by the Designs Partner, the Company, the</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LOS Partner, LOS, LS&amp;CO, LSAI and the OLS Partnership dated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January 28, 1995 (included as Exhibit 10.3 to the Company's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Current Report on Form 8-K dated April 24, 1995, and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10.14</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Sublicense Agreement between LOS and the LOS Partner dated</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January 28, 1995 (included as Exhibit 10.4 to the Company's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Current Report on Form 8-K dated April 24, 1995, and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10.15</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Sublicense Agreement between the LOS Partner and the OLS</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Partnership dated January 28, 1995 (included as Exhibit 10.5</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to the Company's Current Report on Form 8-K dated April 24,</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10.16</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License Agreement between the Company and the OLS Partnership</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dated January 28, 1995 (included as Exhibit 10.6 to the</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Company's Current Report on Form 8-K dated April 24, 1995,</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10.17</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Administrative Services Agreement between the Company and the</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OLS Partnership dated January 28, 1995 (included as Exhibit</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10.7 to the Company's Current Report on Form 8-K dated April</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24, 1995,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10.18</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Amendment and Distribution Agreement dated as of October 31,</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1998 among the Designs Partner, the LOS Partner and the OLS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Partnership (included as Exhibit 10.2 to the Company's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Current Report on Form 8-K dated December 3, 1998, and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10.19</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Guaranty by the Company of the indemnification obligation of</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the Designs Partner dated as of October 31, 1998 in favor of</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LS&amp; Co. (included as Exhibit 10.3 to the Company's Current</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Report on Form 8-K dated December 3, 1998, and incorporated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10.20</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Credit Agreement among the Company, LOS and the OLS</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Partnership dated as of October 1, 1996 (included as Exhibit</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10.15 to the Company's Quarterly Report on Form 10-Q dated</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December 17, 1996,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10.21</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First Amendment to Credit Agreement among the Company, LOS</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and the OLS Partnership dated as of October 29, 1997</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(included as Exhibit 10.16 to the Company's Quarterly Report</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on Form 10-Q dated December 16, 1997, and incorporated herein</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10.22</w:t>
            </w: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Asset Purchase Agreement between LOS and the Company relating</w:t>
            </w:r>
          </w:p>
        </w:tc>
        <w:tc>
          <w:tcPr>
            <w:tcW w:w="260" w:type="dxa"/>
            <w:vAlign w:val="bottom"/>
          </w:tcPr>
          <w:p>
            <w:pPr>
              <w:spacing w:after="0"/>
              <w:rPr>
                <w:sz w:val="24"/>
                <w:szCs w:val="2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to the sale by the Company of stores located in Minneapolis,</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Minnesota dated January 28, 1995 (included as Exhibit 10.9 to</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the Company's Current Report on Form 8-K dated April 24,</w:t>
            </w:r>
          </w:p>
        </w:tc>
        <w:tc>
          <w:tcPr>
            <w:tcW w:w="260" w:type="dxa"/>
            <w:vAlign w:val="bottom"/>
          </w:tcPr>
          <w:p>
            <w:pPr>
              <w:spacing w:after="0"/>
              <w:rPr>
                <w:sz w:val="14"/>
                <w:szCs w:val="14"/>
                <w:color w:val="auto"/>
              </w:rPr>
            </w:pPr>
          </w:p>
        </w:tc>
      </w:tr>
      <w:tr>
        <w:trPr>
          <w:trHeight w:val="170"/>
        </w:trPr>
        <w:tc>
          <w:tcPr>
            <w:tcW w:w="660" w:type="dxa"/>
            <w:vAlign w:val="bottom"/>
          </w:tcPr>
          <w:p>
            <w:pPr>
              <w:spacing w:after="0"/>
              <w:rPr>
                <w:sz w:val="14"/>
                <w:szCs w:val="14"/>
                <w:color w:val="auto"/>
              </w:rPr>
            </w:pPr>
          </w:p>
        </w:tc>
        <w:tc>
          <w:tcPr>
            <w:tcW w:w="5760" w:type="dxa"/>
            <w:vAlign w:val="bottom"/>
          </w:tcPr>
          <w:p>
            <w:pPr>
              <w:ind w:left="220"/>
              <w:spacing w:after="0"/>
              <w:rPr>
                <w:sz w:val="20"/>
                <w:szCs w:val="20"/>
                <w:color w:val="auto"/>
              </w:rPr>
            </w:pPr>
            <w:r>
              <w:rPr>
                <w:rFonts w:ascii="Courier New" w:cs="Courier New" w:eastAsia="Courier New" w:hAnsi="Courier New"/>
                <w:sz w:val="15"/>
                <w:szCs w:val="15"/>
                <w:color w:val="auto"/>
              </w:rPr>
              <w:t>1995, and incorporated herein by reference).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2" w:right="1440"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170"/>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10.23</w:t>
            </w: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Asset Purchase Agreement among Boston Trading Ltd., Inc.,</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Designs Acquisition Corp., the Company and others</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dated April</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21, 1995 (included as 10.16 to the Company's Quarterly Report</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on Form 10-Q dated September 12, 1995, and incorporated</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herein by 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10.24</w:t>
            </w: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Non-Negotiable Promissory Note between the Company and</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Atlantic Harbor, Inc., formerly known as Boston Trading Ltd.,</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Inc., dated May 2, 1995 (included as 10.17 to the</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Company's</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Quarterly Report on Form 10-Q dated September 12,</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1995, and</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10.25</w:t>
            </w: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Asset Purchase Agreement dated as of September 30, 1998</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between the Company and LOS relating to the purchase by the</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 of 16 Dockers(R) Outlet and nine Levi's(R) Outlet stores</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(included as Exhibit 10.1 to the Company's Current Report on</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Form 8-K dated December 3, 1998, and incorporated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herein by</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10.26</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Employment Agreement dated as of October 16,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between the</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Company and Joel H. Reichman (included as Exhibit</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10.1 to the</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Company's Current Report on Form 8-K dated December 6, 1995,</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and incorporated herein by 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10.27</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Employment Agreement dated as of October 16, 1995</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between the</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 and Scott N. Semel (included as Exhibit 10.2 to the</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Company's Current Report on Form 8-K dated December 6, 1995,</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and incorporated herein by 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10.28</w:t>
            </w: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Employment Agreement dated as of May 9, 1997 between the</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 and Carolyn R. Faulkner (included as Exhibit 10.23 to</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the Company's Quarterly Report on Form 10-Q dated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June 17,</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1997, and incorporated herein by 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10.29</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Separation Agreement dated as of February 9, 1998</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between the</w:t>
            </w:r>
          </w:p>
        </w:tc>
      </w:tr>
      <w:tr>
        <w:trPr>
          <w:trHeight w:val="170"/>
        </w:trPr>
        <w:tc>
          <w:tcPr>
            <w:tcW w:w="660" w:type="dxa"/>
            <w:vAlign w:val="bottom"/>
          </w:tcPr>
          <w:p>
            <w:pPr>
              <w:spacing w:after="0"/>
              <w:rPr>
                <w:sz w:val="14"/>
                <w:szCs w:val="14"/>
                <w:color w:val="auto"/>
              </w:rPr>
            </w:pPr>
          </w:p>
        </w:tc>
        <w:tc>
          <w:tcPr>
            <w:tcW w:w="6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Company and Mark S. Lisnow (included as Exhibit 10.26 to the</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Company's Annual Report on Form 10-K dated May 1,</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1998, and</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 reference).</w:t>
            </w:r>
          </w:p>
        </w:tc>
        <w:tc>
          <w:tcPr>
            <w:tcW w:w="1440" w:type="dxa"/>
            <w:vAlign w:val="bottom"/>
          </w:tcPr>
          <w:p>
            <w:pPr>
              <w:ind w:left="1360"/>
              <w:spacing w:after="0"/>
              <w:rPr>
                <w:sz w:val="20"/>
                <w:szCs w:val="20"/>
                <w:color w:val="auto"/>
              </w:rPr>
            </w:pPr>
            <w:r>
              <w:rPr>
                <w:rFonts w:ascii="Courier New" w:cs="Courier New" w:eastAsia="Courier New" w:hAnsi="Courier New"/>
                <w:sz w:val="14"/>
                <w:szCs w:val="14"/>
                <w:color w:val="auto"/>
                <w:w w:val="70"/>
              </w:rPr>
              <w:t>*</w:t>
            </w: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10.30</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James G.</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Groninger, dated December 10, 1998.</w:t>
            </w:r>
          </w:p>
        </w:tc>
        <w:tc>
          <w:tcPr>
            <w:tcW w:w="1440" w:type="dxa"/>
            <w:vAlign w:val="bottom"/>
          </w:tcPr>
          <w:p>
            <w:pPr>
              <w:spacing w:after="0"/>
              <w:rPr>
                <w:sz w:val="14"/>
                <w:szCs w:val="14"/>
                <w:color w:val="auto"/>
              </w:rPr>
            </w:pP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10.31</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Bernard M.</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Manuel, dated December 10, 1998.</w:t>
            </w:r>
          </w:p>
        </w:tc>
        <w:tc>
          <w:tcPr>
            <w:tcW w:w="1440" w:type="dxa"/>
            <w:vAlign w:val="bottom"/>
          </w:tcPr>
          <w:p>
            <w:pPr>
              <w:spacing w:after="0"/>
              <w:rPr>
                <w:sz w:val="14"/>
                <w:szCs w:val="14"/>
                <w:color w:val="auto"/>
              </w:rPr>
            </w:pP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10.32</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Peter L.</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Thigpen, dated December 10, 1998.</w:t>
            </w:r>
          </w:p>
        </w:tc>
        <w:tc>
          <w:tcPr>
            <w:tcW w:w="1440" w:type="dxa"/>
            <w:vAlign w:val="bottom"/>
          </w:tcPr>
          <w:p>
            <w:pPr>
              <w:spacing w:after="0"/>
              <w:rPr>
                <w:sz w:val="14"/>
                <w:szCs w:val="14"/>
                <w:color w:val="auto"/>
              </w:rPr>
            </w:pP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10.33</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Melvin</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Shapiro, dated December 10, 1998.</w:t>
            </w:r>
          </w:p>
        </w:tc>
        <w:tc>
          <w:tcPr>
            <w:tcW w:w="1440" w:type="dxa"/>
            <w:vAlign w:val="bottom"/>
          </w:tcPr>
          <w:p>
            <w:pPr>
              <w:spacing w:after="0"/>
              <w:rPr>
                <w:sz w:val="14"/>
                <w:szCs w:val="14"/>
                <w:color w:val="auto"/>
              </w:rPr>
            </w:pP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10.34</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Joel H.</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Reichman, dated December 10, 1998.</w:t>
            </w:r>
          </w:p>
        </w:tc>
        <w:tc>
          <w:tcPr>
            <w:tcW w:w="1440" w:type="dxa"/>
            <w:vAlign w:val="bottom"/>
          </w:tcPr>
          <w:p>
            <w:pPr>
              <w:spacing w:after="0"/>
              <w:rPr>
                <w:sz w:val="14"/>
                <w:szCs w:val="14"/>
                <w:color w:val="auto"/>
              </w:rPr>
            </w:pP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10.35</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Scott N.</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Semel, dated December 10, 1998.</w:t>
            </w:r>
          </w:p>
        </w:tc>
        <w:tc>
          <w:tcPr>
            <w:tcW w:w="1440" w:type="dxa"/>
            <w:vAlign w:val="bottom"/>
          </w:tcPr>
          <w:p>
            <w:pPr>
              <w:spacing w:after="0"/>
              <w:rPr>
                <w:sz w:val="14"/>
                <w:szCs w:val="14"/>
                <w:color w:val="auto"/>
              </w:rPr>
            </w:pPr>
          </w:p>
        </w:tc>
      </w:tr>
      <w:tr>
        <w:trPr>
          <w:trHeight w:val="339"/>
        </w:trPr>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10.36</w:t>
            </w: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w w:val="98"/>
              </w:rPr>
              <w:t>Indemnification Agreement between the Company and</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Carolyn R.</w:t>
            </w:r>
          </w:p>
        </w:tc>
      </w:tr>
      <w:tr>
        <w:trPr>
          <w:trHeight w:val="170"/>
        </w:trPr>
        <w:tc>
          <w:tcPr>
            <w:tcW w:w="660" w:type="dxa"/>
            <w:vAlign w:val="bottom"/>
          </w:tcPr>
          <w:p>
            <w:pPr>
              <w:spacing w:after="0"/>
              <w:rPr>
                <w:sz w:val="14"/>
                <w:szCs w:val="14"/>
                <w:color w:val="auto"/>
              </w:rPr>
            </w:pPr>
          </w:p>
        </w:tc>
        <w:tc>
          <w:tcPr>
            <w:tcW w:w="4580" w:type="dxa"/>
            <w:vAlign w:val="bottom"/>
          </w:tcPr>
          <w:p>
            <w:pPr>
              <w:ind w:left="220"/>
              <w:spacing w:after="0"/>
              <w:rPr>
                <w:sz w:val="20"/>
                <w:szCs w:val="20"/>
                <w:color w:val="auto"/>
              </w:rPr>
            </w:pPr>
            <w:r>
              <w:rPr>
                <w:rFonts w:ascii="Courier New" w:cs="Courier New" w:eastAsia="Courier New" w:hAnsi="Courier New"/>
                <w:sz w:val="15"/>
                <w:szCs w:val="15"/>
                <w:color w:val="auto"/>
              </w:rPr>
              <w:t>Faulkner, dated December 10, 1998.</w:t>
            </w:r>
          </w:p>
        </w:tc>
        <w:tc>
          <w:tcPr>
            <w:tcW w:w="1440" w:type="dxa"/>
            <w:vAlign w:val="bottom"/>
          </w:tcPr>
          <w:p>
            <w:pPr>
              <w:spacing w:after="0"/>
              <w:rPr>
                <w:sz w:val="14"/>
                <w:szCs w:val="14"/>
                <w:color w:val="auto"/>
              </w:rPr>
            </w:pPr>
          </w:p>
        </w:tc>
      </w:tr>
    </w:tbl>
    <w:p>
      <w:pPr>
        <w:spacing w:after="0" w:line="169" w:lineRule="exact"/>
        <w:rPr>
          <w:sz w:val="20"/>
          <w:szCs w:val="20"/>
          <w:color w:val="auto"/>
        </w:rPr>
      </w:pPr>
    </w:p>
    <w:p>
      <w:pPr>
        <w:ind w:left="890" w:hanging="890"/>
        <w:spacing w:after="0"/>
        <w:tabs>
          <w:tab w:leader="none" w:pos="8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w:t>
      </w:r>
    </w:p>
    <w:p>
      <w:pPr>
        <w:spacing w:after="0" w:line="169"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w:t>
      </w:r>
      <w:r>
        <w:rPr>
          <w:rFonts w:ascii="Courier New" w:cs="Courier New" w:eastAsia="Courier New" w:hAnsi="Courier New"/>
          <w:sz w:val="14"/>
          <w:szCs w:val="14"/>
          <w:color w:val="auto"/>
        </w:rPr>
        <w:t>Consent of Arthur Andersen LLP</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w:t>
      </w:r>
      <w:r>
        <w:rPr>
          <w:rFonts w:ascii="Courier New" w:cs="Courier New" w:eastAsia="Courier New" w:hAnsi="Courier New"/>
          <w:sz w:val="14"/>
          <w:szCs w:val="14"/>
          <w:color w:val="auto"/>
        </w:rPr>
        <w:t>Consent of PricewaterhouseCoopers LLP</w:t>
      </w:r>
    </w:p>
    <w:p>
      <w:pPr>
        <w:spacing w:after="0" w:line="169" w:lineRule="exact"/>
        <w:rPr>
          <w:rFonts w:ascii="Courier New" w:cs="Courier New" w:eastAsia="Courier New" w:hAnsi="Courier New"/>
          <w:sz w:val="15"/>
          <w:szCs w:val="15"/>
          <w:color w:val="auto"/>
        </w:rPr>
      </w:pPr>
    </w:p>
    <w:p>
      <w:pPr>
        <w:ind w:left="890" w:hanging="890"/>
        <w:spacing w:after="0"/>
        <w:tabs>
          <w:tab w:leader="none" w:pos="8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9"/>
          </w:cols>
          <w:pgMar w:left="230" w:top="622" w:right="1440" w:bottom="1440" w:gutter="0" w:footer="0" w:header="0"/>
        </w:sectPr>
      </w:pPr>
    </w:p>
    <w:bookmarkStart w:id="33" w:name="page34"/>
    <w:bookmarkEnd w:id="33"/>
    <w:p>
      <w:pPr>
        <w:ind w:left="890" w:right="3979" w:hanging="890"/>
        <w:spacing w:after="0" w:line="237" w:lineRule="auto"/>
        <w:tabs>
          <w:tab w:leader="none" w:pos="89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the Company on Form 8-K, dated May 1, 1998 concerning certain cautionary statements of the Company to be taken into account in conjunction with consideration and review of the Company's publicly-disseminated documents (including oral statements made by others on behalf of the</w:t>
      </w:r>
    </w:p>
    <w:p>
      <w:pPr>
        <w:spacing w:after="0" w:line="3" w:lineRule="exact"/>
        <w:rPr>
          <w:sz w:val="20"/>
          <w:szCs w:val="20"/>
          <w:color w:val="auto"/>
        </w:rPr>
      </w:pPr>
    </w:p>
    <w:p>
      <w:pPr>
        <w:ind w:left="890"/>
        <w:spacing w:after="0"/>
        <w:tabs>
          <w:tab w:leader="none" w:pos="6589" w:val="left"/>
        </w:tabs>
        <w:rPr>
          <w:sz w:val="20"/>
          <w:szCs w:val="20"/>
          <w:color w:val="auto"/>
        </w:rPr>
      </w:pPr>
      <w:r>
        <w:rPr>
          <w:rFonts w:ascii="Courier New" w:cs="Courier New" w:eastAsia="Courier New" w:hAnsi="Courier New"/>
          <w:sz w:val="15"/>
          <w:szCs w:val="15"/>
          <w:color w:val="auto"/>
        </w:rPr>
        <w:t>Company) that include forward looking information.</w:t>
      </w:r>
      <w:r>
        <w:rPr>
          <w:sz w:val="20"/>
          <w:szCs w:val="20"/>
          <w:color w:val="auto"/>
        </w:rPr>
        <w:tab/>
      </w:r>
      <w:r>
        <w:rPr>
          <w:rFonts w:ascii="Courier New" w:cs="Courier New" w:eastAsia="Courier New" w:hAnsi="Courier New"/>
          <w:sz w:val="13"/>
          <w:szCs w:val="13"/>
          <w:color w:val="auto"/>
        </w:rPr>
        <w:t>*</w:t>
      </w:r>
    </w:p>
    <w:p>
      <w:pPr>
        <w:spacing w:after="0" w:line="169"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Previously filed with the Securities and Exchange Commission.</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627" w:right="1440" w:bottom="1440" w:gutter="0" w:footer="0" w:header="0"/>
        </w:sectPr>
      </w:pPr>
    </w:p>
    <w:bookmarkStart w:id="34" w:name="page35"/>
    <w:bookmarkEnd w:id="3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firstLine="970"/>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Company has duly caused this report to be signed on its behalf by the undersigned, thereunto duly authorized.</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DESIGNS, INC.</w:t>
      </w:r>
    </w:p>
    <w:p>
      <w:pPr>
        <w:spacing w:after="0"/>
        <w:rPr>
          <w:sz w:val="20"/>
          <w:szCs w:val="20"/>
          <w:color w:val="auto"/>
        </w:rPr>
      </w:pPr>
      <w:r>
        <w:rPr>
          <w:rFonts w:ascii="Courier New" w:cs="Courier New" w:eastAsia="Courier New" w:hAnsi="Courier New"/>
          <w:sz w:val="15"/>
          <w:szCs w:val="15"/>
          <w:color w:val="auto"/>
        </w:rPr>
        <w:t>April 30, 1999</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JOEL H. REICHMAN</w:t>
      </w:r>
    </w:p>
    <w:p>
      <w:pPr>
        <w:ind w:left="3780"/>
        <w:spacing w:after="0"/>
        <w:rPr>
          <w:sz w:val="20"/>
          <w:szCs w:val="20"/>
          <w:color w:val="auto"/>
        </w:rPr>
      </w:pPr>
      <w:r>
        <w:rPr>
          <w:rFonts w:ascii="Courier New" w:cs="Courier New" w:eastAsia="Courier New" w:hAnsi="Courier New"/>
          <w:sz w:val="15"/>
          <w:szCs w:val="15"/>
          <w:color w:val="auto"/>
        </w:rPr>
        <w:t>----------------------------</w:t>
      </w:r>
    </w:p>
    <w:p>
      <w:pPr>
        <w:ind w:left="3780"/>
        <w:spacing w:after="0"/>
        <w:rPr>
          <w:sz w:val="20"/>
          <w:szCs w:val="20"/>
          <w:color w:val="auto"/>
        </w:rPr>
      </w:pPr>
      <w:r>
        <w:rPr>
          <w:rFonts w:ascii="Courier New" w:cs="Courier New" w:eastAsia="Courier New" w:hAnsi="Courier New"/>
          <w:sz w:val="15"/>
          <w:szCs w:val="15"/>
          <w:color w:val="auto"/>
        </w:rPr>
        <w:t>Joel H. Reichman</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80" w:lineRule="exact"/>
        <w:rPr>
          <w:sz w:val="20"/>
          <w:szCs w:val="20"/>
          <w:color w:val="auto"/>
        </w:rPr>
      </w:pPr>
    </w:p>
    <w:p>
      <w:pPr>
        <w:jc w:val="both"/>
        <w:ind w:right="3439" w:firstLine="970"/>
        <w:spacing w:after="0" w:line="237"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on behalf of the Company in the capacities indicated, on April 30,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ectPr>
          <w:pgSz w:w="11900" w:h="16838" w:orient="portrait"/>
          <w:cols w:equalWidth="0" w:num="1">
            <w:col w:w="10219"/>
          </w:cols>
          <w:pgMar w:left="240" w:top="622" w:right="1440" w:bottom="1440" w:gutter="0" w:footer="0" w:header="0"/>
        </w:sectPr>
      </w:pP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JOEL H. REICHMAN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H. Reichman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 (Principal Executive Officer)</w:t>
      </w:r>
    </w:p>
    <w:p>
      <w:pPr>
        <w:spacing w:after="0" w:line="205" w:lineRule="exact"/>
        <w:rPr>
          <w:sz w:val="20"/>
          <w:szCs w:val="20"/>
          <w:color w:val="auto"/>
        </w:rPr>
      </w:pPr>
    </w:p>
    <w:p>
      <w:pPr>
        <w:sectPr>
          <w:pgSz w:w="11900" w:h="16838" w:orient="portrait"/>
          <w:cols w:equalWidth="0" w:num="2">
            <w:col w:w="3160" w:space="0"/>
            <w:col w:w="7059"/>
          </w:cols>
          <w:pgMar w:left="240" w:top="622"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CAROLYN R. FAULKNER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Carolyn R. Faulkner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Treasurer</w:t>
      </w:r>
    </w:p>
    <w:p>
      <w:pPr>
        <w:spacing w:after="0" w:line="200" w:lineRule="exact"/>
        <w:rPr>
          <w:sz w:val="20"/>
          <w:szCs w:val="20"/>
          <w:color w:val="auto"/>
        </w:rPr>
      </w:pPr>
    </w:p>
    <w:p>
      <w:pPr>
        <w:sectPr>
          <w:pgSz w:w="11900" w:h="16838" w:orient="portrait"/>
          <w:cols w:equalWidth="0" w:num="2">
            <w:col w:w="3160" w:space="0"/>
            <w:col w:w="7059"/>
          </w:cols>
          <w:pgMar w:left="240" w:top="622" w:right="1440" w:bottom="1440" w:gutter="0" w:footer="0" w:header="0"/>
          <w:type w:val="continuous"/>
        </w:sectPr>
      </w:pPr>
    </w:p>
    <w:p>
      <w:pPr>
        <w:spacing w:after="0" w:line="144"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 ---------------------------------- Stanley I. Berger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374" w:lineRule="exact"/>
        <w:rPr>
          <w:sz w:val="20"/>
          <w:szCs w:val="20"/>
          <w:color w:val="auto"/>
        </w:rPr>
      </w:pPr>
    </w:p>
    <w:p>
      <w:pPr>
        <w:sectPr>
          <w:pgSz w:w="11900" w:h="16838" w:orient="portrait"/>
          <w:cols w:equalWidth="0" w:num="2">
            <w:col w:w="3160" w:space="180"/>
            <w:col w:w="6879"/>
          </w:cols>
          <w:pgMar w:left="240" w:top="622"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JAMES G. GRONINGER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G. Groninger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3160" w:space="180"/>
            <w:col w:w="6879"/>
          </w:cols>
          <w:pgMar w:left="240" w:top="622"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MELVIN SHAPIRO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Melvin Shapiro</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3160" w:space="180"/>
            <w:col w:w="6879"/>
          </w:cols>
          <w:pgMar w:left="240" w:top="622"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BERNARD M. MANUEL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M. Manuel</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3160" w:space="180"/>
            <w:col w:w="6879"/>
          </w:cols>
          <w:pgMar w:left="240" w:top="622" w:right="1440" w:bottom="1440" w:gutter="0" w:footer="0" w:header="0"/>
          <w:type w:val="continuous"/>
        </w:sectPr>
      </w:pP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PETER L. THIGPEN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L. Thigpen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3160" w:space="180"/>
            <w:col w:w="6879"/>
          </w:cols>
          <w:pgMar w:left="240" w:top="622" w:right="1440" w:bottom="1440" w:gutter="0" w:footer="0" w:header="0"/>
          <w:type w:val="continuous"/>
        </w:sectPr>
      </w:pPr>
    </w:p>
    <w:p>
      <w:pPr>
        <w:spacing w:after="0" w:line="1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2" w:right="1440" w:bottom="1440" w:gutter="0" w:footer="0" w:header="0"/>
          <w:type w:val="continuous"/>
        </w:sectPr>
      </w:pPr>
    </w:p>
    <w:bookmarkStart w:id="35" w:name="page36"/>
    <w:bookmarkEnd w:id="35"/>
    <w:p>
      <w:pPr>
        <w:ind w:left="2980"/>
        <w:spacing w:after="0"/>
        <w:rPr>
          <w:sz w:val="20"/>
          <w:szCs w:val="20"/>
          <w:color w:val="auto"/>
        </w:rPr>
      </w:pPr>
      <w:r>
        <w:rPr>
          <w:rFonts w:ascii="Courier New" w:cs="Courier New" w:eastAsia="Courier New" w:hAnsi="Courier New"/>
          <w:sz w:val="15"/>
          <w:szCs w:val="15"/>
          <w:color w:val="auto"/>
        </w:rPr>
        <w:t>DESIGNS, INC.</w:t>
      </w:r>
    </w:p>
    <w:tbl>
      <w:tblPr>
        <w:tblLayout w:type="fixed"/>
        <w:tblInd w:w="0" w:type="dxa"/>
        <w:tblCellMar>
          <w:top w:w="0" w:type="dxa"/>
          <w:left w:w="0" w:type="dxa"/>
          <w:bottom w:w="0" w:type="dxa"/>
          <w:right w:w="0" w:type="dxa"/>
        </w:tblCellMar>
      </w:tblPr>
      <w:tr>
        <w:trPr>
          <w:trHeight w:val="170"/>
        </w:trPr>
        <w:tc>
          <w:tcPr>
            <w:tcW w:w="5940" w:type="dxa"/>
            <w:vAlign w:val="bottom"/>
            <w:gridSpan w:val="2"/>
          </w:tcPr>
          <w:p>
            <w:pPr>
              <w:ind w:left="166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00" w:type="dxa"/>
            <w:vAlign w:val="bottom"/>
          </w:tcPr>
          <w:p>
            <w:pPr>
              <w:spacing w:after="0"/>
              <w:rPr>
                <w:sz w:val="14"/>
                <w:szCs w:val="14"/>
                <w:color w:val="auto"/>
              </w:rPr>
            </w:pPr>
          </w:p>
        </w:tc>
      </w:tr>
      <w:tr>
        <w:trPr>
          <w:trHeight w:val="339"/>
        </w:trPr>
        <w:tc>
          <w:tcPr>
            <w:tcW w:w="3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0"/>
        </w:trPr>
        <w:tc>
          <w:tcPr>
            <w:tcW w:w="37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Management's Responsibility for Financial</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Reporting</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35</w:t>
            </w:r>
          </w:p>
        </w:tc>
      </w:tr>
      <w:tr>
        <w:trPr>
          <w:trHeight w:val="339"/>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Reports of Independent Public Accountants</w:t>
            </w:r>
          </w:p>
        </w:tc>
        <w:tc>
          <w:tcPr>
            <w:tcW w:w="22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36</w:t>
            </w:r>
          </w:p>
        </w:tc>
      </w:tr>
      <w:tr>
        <w:trPr>
          <w:trHeight w:val="339"/>
        </w:trPr>
        <w:tc>
          <w:tcPr>
            <w:tcW w:w="37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6"/>
              </w:rPr>
              <w:t>Consolidated Financial Statements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9"/>
        </w:trPr>
        <w:tc>
          <w:tcPr>
            <w:tcW w:w="59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Consolidated Balance Sheets at January 30, 1999</w:t>
            </w:r>
          </w:p>
        </w:tc>
        <w:tc>
          <w:tcPr>
            <w:tcW w:w="400" w:type="dxa"/>
            <w:vAlign w:val="bottom"/>
          </w:tcPr>
          <w:p>
            <w:pPr>
              <w:spacing w:after="0"/>
              <w:rPr>
                <w:sz w:val="24"/>
                <w:szCs w:val="24"/>
                <w:color w:val="auto"/>
              </w:rPr>
            </w:pPr>
          </w:p>
        </w:tc>
      </w:tr>
      <w:tr>
        <w:trPr>
          <w:trHeight w:val="170"/>
        </w:trPr>
        <w:tc>
          <w:tcPr>
            <w:tcW w:w="3700" w:type="dxa"/>
            <w:vAlign w:val="bottom"/>
          </w:tcPr>
          <w:p>
            <w:pPr>
              <w:ind w:left="520"/>
              <w:spacing w:after="0"/>
              <w:rPr>
                <w:sz w:val="20"/>
                <w:szCs w:val="20"/>
                <w:color w:val="auto"/>
              </w:rPr>
            </w:pPr>
            <w:r>
              <w:rPr>
                <w:rFonts w:ascii="Courier New" w:cs="Courier New" w:eastAsia="Courier New" w:hAnsi="Courier New"/>
                <w:sz w:val="15"/>
                <w:szCs w:val="15"/>
                <w:color w:val="auto"/>
              </w:rPr>
              <w:t>and January 31, 1998</w:t>
            </w:r>
          </w:p>
        </w:tc>
        <w:tc>
          <w:tcPr>
            <w:tcW w:w="2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39</w:t>
            </w:r>
          </w:p>
        </w:tc>
      </w:tr>
      <w:tr>
        <w:trPr>
          <w:trHeight w:val="339"/>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Consolidated Statements of Operations</w:t>
            </w:r>
          </w:p>
        </w:tc>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for the three years ended</w:t>
            </w:r>
          </w:p>
        </w:tc>
        <w:tc>
          <w:tcPr>
            <w:tcW w:w="400" w:type="dxa"/>
            <w:vAlign w:val="bottom"/>
          </w:tcPr>
          <w:p>
            <w:pPr>
              <w:spacing w:after="0"/>
              <w:rPr>
                <w:sz w:val="24"/>
                <w:szCs w:val="24"/>
                <w:color w:val="auto"/>
              </w:rPr>
            </w:pPr>
          </w:p>
        </w:tc>
      </w:tr>
      <w:tr>
        <w:trPr>
          <w:trHeight w:val="170"/>
        </w:trPr>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January 30, 1999, January 31, 1998 and February 1, 1997</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40</w:t>
            </w:r>
          </w:p>
        </w:tc>
      </w:tr>
      <w:tr>
        <w:trPr>
          <w:trHeight w:val="339"/>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Consolidated Statements of Changes in</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Stockholders'</w:t>
            </w:r>
          </w:p>
        </w:tc>
        <w:tc>
          <w:tcPr>
            <w:tcW w:w="400" w:type="dxa"/>
            <w:vAlign w:val="bottom"/>
          </w:tcPr>
          <w:p>
            <w:pPr>
              <w:spacing w:after="0"/>
              <w:rPr>
                <w:sz w:val="24"/>
                <w:szCs w:val="24"/>
                <w:color w:val="auto"/>
              </w:rPr>
            </w:pPr>
          </w:p>
        </w:tc>
      </w:tr>
      <w:tr>
        <w:trPr>
          <w:trHeight w:val="170"/>
        </w:trPr>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Equity for the three years ended January 30, 1999,</w:t>
            </w:r>
          </w:p>
        </w:tc>
        <w:tc>
          <w:tcPr>
            <w:tcW w:w="400" w:type="dxa"/>
            <w:vAlign w:val="bottom"/>
          </w:tcPr>
          <w:p>
            <w:pPr>
              <w:spacing w:after="0"/>
              <w:rPr>
                <w:sz w:val="14"/>
                <w:szCs w:val="14"/>
                <w:color w:val="auto"/>
              </w:rPr>
            </w:pPr>
          </w:p>
        </w:tc>
      </w:tr>
      <w:tr>
        <w:trPr>
          <w:trHeight w:val="170"/>
        </w:trPr>
        <w:tc>
          <w:tcPr>
            <w:tcW w:w="59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January 31, 1998 and February 1, 1997</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41</w:t>
            </w:r>
          </w:p>
        </w:tc>
      </w:tr>
      <w:tr>
        <w:trPr>
          <w:trHeight w:val="339"/>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Consolidated Statements of Cash Flows</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for the three years</w:t>
            </w:r>
          </w:p>
        </w:tc>
        <w:tc>
          <w:tcPr>
            <w:tcW w:w="400" w:type="dxa"/>
            <w:vAlign w:val="bottom"/>
          </w:tcPr>
          <w:p>
            <w:pPr>
              <w:spacing w:after="0"/>
              <w:rPr>
                <w:sz w:val="24"/>
                <w:szCs w:val="24"/>
                <w:color w:val="auto"/>
              </w:rPr>
            </w:pPr>
          </w:p>
        </w:tc>
      </w:tr>
      <w:tr>
        <w:trPr>
          <w:trHeight w:val="170"/>
        </w:trPr>
        <w:tc>
          <w:tcPr>
            <w:tcW w:w="3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ended January 30, 1999, January 31,</w:t>
            </w:r>
          </w:p>
        </w:tc>
        <w:tc>
          <w:tcPr>
            <w:tcW w:w="2240" w:type="dxa"/>
            <w:vAlign w:val="bottom"/>
          </w:tcPr>
          <w:p>
            <w:pPr>
              <w:spacing w:after="0"/>
              <w:rPr>
                <w:sz w:val="20"/>
                <w:szCs w:val="20"/>
                <w:color w:val="auto"/>
              </w:rPr>
            </w:pPr>
            <w:r>
              <w:rPr>
                <w:rFonts w:ascii="Courier New" w:cs="Courier New" w:eastAsia="Courier New" w:hAnsi="Courier New"/>
                <w:sz w:val="15"/>
                <w:szCs w:val="15"/>
                <w:color w:val="auto"/>
              </w:rPr>
              <w:t>1998 and</w:t>
            </w:r>
          </w:p>
        </w:tc>
        <w:tc>
          <w:tcPr>
            <w:tcW w:w="400" w:type="dxa"/>
            <w:vAlign w:val="bottom"/>
          </w:tcPr>
          <w:p>
            <w:pPr>
              <w:spacing w:after="0"/>
              <w:rPr>
                <w:sz w:val="14"/>
                <w:szCs w:val="14"/>
                <w:color w:val="auto"/>
              </w:rPr>
            </w:pPr>
          </w:p>
        </w:tc>
      </w:tr>
      <w:tr>
        <w:trPr>
          <w:trHeight w:val="170"/>
        </w:trPr>
        <w:tc>
          <w:tcPr>
            <w:tcW w:w="3700" w:type="dxa"/>
            <w:vAlign w:val="bottom"/>
          </w:tcPr>
          <w:p>
            <w:pPr>
              <w:ind w:left="520"/>
              <w:spacing w:after="0"/>
              <w:rPr>
                <w:sz w:val="20"/>
                <w:szCs w:val="20"/>
                <w:color w:val="auto"/>
              </w:rPr>
            </w:pPr>
            <w:r>
              <w:rPr>
                <w:rFonts w:ascii="Courier New" w:cs="Courier New" w:eastAsia="Courier New" w:hAnsi="Courier New"/>
                <w:sz w:val="15"/>
                <w:szCs w:val="15"/>
                <w:color w:val="auto"/>
              </w:rPr>
              <w:t>February 1, 1997</w:t>
            </w:r>
          </w:p>
        </w:tc>
        <w:tc>
          <w:tcPr>
            <w:tcW w:w="224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42</w:t>
            </w:r>
          </w:p>
        </w:tc>
      </w:tr>
      <w:tr>
        <w:trPr>
          <w:trHeight w:val="339"/>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w w:val="97"/>
              </w:rPr>
              <w:t>Notes to Consolidated Financial Statements</w:t>
            </w:r>
          </w:p>
        </w:tc>
        <w:tc>
          <w:tcPr>
            <w:tcW w:w="22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88"/>
              </w:rPr>
              <w:t>43</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2" w:right="1440" w:bottom="1440" w:gutter="0" w:footer="0" w:header="0"/>
        </w:sectPr>
      </w:pPr>
    </w:p>
    <w:bookmarkStart w:id="36" w:name="page37"/>
    <w:bookmarkEnd w:id="36"/>
    <w:p>
      <w:pPr>
        <w:ind w:left="1320"/>
        <w:spacing w:after="0"/>
        <w:rPr>
          <w:sz w:val="20"/>
          <w:szCs w:val="20"/>
          <w:color w:val="auto"/>
        </w:rPr>
      </w:pPr>
      <w:r>
        <w:rPr>
          <w:rFonts w:ascii="Courier New" w:cs="Courier New" w:eastAsia="Courier New" w:hAnsi="Courier New"/>
          <w:sz w:val="15"/>
          <w:szCs w:val="15"/>
          <w:color w:val="auto"/>
        </w:rPr>
        <w:t>MANAGEMENT'S RESPONSIBILITY FOR FINANCIAL REPORTING</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integrity and objectivity of the financial statements and the related financial information in this report are the responsibility of the management of the Company. The financial statements have been prepared in conformity with generally accepted accounting principles and include, where necessary, the best estimates and judgments of management.</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maintains a system of internal accounting control designed to provide reasonable assurance, at appropriate cost, that assets are safeguarded, transactions are executed in accordance with management's authorization and the accounting records provide a reliable basis for the preparation of the financial statements. The system of internal accounting control is regularly reviewed by management and improved and modified as necessary in response to changing business conditions.</w:t>
      </w:r>
    </w:p>
    <w:p>
      <w:pPr>
        <w:spacing w:after="0" w:line="17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Audit Committee of the Board of Directors, consisting solely of outside directors, meets periodically with management and the Company's independent accountants to review matters relating to the Company's financial reporting, the adequacy of internal accounting control and the scope and results of audit work. The independent accountants have free access to the Committee.</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Arthur Andersen LLP, independent public accountants, have been engaged to examine the financial statements of the Company. The Report of Independent Public Accountants expresses an opinion as to the fair presentation of the financial statements in accordance with generally accepted accounting principles and is based on an audit conducted in accordance with generally accepted auditing standards.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/s/ JOEL H. REICHMAN</w:t>
            </w:r>
          </w:p>
        </w:tc>
        <w:tc>
          <w:tcPr>
            <w:tcW w:w="32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/s/ CAROLYN R. FAULKNER</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Joel H. Reichman</w:t>
            </w: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Carolyn</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R. Faulkner</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Chief Executive Officer</w:t>
            </w:r>
          </w:p>
        </w:tc>
        <w:tc>
          <w:tcPr>
            <w:tcW w:w="322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7"/>
              </w:rPr>
              <w:t>Vice President, Chief Financial</w:t>
            </w:r>
          </w:p>
        </w:tc>
      </w:tr>
      <w:tr>
        <w:trPr>
          <w:trHeight w:val="170"/>
        </w:trPr>
        <w:tc>
          <w:tcPr>
            <w:tcW w:w="3740" w:type="dxa"/>
            <w:vAlign w:val="bottom"/>
          </w:tcPr>
          <w:p>
            <w:pPr>
              <w:spacing w:after="0"/>
              <w:rPr>
                <w:sz w:val="14"/>
                <w:szCs w:val="14"/>
                <w:color w:val="auto"/>
              </w:rPr>
            </w:pPr>
          </w:p>
        </w:tc>
        <w:tc>
          <w:tcPr>
            <w:tcW w:w="1140" w:type="dxa"/>
            <w:vAlign w:val="bottom"/>
          </w:tcPr>
          <w:p>
            <w:pPr>
              <w:ind w:left="480"/>
              <w:spacing w:after="0"/>
              <w:rPr>
                <w:sz w:val="20"/>
                <w:szCs w:val="20"/>
                <w:color w:val="auto"/>
              </w:rPr>
            </w:pPr>
            <w:r>
              <w:rPr>
                <w:rFonts w:ascii="Courier New" w:cs="Courier New" w:eastAsia="Courier New" w:hAnsi="Courier New"/>
                <w:sz w:val="15"/>
                <w:szCs w:val="15"/>
                <w:color w:val="auto"/>
              </w:rPr>
              <w:t>Officer</w:t>
            </w:r>
          </w:p>
        </w:tc>
        <w:tc>
          <w:tcPr>
            <w:tcW w:w="2080" w:type="dxa"/>
            <w:vAlign w:val="bottom"/>
          </w:tcPr>
          <w:p>
            <w:pPr>
              <w:ind w:left="40"/>
              <w:spacing w:after="0"/>
              <w:rPr>
                <w:sz w:val="20"/>
                <w:szCs w:val="20"/>
                <w:color w:val="auto"/>
              </w:rPr>
            </w:pPr>
            <w:r>
              <w:rPr>
                <w:rFonts w:ascii="Courier New" w:cs="Courier New" w:eastAsia="Courier New" w:hAnsi="Courier New"/>
                <w:sz w:val="15"/>
                <w:szCs w:val="15"/>
                <w:color w:val="auto"/>
              </w:rPr>
              <w:t>&amp; Treasurer</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22" w:right="1440" w:bottom="1440" w:gutter="0" w:footer="0" w:header="0"/>
        </w:sectPr>
      </w:pPr>
    </w:p>
    <w:bookmarkStart w:id="37" w:name="page38"/>
    <w:bookmarkEnd w:id="37"/>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Designs,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 of Designs, Inc. and subsidiaries as of January 30, 1999 and the related consolidated statements of operations, changes in stockholders' equity and cash flows for the year then ended. These financial statements are the responsibility of the Company's management. Our responsibility is to express an opinion on the financial statements based on our audit.</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Designs, Inc. and subsidiaries as of January 30, 1999, and the results of their operations and their cash flows for the year then ended in conformity with generally accepted accounting principles.</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audit was made for the purpose of forming an opinion on the basic financial statements taken as a whole. The schedule listed in Item 14(a)(2)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ectPr>
          <w:pgSz w:w="11900" w:h="16838" w:orient="portrait"/>
          <w:cols w:equalWidth="0" w:num="1">
            <w:col w:w="10219"/>
          </w:cols>
          <w:pgMar w:left="240" w:top="622" w:right="1440" w:bottom="1440" w:gutter="0" w:footer="0" w:header="0"/>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1999</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 ARTHUR ANDERSEN LLP</w:t>
      </w:r>
    </w:p>
    <w:p>
      <w:pPr>
        <w:spacing w:after="0" w:line="375" w:lineRule="exact"/>
        <w:rPr>
          <w:sz w:val="20"/>
          <w:szCs w:val="20"/>
          <w:color w:val="auto"/>
        </w:rPr>
      </w:pPr>
    </w:p>
    <w:p>
      <w:pPr>
        <w:sectPr>
          <w:pgSz w:w="11900" w:h="16838" w:orient="portrait"/>
          <w:cols w:equalWidth="0" w:num="2">
            <w:col w:w="4300" w:space="720"/>
            <w:col w:w="5199"/>
          </w:cols>
          <w:pgMar w:left="240" w:top="622" w:right="1440" w:bottom="1440" w:gutter="0" w:footer="0" w:header="0"/>
          <w:type w:val="continuous"/>
        </w:sectPr>
      </w:pPr>
    </w:p>
    <w:p>
      <w:pPr>
        <w:spacing w:after="0" w:line="139"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22" w:right="1440" w:bottom="1440" w:gutter="0" w:footer="0" w:header="0"/>
          <w:type w:val="continuous"/>
        </w:sectPr>
      </w:pPr>
    </w:p>
    <w:bookmarkStart w:id="38" w:name="page39"/>
    <w:bookmarkEnd w:id="38"/>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Designs, Inc:</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 of Designs, Inc. as of January 31, 1998 and the related consolidated statements of income, changes in stockholders' equity and cash flows for each of the two years in the period ended January 31, 1998. These financial statements are the responsibility of the Company's management. Our responsibility is to express an opinion on the financial statements based on our audits. We have not audited the consolidated financial statements of Designs, Inc. for any period subsequent to January 31, 1998.</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Designs, Inc. as of January 31, 1998, and the consolidated results of its operations and its cash flows for each of the two years in the period ended January 31, 1998 in conformity with generally accepted accounting principles.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March 17, 1998, except as to</w:t>
      </w:r>
    </w:p>
    <w:p>
      <w:pPr>
        <w:spacing w:after="0"/>
        <w:rPr>
          <w:sz w:val="20"/>
          <w:szCs w:val="20"/>
          <w:color w:val="auto"/>
        </w:rPr>
      </w:pPr>
      <w:r>
        <w:rPr>
          <w:rFonts w:ascii="Courier New" w:cs="Courier New" w:eastAsia="Courier New" w:hAnsi="Courier New"/>
          <w:sz w:val="15"/>
          <w:szCs w:val="15"/>
          <w:color w:val="auto"/>
        </w:rPr>
        <w:t>the segment information for the</w:t>
      </w:r>
    </w:p>
    <w:p>
      <w:pPr>
        <w:spacing w:after="0" w:line="238" w:lineRule="auto"/>
        <w:rPr>
          <w:sz w:val="20"/>
          <w:szCs w:val="20"/>
          <w:color w:val="auto"/>
        </w:rPr>
      </w:pPr>
      <w:r>
        <w:rPr>
          <w:rFonts w:ascii="Courier New" w:cs="Courier New" w:eastAsia="Courier New" w:hAnsi="Courier New"/>
          <w:sz w:val="15"/>
          <w:szCs w:val="15"/>
          <w:color w:val="auto"/>
        </w:rPr>
        <w:t>two years in the period ended</w:t>
      </w:r>
    </w:p>
    <w:p>
      <w:pPr>
        <w:spacing w:after="0"/>
        <w:rPr>
          <w:sz w:val="20"/>
          <w:szCs w:val="20"/>
          <w:color w:val="auto"/>
        </w:rPr>
      </w:pPr>
      <w:r>
        <w:rPr>
          <w:rFonts w:ascii="Courier New" w:cs="Courier New" w:eastAsia="Courier New" w:hAnsi="Courier New"/>
          <w:sz w:val="15"/>
          <w:szCs w:val="15"/>
          <w:color w:val="auto"/>
        </w:rPr>
        <w:t>January 31, 1998 presented in</w:t>
      </w:r>
    </w:p>
    <w:p>
      <w:pPr>
        <w:spacing w:after="0"/>
        <w:rPr>
          <w:sz w:val="20"/>
          <w:szCs w:val="20"/>
          <w:color w:val="auto"/>
        </w:rPr>
      </w:pPr>
      <w:r>
        <w:rPr>
          <w:rFonts w:ascii="Courier New" w:cs="Courier New" w:eastAsia="Courier New" w:hAnsi="Courier New"/>
          <w:sz w:val="15"/>
          <w:szCs w:val="15"/>
          <w:color w:val="auto"/>
        </w:rPr>
        <w:t>Note N, for which the date is</w:t>
      </w:r>
    </w:p>
    <w:p>
      <w:pPr>
        <w:spacing w:after="0" w:line="238" w:lineRule="auto"/>
        <w:rPr>
          <w:sz w:val="20"/>
          <w:szCs w:val="20"/>
          <w:color w:val="auto"/>
        </w:rPr>
      </w:pPr>
      <w:r>
        <w:rPr>
          <w:rFonts w:ascii="Courier New" w:cs="Courier New" w:eastAsia="Courier New" w:hAnsi="Courier New"/>
          <w:sz w:val="15"/>
          <w:szCs w:val="15"/>
          <w:color w:val="auto"/>
        </w:rPr>
        <w:t>April 29, 1999.</w:t>
      </w:r>
    </w:p>
    <w:p>
      <w:pPr>
        <w:jc w:val="right"/>
        <w:ind w:right="3179"/>
        <w:spacing w:after="0"/>
        <w:rPr>
          <w:sz w:val="20"/>
          <w:szCs w:val="20"/>
          <w:color w:val="auto"/>
        </w:rPr>
      </w:pPr>
      <w:r>
        <w:rPr>
          <w:rFonts w:ascii="Courier New" w:cs="Courier New" w:eastAsia="Courier New" w:hAnsi="Courier New"/>
          <w:sz w:val="15"/>
          <w:szCs w:val="15"/>
          <w:color w:val="auto"/>
        </w:rPr>
        <w:t>/s/ PRICEWATERHOUSECOOPERS LLP</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22" w:right="1440" w:bottom="1440" w:gutter="0" w:footer="0" w:header="0"/>
        </w:sectPr>
      </w:pPr>
    </w:p>
    <w:bookmarkStart w:id="39" w:name="page40"/>
    <w:bookmarkEnd w:id="39"/>
    <w:p>
      <w:pPr>
        <w:jc w:val="center"/>
        <w:ind w:right="3179"/>
        <w:spacing w:after="0"/>
        <w:rPr>
          <w:sz w:val="20"/>
          <w:szCs w:val="20"/>
          <w:color w:val="auto"/>
        </w:rPr>
      </w:pPr>
      <w:r>
        <w:rPr>
          <w:rFonts w:ascii="Courier New" w:cs="Courier New" w:eastAsia="Courier New" w:hAnsi="Courier New"/>
          <w:sz w:val="15"/>
          <w:szCs w:val="15"/>
          <w:color w:val="auto"/>
        </w:rPr>
        <w:t>REPORT OF INDEPENDENT ACCOUNTANTS ON</w:t>
      </w:r>
    </w:p>
    <w:p>
      <w:pPr>
        <w:jc w:val="center"/>
        <w:ind w:right="3179"/>
        <w:spacing w:after="0"/>
        <w:rPr>
          <w:sz w:val="20"/>
          <w:szCs w:val="20"/>
          <w:color w:val="auto"/>
        </w:rPr>
      </w:pPr>
      <w:r>
        <w:rPr>
          <w:rFonts w:ascii="Courier New" w:cs="Courier New" w:eastAsia="Courier New" w:hAnsi="Courier New"/>
          <w:sz w:val="15"/>
          <w:szCs w:val="15"/>
          <w:color w:val="auto"/>
        </w:rPr>
        <w:t>FINANCIAL STATEMENT SCHEDULE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 Designs, Inc:</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March 17, 1998, except as to the segment information for the two years in the period ended January 31, 1998 presented in Note N, for which the date is April 29, 1999, appearing on page 37 of the Fiscal 1998 Annual Report on Form 10-K to Stockholders of Designs, Inc. also included an audit of the financial statement schedule for the period ended January 31, 1998 listed in Item 14(a)(2) of this Form 10-K. In our opinion, the financial statement schedule presents fairly, in all material respects, the information set forth therein when read in conjunction with the related consolidated financial statements.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rPr>
          <w:sz w:val="20"/>
          <w:szCs w:val="20"/>
          <w:color w:val="auto"/>
        </w:rPr>
      </w:pPr>
      <w:r>
        <w:rPr>
          <w:rFonts w:ascii="Courier New" w:cs="Courier New" w:eastAsia="Courier New" w:hAnsi="Courier New"/>
          <w:sz w:val="15"/>
          <w:szCs w:val="15"/>
          <w:color w:val="auto"/>
        </w:rPr>
        <w:t>April 29, 1999</w:t>
      </w:r>
    </w:p>
    <w:p>
      <w:pPr>
        <w:jc w:val="right"/>
        <w:ind w:right="3179"/>
        <w:spacing w:after="0"/>
        <w:rPr>
          <w:sz w:val="20"/>
          <w:szCs w:val="20"/>
          <w:color w:val="auto"/>
        </w:rPr>
      </w:pPr>
      <w:r>
        <w:rPr>
          <w:rFonts w:ascii="Courier New" w:cs="Courier New" w:eastAsia="Courier New" w:hAnsi="Courier New"/>
          <w:sz w:val="15"/>
          <w:szCs w:val="15"/>
          <w:color w:val="auto"/>
        </w:rPr>
        <w:t>/s/ PRICEWATERHOUSECOOPERS LLP</w:t>
      </w:r>
    </w:p>
    <w:p>
      <w:pPr>
        <w:spacing w:after="0" w:line="33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22" w:right="1440" w:bottom="1440" w:gutter="0" w:footer="0" w:header="0"/>
        </w:sectPr>
      </w:pPr>
    </w:p>
    <w:bookmarkStart w:id="40" w:name="page41"/>
    <w:bookmarkEnd w:id="40"/>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099"/>
        <w:spacing w:after="0"/>
        <w:rPr>
          <w:sz w:val="20"/>
          <w:szCs w:val="20"/>
          <w:color w:val="auto"/>
        </w:rPr>
      </w:pPr>
      <w:r>
        <w:rPr>
          <w:rFonts w:ascii="Courier New" w:cs="Courier New" w:eastAsia="Courier New" w:hAnsi="Courier New"/>
          <w:sz w:val="15"/>
          <w:szCs w:val="15"/>
          <w:color w:val="auto"/>
        </w:rPr>
        <w:t>January 30, 1999 and January 31, 1998</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6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January 30, 1999</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31, 1998</w:t>
            </w:r>
          </w:p>
        </w:tc>
      </w:tr>
      <w:tr>
        <w:trPr>
          <w:trHeight w:val="170"/>
        </w:trPr>
        <w:tc>
          <w:tcPr>
            <w:tcW w:w="5760" w:type="dxa"/>
            <w:vAlign w:val="bottom"/>
          </w:tcPr>
          <w:p>
            <w:pPr>
              <w:spacing w:after="0"/>
              <w:rPr>
                <w:sz w:val="14"/>
                <w:szCs w:val="14"/>
                <w:color w:val="auto"/>
              </w:rPr>
            </w:pPr>
          </w:p>
        </w:tc>
        <w:tc>
          <w:tcPr>
            <w:tcW w:w="16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(Fiscal 1998)</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(Fiscal 1997)</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6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1,473</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178</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Inventories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57,925</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54,972</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Income taxes refundable and deferred</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272</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13,857</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911</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1,015</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59,439</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71,432</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accumulated depreciation and amortization</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17,788</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35,307</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taxes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18,570</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6,362</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 net</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2,628</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2,945</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892</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99,317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116,399</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8,716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8,821</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6,030</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6,129</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Accrued rent</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2,015</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2,751</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Reserve for severance and store closings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4,372</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1,799</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Payable to affliliate</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403</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Notes payable</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13,825</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9,828</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Total current liabilities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35,361</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29,328</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F)</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660" w:type="dxa"/>
            <w:vAlign w:val="bottom"/>
          </w:tcPr>
          <w:p>
            <w:pPr>
              <w:spacing w:after="0"/>
              <w:rPr>
                <w:sz w:val="24"/>
                <w:szCs w:val="2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4,691</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$0.01 par value, 1,000,000 shares</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authorized, none issued</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w w:val="98"/>
              </w:rPr>
              <w:t>Common stock, $0.01 par value, 50,000,000 shares authorized,</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16,178,000 and 16,012,000 shares issued at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January 30, 1999 and January 31, 1998, respectively</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160</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paid-in capital</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53,908</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53,652</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Retained earnings</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11,854</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30,395</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Treasury stock at cost, 286,650 and 281,000 shares at</w:t>
            </w: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January 30, 1999 and January 31, 1998, respectively</w:t>
            </w:r>
          </w:p>
        </w:tc>
        <w:tc>
          <w:tcPr>
            <w:tcW w:w="6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(1,830)</w:t>
            </w:r>
          </w:p>
        </w:tc>
        <w:tc>
          <w:tcPr>
            <w:tcW w:w="560" w:type="dxa"/>
            <w:vAlign w:val="bottom"/>
          </w:tcPr>
          <w:p>
            <w:pPr>
              <w:spacing w:after="0"/>
              <w:rPr>
                <w:sz w:val="14"/>
                <w:szCs w:val="1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(1,827)</w:t>
            </w:r>
          </w:p>
        </w:tc>
      </w:tr>
      <w:tr>
        <w:trPr>
          <w:trHeight w:val="170"/>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66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760" w:type="dxa"/>
            <w:vAlign w:val="bottom"/>
          </w:tcPr>
          <w:p>
            <w:pPr>
              <w:ind w:left="880"/>
              <w:spacing w:after="0"/>
              <w:rPr>
                <w:sz w:val="20"/>
                <w:szCs w:val="20"/>
                <w:color w:val="auto"/>
              </w:rPr>
            </w:pPr>
            <w:r>
              <w:rPr>
                <w:rFonts w:ascii="Courier New" w:cs="Courier New" w:eastAsia="Courier New" w:hAnsi="Courier New"/>
                <w:sz w:val="15"/>
                <w:szCs w:val="15"/>
                <w:color w:val="auto"/>
              </w:rPr>
              <w:t>Total stockholders' equity</w:t>
            </w:r>
          </w:p>
        </w:tc>
        <w:tc>
          <w:tcPr>
            <w:tcW w:w="66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63,956</w:t>
            </w:r>
          </w:p>
        </w:tc>
        <w:tc>
          <w:tcPr>
            <w:tcW w:w="560" w:type="dxa"/>
            <w:vAlign w:val="bottom"/>
          </w:tcPr>
          <w:p>
            <w:pPr>
              <w:spacing w:after="0"/>
              <w:rPr>
                <w:sz w:val="14"/>
                <w:szCs w:val="1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82,380</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760" w:type="dxa"/>
            <w:vAlign w:val="bottom"/>
          </w:tcPr>
          <w:p>
            <w:pPr>
              <w:ind w:left="13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99,317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116,399</w:t>
            </w:r>
          </w:p>
        </w:tc>
      </w:tr>
      <w:tr>
        <w:trPr>
          <w:trHeight w:val="170"/>
        </w:trPr>
        <w:tc>
          <w:tcPr>
            <w:tcW w:w="57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w:t>
      </w:r>
    </w:p>
    <w:p>
      <w:pPr>
        <w:jc w:val="center"/>
        <w:ind w:right="317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8"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2" w:right="1440" w:bottom="1440" w:gutter="0" w:footer="0" w:header="0"/>
        </w:sectPr>
      </w:pPr>
    </w:p>
    <w:bookmarkStart w:id="41" w:name="page42"/>
    <w:bookmarkEnd w:id="41"/>
    <w:p>
      <w:pPr>
        <w:jc w:val="center"/>
        <w:ind w:right="3199"/>
        <w:spacing w:after="0" w:line="237" w:lineRule="auto"/>
        <w:rPr>
          <w:sz w:val="20"/>
          <w:szCs w:val="20"/>
          <w:color w:val="auto"/>
        </w:rPr>
      </w:pPr>
      <w:r>
        <w:rPr>
          <w:rFonts w:ascii="Courier New" w:cs="Courier New" w:eastAsia="Courier New" w:hAnsi="Courier New"/>
          <w:sz w:val="15"/>
          <w:szCs w:val="15"/>
          <w:color w:val="auto"/>
        </w:rPr>
        <w:t>CONSOLIDATED STATEMENTS OF OPERATIONS For the fiscal years ending January 30, 1999, January 31, 1998 and February 1, 1997</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Fiscal</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Fiscal</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48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509"/>
        </w:trPr>
        <w:tc>
          <w:tcPr>
            <w:tcW w:w="48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$ 201,634</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$ 265,726</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$ 289,593</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Cost of goods sold including occupancy</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159,385</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227,368</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203,364</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42,249</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38,358</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86,229</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47,979</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65,657</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65,936</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Charges for severance and store closings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14,929</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7,646</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9,727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11,234</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10,403</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72,635</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84,537</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76,339</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(30,386)</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(46,179)</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9,890</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697</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851</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197</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121</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145</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1,166</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w w:val="97"/>
              </w:rPr>
              <w:t>Income (loss) before minority interest and income taxes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(30,962)</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(46,885)</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10,859</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Less minority interest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(1,693)</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(323)</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495</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(29,269)</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(46,562)</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10,364</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(10,728)</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(17,499)</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4,100</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(18,541)</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(29,063)</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$ 6,264</w:t>
            </w:r>
          </w:p>
        </w:tc>
      </w:tr>
      <w:tr>
        <w:trPr>
          <w:trHeight w:val="170"/>
        </w:trPr>
        <w:tc>
          <w:tcPr>
            <w:tcW w:w="4840" w:type="dxa"/>
            <w:vAlign w:val="bottom"/>
          </w:tcPr>
          <w:p>
            <w:pPr>
              <w:spacing w:after="0"/>
              <w:rPr>
                <w:sz w:val="14"/>
                <w:szCs w:val="14"/>
                <w:color w:val="auto"/>
              </w:rPr>
            </w:pPr>
          </w:p>
        </w:tc>
        <w:tc>
          <w:tcPr>
            <w:tcW w:w="4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Earnings (loss) per share - Basic and Diluted</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($1.17)</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($1.86)</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$0.40</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Basic</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15,810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15,649</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15,755</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Diluted</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15,810</w:t>
            </w:r>
          </w:p>
        </w:tc>
        <w:tc>
          <w:tcPr>
            <w:tcW w:w="16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15,649</w:t>
            </w:r>
          </w:p>
        </w:tc>
        <w:tc>
          <w:tcPr>
            <w:tcW w:w="14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15,833</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w:t>
      </w:r>
    </w:p>
    <w:p>
      <w:pPr>
        <w:jc w:val="center"/>
        <w:ind w:right="317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8"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7" w:right="1440" w:bottom="1440" w:gutter="0" w:footer="0" w:header="0"/>
        </w:sectPr>
      </w:pPr>
    </w:p>
    <w:bookmarkStart w:id="42" w:name="page43"/>
    <w:bookmarkEnd w:id="42"/>
    <w:p>
      <w:pPr>
        <w:jc w:val="center"/>
        <w:ind w:right="-99"/>
        <w:spacing w:after="0"/>
        <w:rPr>
          <w:sz w:val="20"/>
          <w:szCs w:val="20"/>
          <w:color w:val="auto"/>
        </w:rPr>
      </w:pPr>
      <w:r>
        <w:rPr>
          <w:rFonts w:ascii="Courier New" w:cs="Courier New" w:eastAsia="Courier New" w:hAnsi="Courier New"/>
          <w:sz w:val="15"/>
          <w:szCs w:val="15"/>
          <w:color w:val="auto"/>
        </w:rPr>
        <w:t>STATEMENT OF CHANGES IN STOCKHOLDERS' EQUITY</w:t>
      </w:r>
    </w:p>
    <w:p>
      <w:pPr>
        <w:jc w:val="center"/>
        <w:ind w:right="-99"/>
        <w:spacing w:after="0"/>
        <w:rPr>
          <w:sz w:val="20"/>
          <w:szCs w:val="20"/>
          <w:color w:val="auto"/>
        </w:rPr>
      </w:pPr>
      <w:r>
        <w:rPr>
          <w:rFonts w:ascii="Courier New" w:cs="Courier New" w:eastAsia="Courier New" w:hAnsi="Courier New"/>
          <w:sz w:val="15"/>
          <w:szCs w:val="15"/>
          <w:color w:val="auto"/>
        </w:rPr>
        <w:t>For the fiscal years ending January 30, 1999, January 31, 1998</w:t>
      </w:r>
    </w:p>
    <w:p>
      <w:pPr>
        <w:jc w:val="center"/>
        <w:ind w:right="-99"/>
        <w:spacing w:after="0"/>
        <w:rPr>
          <w:sz w:val="20"/>
          <w:szCs w:val="20"/>
          <w:color w:val="auto"/>
        </w:rPr>
      </w:pPr>
      <w:r>
        <w:rPr>
          <w:rFonts w:ascii="Courier New" w:cs="Courier New" w:eastAsia="Courier New" w:hAnsi="Courier New"/>
          <w:sz w:val="15"/>
          <w:szCs w:val="15"/>
          <w:color w:val="auto"/>
        </w:rPr>
        <w:t>and February 1, 1997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Common Stock</w:t>
            </w:r>
          </w:p>
        </w:tc>
        <w:tc>
          <w:tcPr>
            <w:tcW w:w="16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Treasury Stock</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Paid-in</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Deferred</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Retained</w:t>
            </w:r>
          </w:p>
        </w:tc>
        <w:tc>
          <w:tcPr>
            <w:tcW w:w="960" w:type="dxa"/>
            <w:vAlign w:val="bottom"/>
          </w:tcPr>
          <w:p>
            <w:pPr>
              <w:spacing w:after="0"/>
              <w:rPr>
                <w:sz w:val="14"/>
                <w:szCs w:val="14"/>
                <w:color w:val="auto"/>
              </w:rPr>
            </w:pP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Shares</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1"/>
              </w:rPr>
              <w:t>Amounts</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Amounts</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Capital</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Compensation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Earnings</w:t>
            </w:r>
          </w:p>
        </w:tc>
        <w:tc>
          <w:tcPr>
            <w:tcW w:w="96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w w:val="95"/>
              </w:rPr>
              <w:t>(In thousands)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2100" w:type="dxa"/>
            <w:vAlign w:val="bottom"/>
          </w:tcPr>
          <w:p>
            <w:pPr>
              <w:spacing w:after="0"/>
              <w:rPr>
                <w:sz w:val="20"/>
                <w:szCs w:val="20"/>
                <w:color w:val="auto"/>
              </w:rPr>
            </w:pPr>
            <w:r>
              <w:rPr>
                <w:rFonts w:ascii="Courier New" w:cs="Courier New" w:eastAsia="Courier New" w:hAnsi="Courier New"/>
                <w:sz w:val="15"/>
                <w:szCs w:val="15"/>
                <w:color w:val="auto"/>
              </w:rPr>
              <w:t>Balance at February 3,</w:t>
            </w:r>
          </w:p>
        </w:tc>
        <w:tc>
          <w:tcPr>
            <w:tcW w:w="186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1996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15,818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$ 158</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$ 52,767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$ 53,160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$106,085</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Exercises under option programs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24(1)</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Repurchase of 281,000 shares</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9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under the stock repurchase program</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(1,827)</w:t>
            </w: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(1,827)</w:t>
            </w:r>
          </w:p>
        </w:tc>
      </w:tr>
      <w:tr>
        <w:trPr>
          <w:trHeight w:val="170"/>
        </w:trPr>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Issuance of 50,000 shares as part of the</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3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Boston Trading Ltd., Inc. Acquistion</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529</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Unrealized loss on investments</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6,264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6,264</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56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Balance at February 1,</w:t>
            </w:r>
          </w:p>
        </w:tc>
        <w:tc>
          <w:tcPr>
            <w:tcW w:w="1860" w:type="dxa"/>
            <w:vAlign w:val="bottom"/>
          </w:tcPr>
          <w:p>
            <w:pPr>
              <w:jc w:val="right"/>
              <w:ind w:right="1427"/>
              <w:spacing w:after="0"/>
              <w:rPr>
                <w:sz w:val="20"/>
                <w:szCs w:val="20"/>
                <w:color w:val="auto"/>
              </w:rPr>
            </w:pPr>
            <w:r>
              <w:rPr>
                <w:rFonts w:ascii="Courier New" w:cs="Courier New" w:eastAsia="Courier New" w:hAnsi="Courier New"/>
                <w:sz w:val="15"/>
                <w:szCs w:val="15"/>
                <w:color w:val="auto"/>
                <w:w w:val="94"/>
              </w:rPr>
              <w:t>1997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15,873</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(1,827)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$ 53,320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$ 59,393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$111,045</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56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Exercises under option programs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351(1)</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352</w:t>
            </w:r>
          </w:p>
        </w:tc>
      </w:tr>
      <w:tr>
        <w:trPr>
          <w:trHeight w:val="170"/>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w w:val="96"/>
              </w:rPr>
              <w:t>Retirement of shares</w:t>
            </w:r>
          </w:p>
        </w:tc>
        <w:tc>
          <w:tcPr>
            <w:tcW w:w="18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investments</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(29,063)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(29,063)</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56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Balance at January 31, 1998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16,012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(1,827)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$ 53,652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$ 30,395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$ 82,380</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56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Board of Directors compensation</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Restricted Stock Award to associates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(178)</w:t>
            </w:r>
          </w:p>
        </w:tc>
        <w:tc>
          <w:tcPr>
            <w:tcW w:w="10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Restricted Stock vesting</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70"/>
        </w:trPr>
        <w:tc>
          <w:tcPr>
            <w:tcW w:w="3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Restricted Stock cancelled</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(18,541)</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56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960" w:type="dxa"/>
            <w:vAlign w:val="bottom"/>
            <w:gridSpan w:val="2"/>
          </w:tcPr>
          <w:p>
            <w:pPr>
              <w:spacing w:after="0"/>
              <w:rPr>
                <w:sz w:val="20"/>
                <w:szCs w:val="20"/>
                <w:color w:val="auto"/>
              </w:rPr>
            </w:pPr>
            <w:r>
              <w:rPr>
                <w:rFonts w:ascii="Courier New" w:cs="Courier New" w:eastAsia="Courier New" w:hAnsi="Courier New"/>
                <w:sz w:val="15"/>
                <w:szCs w:val="15"/>
                <w:color w:val="auto"/>
              </w:rPr>
              <w:t>Balance at January 30, 1999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16,178</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(1,830)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$ 53,908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w:t>
            </w:r>
          </w:p>
        </w:tc>
        <w:tc>
          <w:tcPr>
            <w:tcW w:w="1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$ 11,854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$ 63,956</w:t>
            </w:r>
          </w:p>
        </w:tc>
      </w:tr>
      <w:tr>
        <w:trPr>
          <w:trHeight w:val="170"/>
        </w:trPr>
        <w:tc>
          <w:tcPr>
            <w:tcW w:w="2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560" w:type="dxa"/>
            <w:vAlign w:val="bottom"/>
            <w:gridSpan w:val="10"/>
          </w:tcPr>
          <w:p>
            <w:pPr>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Net of related tax benefit.</w:t>
      </w:r>
    </w:p>
    <w:p>
      <w:pPr>
        <w:spacing w:after="0" w:line="169"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The accompanying notes are an integral part of the</w:t>
      </w:r>
    </w:p>
    <w:p>
      <w:pPr>
        <w:jc w:val="center"/>
        <w:ind w:right="44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8"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520"/>
          </w:cols>
          <w:pgMar w:left="240" w:top="961" w:right="139" w:bottom="1440" w:gutter="0" w:footer="0" w:header="0"/>
        </w:sectPr>
      </w:pPr>
    </w:p>
    <w:bookmarkStart w:id="43" w:name="page44"/>
    <w:bookmarkEnd w:id="43"/>
    <w:p>
      <w:pPr>
        <w:jc w:val="center"/>
        <w:ind w:right="3260"/>
        <w:spacing w:after="0"/>
        <w:rPr>
          <w:sz w:val="20"/>
          <w:szCs w:val="20"/>
          <w:color w:val="auto"/>
        </w:rPr>
      </w:pPr>
      <w:r>
        <w:rPr>
          <w:rFonts w:ascii="Courier New" w:cs="Courier New" w:eastAsia="Courier New" w:hAnsi="Courier New"/>
          <w:sz w:val="15"/>
          <w:szCs w:val="15"/>
          <w:color w:val="auto"/>
        </w:rPr>
        <w:t>STATEMENTS OF CASH FLOWS</w:t>
      </w:r>
    </w:p>
    <w:p>
      <w:pPr>
        <w:jc w:val="center"/>
        <w:ind w:right="3260"/>
        <w:spacing w:after="0"/>
        <w:rPr>
          <w:sz w:val="20"/>
          <w:szCs w:val="20"/>
          <w:color w:val="auto"/>
        </w:rPr>
      </w:pPr>
      <w:r>
        <w:rPr>
          <w:rFonts w:ascii="Courier New" w:cs="Courier New" w:eastAsia="Courier New" w:hAnsi="Courier New"/>
          <w:sz w:val="15"/>
          <w:szCs w:val="15"/>
          <w:color w:val="auto"/>
        </w:rPr>
        <w:t>For the fiscal years ending January 30, 1999, January 31, 1998</w:t>
      </w:r>
    </w:p>
    <w:p>
      <w:pPr>
        <w:jc w:val="center"/>
        <w:ind w:right="3260"/>
        <w:spacing w:after="0"/>
        <w:rPr>
          <w:sz w:val="20"/>
          <w:szCs w:val="20"/>
          <w:color w:val="auto"/>
        </w:rPr>
      </w:pPr>
      <w:r>
        <w:rPr>
          <w:rFonts w:ascii="Courier New" w:cs="Courier New" w:eastAsia="Courier New" w:hAnsi="Courier New"/>
          <w:sz w:val="15"/>
          <w:szCs w:val="15"/>
          <w:color w:val="auto"/>
        </w:rPr>
        <w:t>and February 1, 1997</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Fiscal</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Fiscal</w:t>
            </w: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Fiscal</w:t>
            </w:r>
          </w:p>
        </w:tc>
      </w:tr>
      <w:tr>
        <w:trPr>
          <w:trHeight w:val="170"/>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1998</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340" w:type="dxa"/>
            <w:vAlign w:val="bottom"/>
          </w:tcPr>
          <w:p>
            <w:pPr>
              <w:spacing w:after="0"/>
              <w:rPr>
                <w:sz w:val="14"/>
                <w:szCs w:val="14"/>
                <w:color w:val="auto"/>
              </w:rPr>
            </w:pPr>
          </w:p>
        </w:tc>
        <w:tc>
          <w:tcPr>
            <w:tcW w:w="80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1996</w:t>
            </w:r>
          </w:p>
        </w:tc>
      </w:tr>
      <w:tr>
        <w:trPr>
          <w:trHeight w:val="170"/>
        </w:trPr>
        <w:tc>
          <w:tcPr>
            <w:tcW w:w="6520" w:type="dxa"/>
            <w:vAlign w:val="bottom"/>
          </w:tcPr>
          <w:p>
            <w:pPr>
              <w:spacing w:after="0"/>
              <w:rPr>
                <w:sz w:val="14"/>
                <w:szCs w:val="14"/>
                <w:color w:val="auto"/>
              </w:rPr>
            </w:pPr>
          </w:p>
        </w:tc>
        <w:tc>
          <w:tcPr>
            <w:tcW w:w="3780" w:type="dxa"/>
            <w:vAlign w:val="bottom"/>
            <w:gridSpan w:val="5"/>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 thousands)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$(18,541)</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$(29,063)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6,264</w:t>
            </w: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to net cash</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520" w:type="dxa"/>
            <w:vAlign w:val="bottom"/>
          </w:tcPr>
          <w:p>
            <w:pPr>
              <w:ind w:left="520"/>
              <w:spacing w:after="0"/>
              <w:rPr>
                <w:sz w:val="20"/>
                <w:szCs w:val="20"/>
                <w:color w:val="auto"/>
              </w:rPr>
            </w:pPr>
            <w:r>
              <w:rPr>
                <w:rFonts w:ascii="Courier New" w:cs="Courier New" w:eastAsia="Courier New" w:hAnsi="Courier New"/>
                <w:sz w:val="15"/>
                <w:szCs w:val="15"/>
                <w:color w:val="auto"/>
              </w:rPr>
              <w:t>provided by (used for) operating activities: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9,727</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11,234</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10,403</w:t>
            </w:r>
          </w:p>
        </w:tc>
      </w:tr>
      <w:tr>
        <w:trPr>
          <w:trHeight w:val="170"/>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(10,213)</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(5,015)</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(262)</w:t>
            </w:r>
          </w:p>
        </w:tc>
      </w:tr>
      <w:tr>
        <w:trPr>
          <w:trHeight w:val="170"/>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Minority interest</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(1,693)</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(323)</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495</w:t>
            </w:r>
          </w:p>
        </w:tc>
      </w:tr>
      <w:tr>
        <w:trPr>
          <w:trHeight w:val="170"/>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Loss from sale of investments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102</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r>
      <w:tr>
        <w:trPr>
          <w:trHeight w:val="170"/>
        </w:trPr>
        <w:tc>
          <w:tcPr>
            <w:tcW w:w="6520" w:type="dxa"/>
            <w:vAlign w:val="bottom"/>
          </w:tcPr>
          <w:p>
            <w:pPr>
              <w:ind w:left="880"/>
              <w:spacing w:after="0"/>
              <w:rPr>
                <w:sz w:val="20"/>
                <w:szCs w:val="20"/>
                <w:color w:val="auto"/>
              </w:rPr>
            </w:pPr>
            <w:r>
              <w:rPr>
                <w:rFonts w:ascii="Courier New" w:cs="Courier New" w:eastAsia="Courier New" w:hAnsi="Courier New"/>
                <w:sz w:val="15"/>
                <w:szCs w:val="15"/>
                <w:color w:val="auto"/>
              </w:rPr>
              <w:t>Loss (gain) from disposal of property and equipment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398</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339"/>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Changes in operating assets and liabilities, net of acquisition:</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443</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12,598</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(21,950)</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Prepaid expenses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3,819</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(993)</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Income taxes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12,469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(12,697)</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1,480</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(3,373)</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4,009</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Reserve for severance and store closing</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11,206</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15,412</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(269)</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(917)</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(1,300)</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Accrued rent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1,186</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353</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for) operating activities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(7,182)</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(1,823)</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Cash flows from investing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Additions to property and equipment</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(7,762)</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(12,290)</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Payment for aquisition of outlet stores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(9,737)</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Incurrence of pre-opening costs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(325)</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Proceeds from disposal of property and equipment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Sale of investments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5,888</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6,072</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cash used for investing activities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(10,145)</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(2,186)</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(6,707)</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Cash flows from financing activities: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520" w:type="dxa"/>
            <w:vAlign w:val="bottom"/>
          </w:tcPr>
          <w:p>
            <w:pPr>
              <w:ind w:left="700"/>
              <w:spacing w:after="0"/>
              <w:rPr>
                <w:sz w:val="20"/>
                <w:szCs w:val="20"/>
                <w:color w:val="auto"/>
              </w:rPr>
            </w:pPr>
            <w:r>
              <w:rPr>
                <w:rFonts w:ascii="Courier New" w:cs="Courier New" w:eastAsia="Courier New" w:hAnsi="Courier New"/>
                <w:sz w:val="15"/>
                <w:szCs w:val="15"/>
                <w:color w:val="auto"/>
              </w:rPr>
              <w:t>Net borrowings under credit facility</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3,997</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8,828</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Repurchase of common stock</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(1,827)</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w w:val="99"/>
              </w:rPr>
              <w:t>Capital contribution from minority equityholder of joint venture</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Distributions to minority equityholder of joint venture</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(1,710)</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Issuances, net of cancellations, of restricted stock</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Issuances of common stock to Board of Directors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20" w:type="dxa"/>
            <w:vAlign w:val="bottom"/>
          </w:tcPr>
          <w:p>
            <w:pPr>
              <w:ind w:left="780"/>
              <w:spacing w:after="0"/>
              <w:rPr>
                <w:sz w:val="20"/>
                <w:szCs w:val="20"/>
                <w:color w:val="auto"/>
              </w:rPr>
            </w:pPr>
            <w:r>
              <w:rPr>
                <w:rFonts w:ascii="Courier New" w:cs="Courier New" w:eastAsia="Courier New" w:hAnsi="Courier New"/>
                <w:sz w:val="15"/>
                <w:szCs w:val="15"/>
                <w:color w:val="auto"/>
              </w:rPr>
              <w:t>Issuance of common stock under option program (1)</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333</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for) financing activities</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7,005</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7,451</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(2,021)</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(1,320)</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(1,917)</w:t>
            </w:r>
          </w:p>
        </w:tc>
        <w:tc>
          <w:tcPr>
            <w:tcW w:w="3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(10,551)</w:t>
            </w:r>
          </w:p>
        </w:tc>
      </w:tr>
      <w:tr>
        <w:trPr>
          <w:trHeight w:val="170"/>
        </w:trPr>
        <w:tc>
          <w:tcPr>
            <w:tcW w:w="65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Beginning of the year</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1,473</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3,390</w:t>
            </w:r>
          </w:p>
        </w:tc>
        <w:tc>
          <w:tcPr>
            <w:tcW w:w="34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13,941</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20" w:type="dxa"/>
            <w:vAlign w:val="bottom"/>
          </w:tcPr>
          <w:p>
            <w:pPr>
              <w:ind w:left="440"/>
              <w:spacing w:after="0"/>
              <w:rPr>
                <w:sz w:val="20"/>
                <w:szCs w:val="20"/>
                <w:color w:val="auto"/>
              </w:rPr>
            </w:pPr>
            <w:r>
              <w:rPr>
                <w:rFonts w:ascii="Courier New" w:cs="Courier New" w:eastAsia="Courier New" w:hAnsi="Courier New"/>
                <w:sz w:val="15"/>
                <w:szCs w:val="15"/>
                <w:color w:val="auto"/>
              </w:rPr>
              <w:t>End of the year</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1,473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3,390</w:t>
            </w:r>
          </w:p>
        </w:tc>
      </w:tr>
      <w:tr>
        <w:trPr>
          <w:trHeight w:val="170"/>
        </w:trPr>
        <w:tc>
          <w:tcPr>
            <w:tcW w:w="652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Net of related tax benefit.</w:t>
      </w:r>
    </w:p>
    <w:p>
      <w:pPr>
        <w:spacing w:after="0" w:line="339"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5"/>
          <w:szCs w:val="15"/>
          <w:color w:val="auto"/>
        </w:rPr>
        <w:t>The accompanying notes are an integral part of the</w:t>
      </w:r>
    </w:p>
    <w:p>
      <w:pPr>
        <w:jc w:val="center"/>
        <w:ind w:right="326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338"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300"/>
          </w:cols>
          <w:pgMar w:left="240" w:top="622" w:right="1359" w:bottom="1440" w:gutter="0" w:footer="0" w:header="0"/>
        </w:sectPr>
      </w:pPr>
    </w:p>
    <w:bookmarkStart w:id="44" w:name="page45"/>
    <w:bookmarkEnd w:id="44"/>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SIGNIFICANT ACCOUNTING POLICIES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of Business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Designs, Inc. (the "Company") operates a chain of outlet stores and specialty apparel stores located primarily in the eastern part of the United States, which sells clothing and accessories. Levi Strauss &amp; Co. is the most significant vendor of the Company, representing a substantial portion of the Company's merchandise purchases.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subsidiaries and affiliates. All material intercompany accounts, transactions and profits have been eliminated.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accompanying financial statements have been prepared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Company's fiscal year is a 52 or 53 week period ending on the Saturday closest to January 31. Fiscal years 1998, 1997 and 1996 ended on January 30, 1999, January 31, 1998 and February 1, 1997, respectively. Fiscal years 1998, 1997 and 1996 were 52-week periods.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Short-term investments, which have a maturity of ninety days or less when acquired, are considered cash equivalents. The carrying value approximates fair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Substantially all merchandise inventories are valued at the lower of cost or market using the retail method on the last-in first-out basis ("LIFO"). At January 30, 1999 and January 31, 1998, approximately $606,000 and $1.6 million of Boston Traders(R) liquidation merchandise was valued on the first-in first-out ("FIFO") basis, respectively. If all inventory had been valued on the FIFO basis, inventory at January 30, 1999 and January 31, 1998 would have been approximately $58,841,000 and $56,698,000 respectively. The (provision) benefit for LIFO was $795,000, ($534,000), and ($391,000) in fiscal 1998, 1997 and 1996,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Property and equipment are stated at cost. Major additions and improvements are capitalized, while repairs and maintenance are charged to expense as incurred. Upon retirement or other disposition, the cost and related depreciation of the assets are removed from the accounts and the resulting gain or loss is reflected in income. Depreciation is computed on the straight-line method over the assets' estimated useful lives as follows:</w:t>
      </w:r>
    </w:p>
    <w:p>
      <w:pPr>
        <w:sectPr>
          <w:pgSz w:w="11900" w:h="16838" w:orient="portrait"/>
          <w:cols w:equalWidth="0" w:num="1">
            <w:col w:w="10219"/>
          </w:cols>
          <w:pgMar w:left="240" w:top="622" w:right="1440" w:bottom="1440" w:gutter="0" w:footer="0" w:header="0"/>
        </w:sectPr>
      </w:pP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Motor vehicles</w:t>
      </w:r>
    </w:p>
    <w:p>
      <w:pPr>
        <w:ind w:left="520"/>
        <w:spacing w:after="0"/>
        <w:rPr>
          <w:sz w:val="20"/>
          <w:szCs w:val="20"/>
          <w:color w:val="auto"/>
        </w:rPr>
      </w:pPr>
      <w:r>
        <w:rPr>
          <w:rFonts w:ascii="Courier New" w:cs="Courier New" w:eastAsia="Courier New" w:hAnsi="Courier New"/>
          <w:sz w:val="15"/>
          <w:szCs w:val="15"/>
          <w:color w:val="auto"/>
        </w:rPr>
        <w:t>Store furnishings</w:t>
      </w:r>
    </w:p>
    <w:p>
      <w:pPr>
        <w:ind w:left="520"/>
        <w:spacing w:after="0"/>
        <w:rPr>
          <w:sz w:val="20"/>
          <w:szCs w:val="20"/>
          <w:color w:val="auto"/>
        </w:rPr>
      </w:pPr>
      <w:r>
        <w:rPr>
          <w:rFonts w:ascii="Courier New" w:cs="Courier New" w:eastAsia="Courier New" w:hAnsi="Courier New"/>
          <w:sz w:val="15"/>
          <w:szCs w:val="15"/>
          <w:color w:val="auto"/>
        </w:rPr>
        <w:t>Equipment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Leasehold improvements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Software development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Five years</w:t>
      </w:r>
    </w:p>
    <w:p>
      <w:pPr>
        <w:spacing w:after="0"/>
        <w:rPr>
          <w:sz w:val="20"/>
          <w:szCs w:val="20"/>
          <w:color w:val="auto"/>
        </w:rPr>
      </w:pPr>
      <w:r>
        <w:rPr>
          <w:rFonts w:ascii="Courier New" w:cs="Courier New" w:eastAsia="Courier New" w:hAnsi="Courier New"/>
          <w:sz w:val="15"/>
          <w:szCs w:val="15"/>
          <w:color w:val="auto"/>
        </w:rPr>
        <w:t>Five to ten years</w:t>
      </w:r>
    </w:p>
    <w:p>
      <w:pPr>
        <w:spacing w:after="0"/>
        <w:rPr>
          <w:sz w:val="20"/>
          <w:szCs w:val="20"/>
          <w:color w:val="auto"/>
        </w:rPr>
      </w:pPr>
      <w:r>
        <w:rPr>
          <w:rFonts w:ascii="Courier New" w:cs="Courier New" w:eastAsia="Courier New" w:hAnsi="Courier New"/>
          <w:sz w:val="15"/>
          <w:szCs w:val="15"/>
          <w:color w:val="auto"/>
        </w:rPr>
        <w:t>Five to eight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of useful lives or related lease life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to five years</w:t>
      </w:r>
    </w:p>
    <w:p>
      <w:pPr>
        <w:spacing w:after="0" w:line="200" w:lineRule="exact"/>
        <w:rPr>
          <w:sz w:val="20"/>
          <w:szCs w:val="20"/>
          <w:color w:val="auto"/>
        </w:rPr>
      </w:pPr>
    </w:p>
    <w:p>
      <w:pPr>
        <w:sectPr>
          <w:pgSz w:w="11900" w:h="16838" w:orient="portrait"/>
          <w:cols w:equalWidth="0" w:num="2">
            <w:col w:w="2460" w:space="700"/>
            <w:col w:w="7059"/>
          </w:cols>
          <w:pgMar w:left="240" w:top="622" w:right="1440" w:bottom="1440" w:gutter="0" w:footer="0" w:header="0"/>
          <w:type w:val="continuous"/>
        </w:sectPr>
      </w:pPr>
    </w:p>
    <w:p>
      <w:pPr>
        <w:spacing w:after="0" w:line="139"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2" w:right="1440" w:bottom="1440" w:gutter="0" w:footer="0" w:header="0"/>
          <w:type w:val="continuous"/>
        </w:sectPr>
      </w:pPr>
    </w:p>
    <w:bookmarkStart w:id="45" w:name="page46"/>
    <w:bookmarkEnd w:id="45"/>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Intangibles</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Trademarks and licensing agreements acquired are amortized on a straight line basis over 15 years and 3 years, respectively. Amortization expense for trademarks and licensing agreements was $317,000 and $312,000 for fiscal 1998 and 1997, respectively. Accumulated amortization for trademark and licensing was $1,143,000 and $826,000 at January 30, 1999 and January 31, 1998, respectively.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Preopening Costs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fiscal 1997, the Company adopted Statement of Position (SOP) 98-5, Reporting on the Costs of Start-Up Activities. In accordance with this SOP, the Company expenses all pre-opening costs as incurred. Adoption of this pronouncement in fiscal 1997 did not have a material effect on the Company's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Advertising costs, which are included in Selling, general and administrative expenses are expensed when incurred. Advertising expense was $1.2 million, $2.7 million and $2.7 million for fiscal 1998, 1997 and 1996,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more fully discussed in Note K, minority interest represents LDJV Inc.'s 30% interest in The Designs/OLS Partnership (the "OLS Partnership"), a joint venture between Designs JV Corp., a wholly-owned subsidiary of the Company, and LDJV Inc., a wholly-owned subsidiary of Levi's Only Stores, Inc. which is a wholly-owned subsidiary of Levi Strauss &amp; Co. As discussed more fully in Note K, during the fourth quarter of fiscal 1998, Designs JV Corp. and LDJV, Inc. agreed to dissolve and wind up the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Statement of Financial Accounting Standards No. 128, "Earnings per Share" ("SFAS 128") requires the computation of basic and diluted earnings per share. Basic earnings per share is computed by dividing net income (loss) by the weighted average number of shares of common stock outstanding during the year. Diluted earnings per share is determined by giving effect to the exercise of stock options using the treasury stock method.</w:t>
      </w:r>
    </w:p>
    <w:p>
      <w:pPr>
        <w:sectPr>
          <w:pgSz w:w="11900" w:h="16838" w:orient="portrait"/>
          <w:cols w:equalWidth="0" w:num="1">
            <w:col w:w="10219"/>
          </w:cols>
          <w:pgMar w:left="240" w:top="622"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Years Ending</w:t>
      </w:r>
    </w:p>
    <w:p>
      <w:pPr>
        <w:spacing w:after="0"/>
        <w:tabs>
          <w:tab w:leader="none" w:pos="2000" w:val="left"/>
          <w:tab w:leader="none" w:pos="3760" w:val="left"/>
        </w:tabs>
        <w:rPr>
          <w:sz w:val="20"/>
          <w:szCs w:val="20"/>
          <w:color w:val="auto"/>
        </w:rPr>
      </w:pPr>
      <w:r>
        <w:rPr>
          <w:rFonts w:ascii="Courier New" w:cs="Courier New" w:eastAsia="Courier New" w:hAnsi="Courier New"/>
          <w:sz w:val="15"/>
          <w:szCs w:val="15"/>
          <w:color w:val="auto"/>
        </w:rPr>
        <w:t>January 30, 1999</w:t>
      </w:r>
      <w:r>
        <w:rPr>
          <w:sz w:val="20"/>
          <w:szCs w:val="20"/>
          <w:color w:val="auto"/>
        </w:rPr>
        <w:tab/>
      </w:r>
      <w:r>
        <w:rPr>
          <w:rFonts w:ascii="Courier New" w:cs="Courier New" w:eastAsia="Courier New" w:hAnsi="Courier New"/>
          <w:sz w:val="15"/>
          <w:szCs w:val="15"/>
          <w:color w:val="auto"/>
        </w:rPr>
        <w:t>January 31, 1998</w:t>
      </w:r>
      <w:r>
        <w:rPr>
          <w:sz w:val="20"/>
          <w:szCs w:val="20"/>
          <w:color w:val="auto"/>
        </w:rPr>
        <w:tab/>
      </w:r>
      <w:r>
        <w:rPr>
          <w:rFonts w:ascii="Courier New" w:cs="Courier New" w:eastAsia="Courier New" w:hAnsi="Courier New"/>
          <w:sz w:val="14"/>
          <w:szCs w:val="14"/>
          <w:color w:val="auto"/>
        </w:rPr>
        <w:t>February 1,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980" w:space="720"/>
            <w:col w:w="6519"/>
          </w:cols>
          <w:pgMar w:left="240" w:top="622"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weighted average common shares</w:t>
      </w:r>
    </w:p>
    <w:p>
      <w:pPr>
        <w:sectPr>
          <w:pgSz w:w="11900" w:h="16838" w:orient="portrait"/>
          <w:cols w:equalWidth="0" w:num="1">
            <w:col w:w="10219"/>
          </w:cols>
          <w:pgMar w:left="240" w:top="622" w:right="1440"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15,810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15,649</w:t>
      </w:r>
    </w:p>
    <w:p>
      <w:pPr>
        <w:spacing w:after="0" w:line="20" w:lineRule="exact"/>
        <w:rPr>
          <w:sz w:val="20"/>
          <w:szCs w:val="20"/>
          <w:color w:val="auto"/>
        </w:rPr>
      </w:pPr>
      <w:r>
        <w:rPr>
          <w:sz w:val="20"/>
          <w:szCs w:val="20"/>
          <w:color w:val="auto"/>
        </w:rPr>
        <w:br w:type="column"/>
      </w:r>
    </w:p>
    <w:p>
      <w:pPr>
        <w:jc w:val="center"/>
        <w:ind w:right="1319"/>
        <w:spacing w:after="0"/>
        <w:rPr>
          <w:sz w:val="20"/>
          <w:szCs w:val="20"/>
          <w:color w:val="auto"/>
        </w:rPr>
      </w:pPr>
      <w:r>
        <w:rPr>
          <w:rFonts w:ascii="Courier New" w:cs="Courier New" w:eastAsia="Courier New" w:hAnsi="Courier New"/>
          <w:sz w:val="15"/>
          <w:szCs w:val="15"/>
          <w:color w:val="auto"/>
        </w:rPr>
        <w:t>15,755</w:t>
      </w:r>
    </w:p>
    <w:p>
      <w:pPr>
        <w:spacing w:after="0" w:line="5" w:lineRule="exact"/>
        <w:rPr>
          <w:sz w:val="20"/>
          <w:szCs w:val="20"/>
          <w:color w:val="auto"/>
        </w:rPr>
      </w:pPr>
    </w:p>
    <w:p>
      <w:pPr>
        <w:sectPr>
          <w:pgSz w:w="11900" w:h="16838" w:orient="portrait"/>
          <w:cols w:equalWidth="0" w:num="4">
            <w:col w:w="3860" w:space="720"/>
            <w:col w:w="1300" w:space="720"/>
            <w:col w:w="1040" w:space="720"/>
            <w:col w:w="185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 options, excluding anti-dilutive</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options of 80 shares and 34 shares</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 January 30, 1999, and</w:t>
      </w:r>
    </w:p>
    <w:p>
      <w:pPr>
        <w:sectPr>
          <w:pgSz w:w="11900" w:h="16838" w:orient="portrait"/>
          <w:cols w:equalWidth="0" w:num="1">
            <w:col w:w="10219"/>
          </w:cols>
          <w:pgMar w:left="240" w:top="622"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January 31, 1998,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weighted average shares outstanding</w:t>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5"/>
          <w:szCs w:val="15"/>
          <w:color w:val="auto"/>
        </w:rPr>
        <w:t>15,810</w:t>
      </w:r>
    </w:p>
    <w:p>
      <w:pPr>
        <w:spacing w:after="0" w:line="5" w:lineRule="exact"/>
        <w:rPr>
          <w:sz w:val="20"/>
          <w:szCs w:val="20"/>
          <w:color w:val="auto"/>
        </w:rPr>
      </w:pPr>
    </w:p>
    <w:p>
      <w:pPr>
        <w:jc w:val="right"/>
        <w:ind w:right="5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5"/>
          <w:szCs w:val="15"/>
          <w:color w:val="auto"/>
        </w:rPr>
        <w:t>15,649</w:t>
      </w:r>
    </w:p>
    <w:p>
      <w:pPr>
        <w:spacing w:after="0" w:line="5" w:lineRule="exact"/>
        <w:rPr>
          <w:sz w:val="20"/>
          <w:szCs w:val="20"/>
          <w:color w:val="auto"/>
        </w:rPr>
      </w:pPr>
    </w:p>
    <w:p>
      <w:pPr>
        <w:jc w:val="right"/>
        <w:ind w:right="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319"/>
        <w:spacing w:after="0"/>
        <w:rPr>
          <w:sz w:val="20"/>
          <w:szCs w:val="20"/>
          <w:color w:val="auto"/>
        </w:rPr>
      </w:pPr>
      <w:r>
        <w:rPr>
          <w:rFonts w:ascii="Courier New" w:cs="Courier New" w:eastAsia="Courier New" w:hAnsi="Courier New"/>
          <w:sz w:val="15"/>
          <w:szCs w:val="15"/>
          <w:color w:val="auto"/>
        </w:rPr>
        <w:t>78</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5"/>
          <w:szCs w:val="15"/>
          <w:color w:val="auto"/>
        </w:rPr>
        <w:t>15,833</w:t>
      </w:r>
    </w:p>
    <w:p>
      <w:pPr>
        <w:spacing w:after="0" w:line="5" w:lineRule="exact"/>
        <w:rPr>
          <w:sz w:val="20"/>
          <w:szCs w:val="20"/>
          <w:color w:val="auto"/>
        </w:rPr>
      </w:pPr>
    </w:p>
    <w:p>
      <w:pPr>
        <w:jc w:val="right"/>
        <w:ind w:right="13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3780" w:space="440"/>
            <w:col w:w="1400" w:space="720"/>
            <w:col w:w="1120" w:space="720"/>
            <w:col w:w="2039"/>
          </w:cols>
          <w:pgMar w:left="240" w:top="622" w:right="1440" w:bottom="1440" w:gutter="0" w:footer="0" w:header="0"/>
          <w:type w:val="continuous"/>
        </w:sectPr>
      </w:pPr>
    </w:p>
    <w:p>
      <w:pPr>
        <w:spacing w:after="0" w:line="314"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2" w:right="1440" w:bottom="1440" w:gutter="0" w:footer="0" w:header="0"/>
          <w:type w:val="continuous"/>
        </w:sectPr>
      </w:pPr>
    </w:p>
    <w:bookmarkStart w:id="46" w:name="page47"/>
    <w:bookmarkEnd w:id="46"/>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Options to purchase shares of the Company's common stock of 1,876,350, 2,026,700 and 1,670,300 for fiscal years 1998, 1997 and 1996, respectively, were outstanding during the respective periods but were not included in the computation of diluted EPS because the price of the options was greater than the average market price of the common stock for the period reported. These options, which all expire between June 2, 2002 and June 10, 2007, have exercise prices that range from $4.44 to $21.50 in fiscal 1998, $4.88 to $21.50 in fiscal 1997 and $6.63 to $21.50 in fiscal 1996.</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fiscal 1994, the Company's Board of Directors authorized the repurchase of up to two million shares of the Company's Common Stock. The Company repurchased 280,900 shares of the Company's Common Stock during fiscal 1996 at an aggregate cost of $1,827,000. These shares were recorded by the Company as treasury stock, and accounted for as a reduction in shareholders' equity. Shares owned by the Company are not considered outstanding for the computation of earnings per share until re-issued by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accounts for long-lived assets in accordance with Statement of Financial Accounting Standards No. 121, "Accounting for the Impairment of Long-Lived Assets and for Long-Lived Assets To Be Disposed Of." The Company reviews its long-lived assets for events or changes in circumstances that might indicate the carrying amount of the assets may not be recoverable. The Company assesses the recoverability of the assets by determining whether the depreciation of such assets over the remaining lives can be recovered through projected undiscounted future cash flows. The amount of impairment, if any, is measured based on projected discounted future cash flows using a discount rate reflecting the Company's average cost of funds. At January 30, 1999, no such impairment of assets was indicated. In fiscal 1997, the Company recorded an impairment charge of $378,000 for a write-down of fixed assets which is included in selling, general, and administrative expenses in the accompanying statements of operations.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During fiscal 1998, the Company adopted SFAS No. 130, Reporting Comprehensive Income, which established standards for reporting and display of comprehensive income and its components. Comprehensive income is the total of net income and all other nonowner changes in stockholders' equity. The adoption of this pronouncement did not have a material effect on the Company's financial statements.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Disclosures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1997, the Financial Accounting Standards Board issued Statement of Financial Accounting Standards No. 131, "Disclosure about Segments of an Enterprise and Related Information" ("SFAS 131"). SFAS 131 specifies new guidelines for determining a company's operating segments and related requirements for disclosure. SFAS 131 becomes effective for fiscal years beginning after December 15, 1997. The Company has adopted this standard for the fiscal year ending January 30, 1999 (see note 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Instruments and Hedging</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requires that all derivative instruments be recorded on the balance sheet at their fair value. Changes in the fair value of derivatives are recorded in current earnings or other comprehensive income, depending on whether the derivative is designated as part of a hedge transaction and, if it is, the type of hedge transaction. The Company will be required to adopt SFAS No. 133 in fiscal 2000. The Company does not anticipate that the adoption of SFAS No. 133 will have a significant effect on the Company's results of operations or financial 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5"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Certain amounts from prior years have been reclassified to conform to the current year presentation.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PROPERTY AND EQUIPMENT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consisted of the following at: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January 30,</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r>
      <w:tr>
        <w:trPr>
          <w:trHeight w:val="170"/>
        </w:trPr>
        <w:tc>
          <w:tcPr>
            <w:tcW w:w="3260" w:type="dxa"/>
            <w:vAlign w:val="bottom"/>
          </w:tcPr>
          <w:p>
            <w:pPr>
              <w:spacing w:after="0"/>
              <w:rPr>
                <w:sz w:val="14"/>
                <w:szCs w:val="1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r>
      <w:tr>
        <w:trPr>
          <w:trHeight w:val="339"/>
        </w:trPr>
        <w:tc>
          <w:tcPr>
            <w:tcW w:w="3260" w:type="dxa"/>
            <w:vAlign w:val="bottom"/>
          </w:tcPr>
          <w:p>
            <w:pPr>
              <w:spacing w:after="0"/>
              <w:rPr>
                <w:sz w:val="20"/>
                <w:szCs w:val="20"/>
                <w:color w:val="auto"/>
              </w:rPr>
            </w:pPr>
            <w:r>
              <w:rPr>
                <w:rFonts w:ascii="Courier New" w:cs="Courier New" w:eastAsia="Courier New" w:hAnsi="Courier New"/>
                <w:sz w:val="15"/>
                <w:szCs w:val="15"/>
                <w:color w:val="auto"/>
              </w:rPr>
              <w:t>Motor vehicles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Store furnishings</w:t>
            </w: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15,338</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22,182</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7,513</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9,662</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15,690</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31,948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5,008</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5,550</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Construction in progress</w:t>
            </w: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388</w:t>
            </w:r>
          </w:p>
        </w:tc>
      </w:tr>
      <w:tr>
        <w:trPr>
          <w:trHeight w:val="170"/>
        </w:trPr>
        <w:tc>
          <w:tcPr>
            <w:tcW w:w="3260" w:type="dxa"/>
            <w:vAlign w:val="bottom"/>
          </w:tcPr>
          <w:p>
            <w:pPr>
              <w:spacing w:after="0"/>
              <w:rPr>
                <w:sz w:val="14"/>
                <w:szCs w:val="1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43,905</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70,118</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0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26,117</w:t>
            </w:r>
          </w:p>
        </w:tc>
        <w:tc>
          <w:tcPr>
            <w:tcW w:w="80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34,811</w:t>
            </w:r>
          </w:p>
        </w:tc>
      </w:tr>
      <w:tr>
        <w:trPr>
          <w:trHeight w:val="170"/>
        </w:trPr>
        <w:tc>
          <w:tcPr>
            <w:tcW w:w="3260" w:type="dxa"/>
            <w:vAlign w:val="bottom"/>
          </w:tcPr>
          <w:p>
            <w:pPr>
              <w:spacing w:after="0"/>
              <w:rPr>
                <w:sz w:val="14"/>
                <w:szCs w:val="1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property and equipment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17,788</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35,307</w:t>
            </w:r>
          </w:p>
        </w:tc>
      </w:tr>
      <w:tr>
        <w:trPr>
          <w:trHeight w:val="170"/>
        </w:trPr>
        <w:tc>
          <w:tcPr>
            <w:tcW w:w="3260" w:type="dxa"/>
            <w:vAlign w:val="bottom"/>
          </w:tcPr>
          <w:p>
            <w:pPr>
              <w:spacing w:after="0"/>
              <w:rPr>
                <w:sz w:val="14"/>
                <w:szCs w:val="1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0" w:gutter="0" w:footer="0" w:header="0"/>
        </w:sectPr>
      </w:pPr>
    </w:p>
    <w:bookmarkStart w:id="47" w:name="page48"/>
    <w:bookmarkEnd w:id="47"/>
    <w:p>
      <w:pPr>
        <w:ind w:right="3259"/>
        <w:spacing w:after="0" w:line="235" w:lineRule="auto"/>
        <w:rPr>
          <w:sz w:val="20"/>
          <w:szCs w:val="20"/>
          <w:color w:val="auto"/>
        </w:rPr>
      </w:pPr>
      <w:r>
        <w:rPr>
          <w:rFonts w:ascii="Courier New" w:cs="Courier New" w:eastAsia="Courier New" w:hAnsi="Courier New"/>
          <w:sz w:val="15"/>
          <w:szCs w:val="15"/>
          <w:color w:val="auto"/>
        </w:rPr>
        <w:t>Depreciation expense for fiscal 1998, 1997 and 1996 was $9,209,942, $10,040,000 and $9,042,000, respectively.</w:t>
      </w:r>
    </w:p>
    <w:p>
      <w:pPr>
        <w:spacing w:after="0" w:line="34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141" w:right="1440" w:bottom="1440" w:gutter="0" w:footer="0" w:header="0"/>
        </w:sectPr>
      </w:pPr>
    </w:p>
    <w:bookmarkStart w:id="48" w:name="page49"/>
    <w:bookmarkEnd w:id="48"/>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INVESTMENTS</w:t>
      </w:r>
    </w:p>
    <w:p>
      <w:pPr>
        <w:spacing w:after="0" w:line="17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The Company held no investments during fiscal 1998. During fiscal 1997, the Company sold investment securities with a cost of $5,992,000 for $5,890,000.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DEBT OBLIGATIONS</w:t>
      </w:r>
    </w:p>
    <w:p>
      <w:pPr>
        <w:spacing w:after="0" w:line="17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On June 4, 1998 the Company entered into an Amended and Restated Loan and Security Agreement with a subsidiary of BankBoston, N.A., BankBoston Retail Finance Inc., as agent for the lenders named therein (the "Credit Agreement"). The Credit Agreement, which terminates on June 4, 2001, consists of a revolving line of credit permitting the Company to borrow up to $50 million. Under this credit facility, the Company has the ability to cause the lenders to issue documentary and standby letters of credit up to $5 million. The Company's obligations under the Credit Agreement are secured by a lien on all of the Company's assets, except the assets of the OLS Partnership. The ability of the Company to borrow under the Credit Agreement is subject to a number of conditions including the accuracy of certain representations and compliance with tangible net worth and fixed charge coverage ratio covenants. The availability of the unused revolving line of credit is limited to specified percentages of the value of the Company's eligible inventory determined under the Credit Agreement, ranging from 60% to 65%. At the option of the Company, borrowings under this facility bear interest at BankBoston, N.A.'s prime rate or at LIBOR-based fixed rates. These interest rates at January 30, 1999 were 7.75% for prime and 7.375% for LIBOR. The Credit Agreement contains certain covenants and events of default customary for credit facilities of this nature, including change of control provisions and limitations on payment of dividends by the Company. The Company is subject to a prepayment penalty of $250,000 to $500,000 if the Credit Agreement terminates prior to June 4, 2000.</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the third quarter of fiscal 1998, the Credit Agreement was amended to, among other things, permit and acknowledge the Company's acquisition of the 25 outlet stores from LOS and the transactions associated with the agreement to dissolve and wind up the OLS Partnership. These amendments include an increase in the minimum tangible net worth that the Company must have, which was adjusted to recognize the value of the assets distributed to the Company by the OLS Partnership. Prior to these amendments, the tangible net worth of the OLS Partnership was excluded from the calculation of the Company's tangible net worth for purposes of these financial covenants. Subject to certain limitations and conditions, the Credit Agreement permits the Company, without the prior permission of its lenders, to consummate certain acquisitions and to repurchase shares of the Company's Common Stock. These amendments, among other things, reduced the amount that the Company may expend for such purposes without obtaining the prior permission of its lenders.</w:t>
      </w:r>
    </w:p>
    <w:p>
      <w:pPr>
        <w:spacing w:after="0" w:line="16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January 30, 1999, the Company had borrowings of approximately $12.8 million outstanding under this facility and had two outstanding standby letters of credit totaling approximately $84,000. Average borrowings outstanding under this credit facility for fiscal year 1998 were approximately $6.4 million. The Company was in compliance with all debt covenants under the Credit Agreement at January 30, 1999.</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On May 2, 1995, the Company delivered a non-negotiable promissory note in the principal amount of $1,000,0000 in connection with the acquisition of certain assets of Boston Trading Ltd., Inc. ("Boston Trading") in accordance with the terms of an Asset Purchase Agreement dated April 21, 1995 among Boston Trading, its stockholders, Designs Acquisition Corp., and the Company (the "Purchase Agreement"). The principal amount of the Purchase Note was payable in two equal annual installments through May 1997. The note bears interest at the published prime rate and is payable semi-annually from the date of acquisition.</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the first quarter of fiscal 1996, the Company asserted certain indemnification rights under the Purchase Agreement. In accordance with the Purchase Agreement, the Company, when exercising its indemnification rights, has the right, among other courses of action, to offset against the payment of principal and interest due and payable under the Purchase Note. Accordingly, the Company did not make the $500,000 payments of principal on the Purchase Note that were due on May 2, 1996 and May 2, 1997. The Company paid interest on the original principal amount of the Purchase Note through May 2, 1996 and continued to pay interest thereafter through January 31, 1998 on $500,000 of principal.</w:t>
      </w:r>
    </w:p>
    <w:p>
      <w:pPr>
        <w:spacing w:after="0" w:line="33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2" w:right="1440" w:bottom="1440" w:gutter="0" w:footer="0" w:header="0"/>
        </w:sectPr>
      </w:pPr>
    </w:p>
    <w:bookmarkStart w:id="49" w:name="page50"/>
    <w:bookmarkEnd w:id="49"/>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January 1998, Atlantic Harbor, Inc. filed a lawsuit against the Company for failing to pay the outstanding principal amount of the Purchase Note. In March 1998, the Company filed a counterclaim against Atlantic Harbor, Inc. alleging that the Company was damaged in excess of $1 million because of the breach of certain representations and warranties made by Atlantic Harbor, Inc. and its stockholders concerning the existence and condition of certain foreign trademark registrations and license agreements. Barring unforeseen circumstances, management of the Company does not believe that the result of this litigation will have a material adverse effect on the Company's results of operations or financial position.</w:t>
      </w:r>
    </w:p>
    <w:p>
      <w:pPr>
        <w:spacing w:after="0" w:line="180"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The Company paid interest and fees on all the above described debt obligations totaling $1,062,000, $833,000 and $253,000 for the fiscal years 1998, 1997 and 1996,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INCOME TAXES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Taxes"("SFAS 109"). Under SFAS 109, deferred tax assets and liabilities are recognized based on temporary differences between the financial statement and tax basis of assets and liabilities using enacted tax rates in effect in the years in which the differences are expected to reverse. SFAS 109 requires current recognition of net deferred tax assets to the extent that it is more likely than not that such net assets will be realized. To the extent that the Company believes that its net deferred tax assets will not be realized, a valuation allowance must be placed against those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January 30, 1999, the Company has net operating loss carryforwards of</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$29,881,000 for federal income tax purposes and $72,802,000 for state income tax purposes which are available to offset future taxable income through fiscal year 2018. Additionally, the Company has alternative minimum tax credit carryforwards of $1,138,000 which are available to reduce further income taxes over an indefinite period.</w:t>
      </w:r>
    </w:p>
    <w:p>
      <w:pPr>
        <w:spacing w:after="0" w:line="178"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components of the net deferred tax assets as of January 30, 1999 and January 31, 1998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1"/>
              </w:rPr>
              <w:t>January</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January 31,</w:t>
            </w:r>
          </w:p>
        </w:tc>
      </w:tr>
      <w:tr>
        <w:trPr>
          <w:trHeight w:val="170"/>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30, 1999</w:t>
            </w:r>
          </w:p>
        </w:tc>
        <w:tc>
          <w:tcPr>
            <w:tcW w:w="3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assets - current: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Inventory reserves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3,312</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140"/>
              <w:spacing w:after="0"/>
              <w:rPr>
                <w:sz w:val="20"/>
                <w:szCs w:val="20"/>
                <w:color w:val="auto"/>
              </w:rPr>
            </w:pPr>
            <w:r>
              <w:rPr>
                <w:rFonts w:ascii="Courier New" w:cs="Courier New" w:eastAsia="Courier New" w:hAnsi="Courier New"/>
                <w:sz w:val="15"/>
                <w:szCs w:val="15"/>
                <w:color w:val="auto"/>
              </w:rPr>
              <w:t>Subtotal</w:t>
            </w:r>
          </w:p>
        </w:tc>
        <w:tc>
          <w:tcPr>
            <w:tcW w:w="6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426</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liabilities - current: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LIFO reserve</w:t>
            </w:r>
          </w:p>
        </w:tc>
        <w:tc>
          <w:tcPr>
            <w:tcW w:w="6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w:t>
            </w:r>
          </w:p>
        </w:tc>
        <w:tc>
          <w:tcPr>
            <w:tcW w:w="3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(1,924)</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Net deferred tax assets- current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1,388</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asset - noncurrent</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Excess of book over tax</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140" w:type="dxa"/>
            <w:vAlign w:val="bottom"/>
          </w:tcPr>
          <w:p>
            <w:pPr>
              <w:ind w:left="600"/>
              <w:spacing w:after="0"/>
              <w:rPr>
                <w:sz w:val="20"/>
                <w:szCs w:val="20"/>
                <w:color w:val="auto"/>
              </w:rPr>
            </w:pPr>
            <w:r>
              <w:rPr>
                <w:rFonts w:ascii="Courier New" w:cs="Courier New" w:eastAsia="Courier New" w:hAnsi="Courier New"/>
                <w:sz w:val="15"/>
                <w:szCs w:val="15"/>
                <w:color w:val="auto"/>
              </w:rPr>
              <w:t>depreciation/amortization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2,168</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Capital loss carryforward</w:t>
            </w:r>
          </w:p>
        </w:tc>
        <w:tc>
          <w:tcPr>
            <w:tcW w:w="6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Net operating loss carryforward</w:t>
            </w:r>
          </w:p>
        </w:tc>
        <w:tc>
          <w:tcPr>
            <w:tcW w:w="6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15,121</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2,891</w:t>
            </w:r>
          </w:p>
        </w:tc>
      </w:tr>
      <w:tr>
        <w:trPr>
          <w:trHeight w:val="170"/>
        </w:trPr>
        <w:tc>
          <w:tcPr>
            <w:tcW w:w="4140" w:type="dxa"/>
            <w:vAlign w:val="bottom"/>
          </w:tcPr>
          <w:p>
            <w:pPr>
              <w:ind w:left="160"/>
              <w:spacing w:after="0"/>
              <w:rPr>
                <w:sz w:val="20"/>
                <w:szCs w:val="20"/>
                <w:color w:val="auto"/>
              </w:rPr>
            </w:pPr>
            <w:r>
              <w:rPr>
                <w:rFonts w:ascii="Courier New" w:cs="Courier New" w:eastAsia="Courier New" w:hAnsi="Courier New"/>
                <w:sz w:val="15"/>
                <w:szCs w:val="15"/>
                <w:color w:val="auto"/>
              </w:rPr>
              <w:t>Alternative minimum tax credit carryforward</w:t>
            </w:r>
          </w:p>
        </w:tc>
        <w:tc>
          <w:tcPr>
            <w:tcW w:w="6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1,138</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1,138</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Subtotal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19,115</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6,362</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6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(545)</w:t>
            </w:r>
          </w:p>
        </w:tc>
        <w:tc>
          <w:tcPr>
            <w:tcW w:w="3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Total deferred tax assets - noncurrent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18,570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6,362</w:t>
            </w:r>
          </w:p>
        </w:tc>
      </w:tr>
      <w:tr>
        <w:trPr>
          <w:trHeight w:val="170"/>
        </w:trPr>
        <w:tc>
          <w:tcPr>
            <w:tcW w:w="4140" w:type="dxa"/>
            <w:vAlign w:val="bottom"/>
          </w:tcPr>
          <w:p>
            <w:pPr>
              <w:spacing w:after="0"/>
              <w:rPr>
                <w:sz w:val="14"/>
                <w:szCs w:val="1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Realization of the Company's deferred tax assets is dependent on generating sufficient taxable income during the carryforward period. The valuation allowance at January 30, 1999 is primarily attributable to the potential that certain deferred state tax assets will not be realizable. Although realization is not assured, management believes it is more likely than not that all of the remaining deferred tax asset will be realized. The amount of the deferred tax assets considered realizable, however, could be reduced in the near term, if estimates of future taxable income during the carryforward period are reduced. In reaching this determination, management reviewed the Company's historical performance and projections of future results. These projections provide positive evidence of future probable realization of the remaining deferred tax asset within the prescribed carryforward time frame.</w:t>
      </w:r>
    </w:p>
    <w:p>
      <w:pPr>
        <w:spacing w:after="0" w:line="34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2" w:right="1440" w:bottom="1440" w:gutter="0" w:footer="0" w:header="0"/>
        </w:sectPr>
      </w:pPr>
    </w:p>
    <w:bookmarkStart w:id="50" w:name="page51"/>
    <w:bookmarkEnd w:id="50"/>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(benefit) for income taxes consists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2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FISCAL YEARS ENDING</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500" w:type="dxa"/>
            <w:vAlign w:val="bottom"/>
          </w:tcPr>
          <w:p>
            <w:pPr>
              <w:spacing w:after="0"/>
              <w:rPr>
                <w:sz w:val="14"/>
                <w:szCs w:val="14"/>
                <w:color w:val="auto"/>
              </w:rPr>
            </w:pPr>
          </w:p>
        </w:tc>
        <w:tc>
          <w:tcPr>
            <w:tcW w:w="15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January 30,</w:t>
            </w:r>
          </w:p>
        </w:tc>
        <w:tc>
          <w:tcPr>
            <w:tcW w:w="16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January 31,</w:t>
            </w: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w w:val="99"/>
              </w:rPr>
              <w:t>(In Thousands)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(12,964)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3,234</w:t>
            </w:r>
          </w:p>
        </w:tc>
      </w:tr>
      <w:tr>
        <w:trPr>
          <w:trHeight w:val="170"/>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c>
          <w:tcPr>
            <w:tcW w:w="5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(688)</w:t>
            </w:r>
          </w:p>
        </w:tc>
        <w:tc>
          <w:tcPr>
            <w:tcW w:w="3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1,149</w:t>
            </w:r>
          </w:p>
        </w:tc>
      </w:tr>
      <w:tr>
        <w:trPr>
          <w:trHeight w:val="170"/>
        </w:trPr>
        <w:tc>
          <w:tcPr>
            <w:tcW w:w="250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c>
          <w:tcPr>
            <w:tcW w:w="5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(13,652)</w:t>
            </w:r>
          </w:p>
        </w:tc>
        <w:tc>
          <w:tcPr>
            <w:tcW w:w="3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4,383</w:t>
            </w:r>
          </w:p>
        </w:tc>
      </w:tr>
      <w:tr>
        <w:trPr>
          <w:trHeight w:val="170"/>
        </w:trPr>
        <w:tc>
          <w:tcPr>
            <w:tcW w:w="250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Federal</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(10,006)</w:t>
            </w:r>
          </w:p>
        </w:tc>
        <w:tc>
          <w:tcPr>
            <w:tcW w:w="5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(1,639)</w:t>
            </w:r>
          </w:p>
        </w:tc>
        <w:tc>
          <w:tcPr>
            <w:tcW w:w="3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w:t>
            </w:r>
          </w:p>
        </w:tc>
      </w:tr>
      <w:tr>
        <w:trPr>
          <w:trHeight w:val="170"/>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State</w:t>
            </w: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(1,086)</w:t>
            </w:r>
          </w:p>
        </w:tc>
        <w:tc>
          <w:tcPr>
            <w:tcW w:w="5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(2,208)</w:t>
            </w:r>
          </w:p>
        </w:tc>
        <w:tc>
          <w:tcPr>
            <w:tcW w:w="3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250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(11,092)</w:t>
            </w:r>
          </w:p>
        </w:tc>
        <w:tc>
          <w:tcPr>
            <w:tcW w:w="50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(3,847)</w:t>
            </w:r>
          </w:p>
        </w:tc>
        <w:tc>
          <w:tcPr>
            <w:tcW w:w="34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w:t>
            </w:r>
          </w:p>
        </w:tc>
      </w:tr>
      <w:tr>
        <w:trPr>
          <w:trHeight w:val="170"/>
        </w:trPr>
        <w:tc>
          <w:tcPr>
            <w:tcW w:w="250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Provision (Benefit)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(10,728)</w:t>
            </w:r>
          </w:p>
        </w:tc>
        <w:tc>
          <w:tcPr>
            <w:tcW w:w="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(17,499)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4,100</w:t>
            </w:r>
          </w:p>
        </w:tc>
      </w:tr>
      <w:tr>
        <w:trPr>
          <w:trHeight w:val="170"/>
        </w:trPr>
        <w:tc>
          <w:tcPr>
            <w:tcW w:w="250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following is a reconciliation between the statutory and effective income tax rates: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FISCAL YEARS ENDING</w:t>
            </w:r>
          </w:p>
        </w:tc>
        <w:tc>
          <w:tcPr>
            <w:tcW w:w="6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January</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January</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February</w:t>
            </w:r>
          </w:p>
        </w:tc>
      </w:tr>
      <w:tr>
        <w:trPr>
          <w:trHeight w:val="170"/>
        </w:trPr>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1999</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Statutory</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Federal</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income tax rate</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r>
      <w:tr>
        <w:trPr>
          <w:trHeight w:val="339"/>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rPr>
              <w:t>State income and</w:t>
            </w:r>
          </w:p>
        </w:tc>
        <w:tc>
          <w:tcPr>
            <w:tcW w:w="2340" w:type="dxa"/>
            <w:vAlign w:val="bottom"/>
          </w:tcPr>
          <w:p>
            <w:pPr>
              <w:spacing w:after="0"/>
              <w:rPr>
                <w:sz w:val="20"/>
                <w:szCs w:val="20"/>
                <w:color w:val="auto"/>
              </w:rPr>
            </w:pPr>
            <w:r>
              <w:rPr>
                <w:rFonts w:ascii="Courier New" w:cs="Courier New" w:eastAsia="Courier New" w:hAnsi="Courier New"/>
                <w:sz w:val="15"/>
                <w:szCs w:val="15"/>
                <w:color w:val="auto"/>
              </w:rPr>
              <w:t>other taxes,</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820" w:type="dxa"/>
            <w:vAlign w:val="bottom"/>
          </w:tcPr>
          <w:p>
            <w:pPr>
              <w:ind w:left="260"/>
              <w:spacing w:after="0"/>
              <w:rPr>
                <w:sz w:val="20"/>
                <w:szCs w:val="20"/>
                <w:color w:val="auto"/>
              </w:rPr>
            </w:pPr>
            <w:r>
              <w:rPr>
                <w:rFonts w:ascii="Courier New" w:cs="Courier New" w:eastAsia="Courier New" w:hAnsi="Courier New"/>
                <w:sz w:val="15"/>
                <w:szCs w:val="15"/>
                <w:color w:val="auto"/>
                <w:w w:val="99"/>
              </w:rPr>
              <w:t>net of</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federal tax benefit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Permanent</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items and tax credits</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Change in</w:t>
            </w:r>
          </w:p>
        </w:tc>
        <w:tc>
          <w:tcPr>
            <w:tcW w:w="3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valuation allowance</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Effective</w:t>
            </w: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w w:val="94"/>
              </w:rPr>
              <w:t>tax rate</w:t>
            </w:r>
          </w:p>
        </w:tc>
        <w:tc>
          <w:tcPr>
            <w:tcW w:w="234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w:t>
            </w:r>
          </w:p>
        </w:tc>
        <w:tc>
          <w:tcPr>
            <w:tcW w:w="400" w:type="dxa"/>
            <w:vAlign w:val="bottom"/>
          </w:tcPr>
          <w:p>
            <w:pPr>
              <w:spacing w:after="0"/>
              <w:rPr>
                <w:sz w:val="24"/>
                <w:szCs w:val="2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39.6%</w:t>
            </w:r>
          </w:p>
        </w:tc>
      </w:tr>
      <w:tr>
        <w:trPr>
          <w:trHeight w:val="170"/>
        </w:trPr>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received an income tax refund of $12,984,000 for fiscal year 1998, and the Company paid income taxes of $195,000 and $2,888,000 during fiscal years 1997 and 1996, respectively. These figures represent the net of payments and receipts. The above refund of $12.9 million related to losses incurred by the Company in fiscal 1997, which were carried back against federal income tax payments in prior years.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the first quarter of fiscal year 1998, the Internal Revenue Service (IRS) completed an examination of the Company's federal income tax returns for fiscal years 1991 through 1995. Taxes on the adjustments proposed by the IRS, excluding interest, amount to approximately $4.9 million. The IRS has challenged the fiscal tax year in which various income and expense deductions were recognized, resulting in potential timing differences of previously paid federal income taxes. The Company intends to protest the proposed adjustments through the IRS appeals process. The Company believes that these adjustments will be reduced through the appeals process and in the opinion of management, adequate provisions have been made for all income taxes and interest. The Company believes that any adjustments to prior periods that may arise as a result of this process, will not have a material impact on the results of operations or the financial position of 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 COMMITMENTS AND CONTINGENCIES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At January 30, 1999, the Company was obligated under operating leases covering store and office space, automobiles and certain equipment for future minimum rentals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FISCAL</w:t>
            </w:r>
          </w:p>
        </w:tc>
        <w:tc>
          <w:tcPr>
            <w:tcW w:w="28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 Thousands)</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$16,847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15,119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12,913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11,108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9,905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10,603</w:t>
            </w:r>
          </w:p>
        </w:tc>
      </w:tr>
    </w:tbl>
    <w:p>
      <w:pPr>
        <w:ind w:left="3860"/>
        <w:spacing w:after="0"/>
        <w:rPr>
          <w:sz w:val="20"/>
          <w:szCs w:val="20"/>
          <w:color w:val="auto"/>
        </w:rPr>
      </w:pPr>
      <w:r>
        <w:rPr>
          <w:rFonts w:ascii="Courier New" w:cs="Courier New" w:eastAsia="Courier New" w:hAnsi="Courier New"/>
          <w:sz w:val="15"/>
          <w:szCs w:val="15"/>
          <w:color w:val="auto"/>
        </w:rPr>
        <w:t>----------------</w:t>
      </w:r>
    </w:p>
    <w:p>
      <w:pPr>
        <w:jc w:val="center"/>
        <w:ind w:right="459"/>
        <w:spacing w:after="0"/>
        <w:rPr>
          <w:sz w:val="20"/>
          <w:szCs w:val="20"/>
          <w:color w:val="auto"/>
        </w:rPr>
      </w:pPr>
      <w:r>
        <w:rPr>
          <w:rFonts w:ascii="Courier New" w:cs="Courier New" w:eastAsia="Courier New" w:hAnsi="Courier New"/>
          <w:sz w:val="15"/>
          <w:szCs w:val="15"/>
          <w:color w:val="auto"/>
        </w:rPr>
        <w:t>$76,495</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signed a lease for its corporate headquarters in Needham, Massachusetts during fiscal 1995. The term of the lease is for ten years ending in November 2005. The lease provides for the</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22" w:right="1440" w:bottom="1074" w:gutter="0" w:footer="0" w:header="0"/>
        </w:sectPr>
      </w:pPr>
    </w:p>
    <w:bookmarkStart w:id="51" w:name="page52"/>
    <w:bookmarkEnd w:id="51"/>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Company to pay all related costs associated with the land and headquarters building. The Company entered into a lease agreement effective April 1, 1998 to sublease approximately 15,000 square feet to a sublessee for a term of five to eight years. The Company also entered into a second lease agreement effective July 1, 1998 to sublease an additional 15,300 square feet to a sublessee for a term of five to seven years. The Company's commitment under this lease has been reduced by the expected future rental income to be received from the Company's two sublessees.</w:t>
      </w:r>
    </w:p>
    <w:p>
      <w:pPr>
        <w:spacing w:after="0" w:line="178"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In addition to future minimum rental payments, many of the store leases include provisions for common area maintenance, mall charges, escalation clauses and additional rents based on percentage of store sales above designated levels.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Amounts charged to operations for the above occupancy costs, automobile and leased equipment expense, excluding a related party lease in the prior years, were $30,480,000, $36,458,000 and $35,921,000 in fiscal years 1998, 1997 and 1996, respectively. Of these amounts charged to operations, $173,000, $402,000 and $780,000 represent payments based upon a percentage of adjusted gross sales as provided in the lease agreement for the fiscal years ended 1998, 1997 and 1996, respectively. In fiscal 1996, occupancy costs included $150,000 which was charged to operations for a related party lease. The Company did not make any payments for occupancy costs to a related party in fiscal 1998 and 1997. See Note H for additional information regarding the related party lease. As a result of the fiscal 1997 and 1998 store closing programs, the Company has eliminated approximately $50 million in minimum store lease obligations since January 31, 1998.</w:t>
      </w:r>
    </w:p>
    <w:p>
      <w:pPr>
        <w:spacing w:after="0" w:line="1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more fully discussed in Note K, the Company remains principally liable on three leases which were assigned to Levi's Only Stores, Inc., a wholly-owned subsidiary of Levi Strauss &amp; Co., in connection with the sale of the Company's Original Levi's(R) Store(TM) located in Minneapolis, Minnesota and the two Dockers(R) Shops located in Minneapolis, Minnesota and Cambridge, Massachusetts. The store leases in Minneapolis and Cambridge expire in January 2003 and January 2002, respectively.</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has employment agreements with each of its executive officers. The initial three year terms of two of the agreements expired on October 16, 1998 and have since then been extended on a year to year basis in accordance with the terms of each agreement. The initial three year term of the third agreement expires on May 9, 2000. Such agreements provide for minimum salary levels, adjusted for cost of living increases as well as bonuses as determined by the Compensation Committee of the Company's Board of Directors. The aggregate commitment for future salaries at January 30, 1999, excluding bonuses, was $806,000.</w:t>
      </w:r>
    </w:p>
    <w:p>
      <w:pPr>
        <w:spacing w:after="0" w:line="179"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fiscal 1998, the Company entered into retention agreements with a group of key associates. Under the terms of the agreements, if the employment of the key associate is terminated, other than for certain causes, during the nine months ending October 1999, that associate may receive salary continuation payments until the earlier of a fixed number of weeks after the date of termination or the date that the associate is again employed. A maximum amount of $1.1 million would be payable if all of the covered associates are terminated within the covered period and if all of them are unable to find new employment during that period.</w:t>
      </w:r>
    </w:p>
    <w:p>
      <w:pPr>
        <w:spacing w:after="0" w:line="179"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On December 7, 1998, a consent with respect to 1,570,200 shares of Common Stock executed on behalf of Jewelcor Management, Inc., a Nevada corporation ("Jewelcor"), and its controlling shareholder, Seymour Holtzman, was delivered to the Company for the purpose of removing and replacing the members of the Company's Board of Directors other than Chairman Stanley I. Berger. A preliminary Consent Solicitation Statement was filed on December 7, 1998 by the Holtzman Group with the Securities and Exchange Commission. On December 11, 1998, the Board of Directors of the Company determined to oppose the consent solicitation (the "Consent Solicitation") by Jewelcor and Mr. Holtzman.</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Consent Solicitation expired without the election of any new members to the Company's Board of Directors. Accordingly, Stanley I. Berger, Joel H. Reichman, James G. Groninger, Melvin I. Shapiro, Peter L. Thigpen and Bernard M. Manuel remained in office as members of the Company's Board of Directors following the termination of the Consent Solicitation.</w:t>
      </w:r>
    </w:p>
    <w:p>
      <w:pPr>
        <w:spacing w:after="0" w:line="178"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The Company did not enter into any settlement with Jewelcor or Mr. Holtzman terminating the Consent Solicitation.</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On December 11, 1998, the Company announced that its Board of Directors had formed a committee of independent outside directors to consider the Company's strategic alternatives, including a possible sale of the Company, with a view towards maximizing shareholder value in the near term. The Company also announced that its Board had determined to oppose a consent solicitation initiated by Jewelcor Management, Inc. and its controlling shareholder, Seymour Holtzman. On February 8, 1999, the Company announced that the stockholder consent solicitation initiated by Jewelor Management, Inc. was not successful.</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Company is also subject to various legal proceedings and claims that arise in the ordinary course of business. Management believes that the resolution of these matters will not have a material adverse impact on the results of operations or the financial position of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 STOCK OPTIONS</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2" w:right="1440" w:bottom="0" w:gutter="0" w:footer="0" w:header="0"/>
        </w:sectPr>
      </w:pPr>
    </w:p>
    <w:bookmarkStart w:id="52" w:name="page53"/>
    <w:bookmarkEnd w:id="52"/>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Board of Directors and its stockholders previously approved the 1987 Incentive Stock Option Plan (the "Incentive Plan") pursuant to which, as amended, stock options to purchase up to 787,500 shares of Common Stock may be issued to key employees (including executive officers and directors who are employees). The Incentive Plan is administered by the Compensation Committee of the Company's Board of Directors, which designates the optionees, number of shares for each option grant, option prices (which may not be less than fair value on the date of grant), date of grant, vesting schedule (ranging from three to five years) and period of option (which may not be more than ten years). All Incentive Plan options are non-assignable. The Incentive Plan terminates when all shares issuable thereunder have been issued.</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Company's Board of Directors and its stockholders also previously approved the 1987 Non-Qualified Stock Option Plan (the "Non-Qualified Plan") pursuant to which stock options to purchase up to 337,500 shares of Common Stock which are not "incentive stock options" (as defined in Section 422 of the Internal Revenue Code, as amended) may be issued to key employees (including executive officers and directors of the Company) and directors who are not employees of the Company. The Non-Qualified Plan is administered by the Compensation Committee of the Company's Board of Directors, which designates the optionees, number of shares for each option grant, option prices (which may not be less than 85% of the fair market value on the date of grant), date of grant, vesting schedule (ranging from three to five years) and period of option (which may not be more than ten years). All Non-Qualified Plan options are non-assignable. The Non-Qualified Plan terminates when all shares issuable have been issued. Outstanding options under both the Incentive Plan and the Non-Qualified Plan expire seven to ten years after the date of grant.</w:t>
      </w:r>
    </w:p>
    <w:p>
      <w:pPr>
        <w:spacing w:after="0" w:line="185"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On April 3, 1992, the Board of Directors adopted the 1992 Stock Incentive Plan (the "1992 Plan"), which became effective on June 9, 1992 when it was approved by the stockholders of the Company. Under the 1992 Plan, as amended, up to 1,850,000 shares of Common Stock may be issued pursuant to "incentive stock options" (as defined in Section 422 of the Internal Revenue Code, as amended), options which are not "incentive stock options," conditioned stock awards, unrestricted stock awards and performance share awards. The 1992 Plan is administered by the Compensation Committee, all of the members of which are non-employee directors. The Compensation Committee makes all determinations with respect to amounts and conditions covering awards under the 1992 Plan. No Incentive Stock Options may be granted under the 1992 Plan after April 2, 2002. Options have never been granted at a price less than fair value on the date of the grant. Options granted to employees, executives and directors typically vest over five, three and three years, respectively, with the exception of the premium priced options issued to the executives which vest over a five year period. Options granted under the 1992 Plan expire ten years from the date of grant. The 1992 Plan terminates when all shares issuable thereunder have been issued.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By written consent dated as of April 28,1997, the Board of Directors authorized an increase in the number of shares issuable under the 1992 Plan to 2,430,000. In addition, the Board of Directors authorized an increase in the number of shares that may be granted during any fiscal year to any individual participant from 75,000 to 270,000 shares, but only if all such stock options have a per share exercise price not less than 200% of fair market value of one share of Common Stock on the date of grant. Furthermore, they authorized the elimination of certain provisions of the 1992 Plan that are no longer required by Rule 16b-3 under the Exchange Act. The stockholders approved this increase and the other amendments to the 1992 Plan at the Annual Meeting held on June 10,1997.</w:t>
      </w:r>
    </w:p>
    <w:p>
      <w:pPr>
        <w:spacing w:after="0" w:line="16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order to focus management on business performance that creates stockholder value and to reward management only for superior results, the Compensation Committee concluded that an important element of the Company's executive incentive compensation program should be a significant grant of premium priced options to the executive officers of the Company. Accordingly, on April 28, 1997, the Compensation Committee granted premium priced options to purchase a total of 580,000 shares to the Company's four executive officers. Before an executive officer can exercise these options, the price must appreciate to $12.00 per share, which is 140% higher than the closing price of shares of Common Stock on the date of grant. To encourage the executive officers further to achieve superior performance and to create stockholder value within a defined time frame, the premium priced options will be forfeited if within five years from the date of stockholder approval of the 1992 Plan, the per share price of the Common Stock does not close at or above $12.00 for at least five trading days during a period of ten consecutive trading days. In addition, the options are subject to time-based vesting at a rate of 20% per annum over five years. If the option price of $12.00 is reached before the end of five years, the</w:t>
      </w:r>
    </w:p>
    <w:p>
      <w:pPr>
        <w:spacing w:after="0" w:line="32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2" w:right="1440" w:bottom="1440" w:gutter="0" w:footer="0" w:header="0"/>
        </w:sectPr>
      </w:pPr>
    </w:p>
    <w:bookmarkStart w:id="53" w:name="page54"/>
    <w:bookmarkEnd w:id="53"/>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options will continue in effect for a period of ten years from the date of grant and the five year time-based vesting would continue. The stockholders approved the amendment to the 1992 Plan at the Annual Meeting on June 10, 1997.</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shares subject to the option plans described above is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1987 Incentive Stock Option Plan</w:t>
      </w:r>
    </w:p>
    <w:p>
      <w:pPr>
        <w:spacing w:after="0" w:line="200" w:lineRule="exact"/>
        <w:rPr>
          <w:sz w:val="20"/>
          <w:szCs w:val="20"/>
          <w:color w:val="auto"/>
        </w:rPr>
      </w:pPr>
    </w:p>
    <w:p>
      <w:pPr>
        <w:spacing w:after="0" w:line="308"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FISCAL 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r>
      <w:tr>
        <w:trPr>
          <w:trHeight w:val="170"/>
        </w:trPr>
        <w:tc>
          <w:tcPr>
            <w:tcW w:w="9240" w:type="dxa"/>
            <w:vAlign w:val="bottom"/>
            <w:gridSpan w:val="7"/>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beginning of year</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9,000</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97,306</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96,339</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18,500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20,900</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6,000</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67,406</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11,533</w:t>
            </w:r>
          </w:p>
        </w:tc>
      </w:tr>
      <w:tr>
        <w:trPr>
          <w:trHeight w:val="170"/>
        </w:trPr>
        <w:tc>
          <w:tcPr>
            <w:tcW w:w="9240" w:type="dxa"/>
            <w:vAlign w:val="bottom"/>
            <w:gridSpan w:val="7"/>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740" w:type="dxa"/>
            <w:vAlign w:val="bottom"/>
          </w:tcPr>
          <w:p>
            <w:pPr>
              <w:spacing w:after="0"/>
              <w:rPr>
                <w:sz w:val="24"/>
                <w:szCs w:val="2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9,000</w:t>
            </w:r>
          </w:p>
        </w:tc>
        <w:tc>
          <w:tcPr>
            <w:tcW w:w="84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9,000</w:t>
            </w:r>
          </w:p>
        </w:tc>
        <w:tc>
          <w:tcPr>
            <w:tcW w:w="5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97,306</w:t>
            </w:r>
          </w:p>
        </w:tc>
      </w:tr>
      <w:tr>
        <w:trPr>
          <w:trHeight w:val="170"/>
        </w:trPr>
        <w:tc>
          <w:tcPr>
            <w:tcW w:w="9240" w:type="dxa"/>
            <w:vAlign w:val="bottom"/>
            <w:gridSpan w:val="7"/>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end of year</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9,000</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9,000</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76,406</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Common shares reserved for</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future grants at end</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of year</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9,105</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Weighted average exercise price per</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Outstanding at beginning of year</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4.01</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3.71</w:t>
            </w: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Granted during the year</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w:t>
            </w: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Canceled during the year</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11.17</w:t>
            </w: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Exercised during the year</w:t>
            </w:r>
          </w:p>
        </w:tc>
        <w:tc>
          <w:tcPr>
            <w:tcW w:w="74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w:t>
            </w: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Outstanding at end of year</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11.17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11.17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w:t>
            </w:r>
          </w:p>
        </w:tc>
      </w:tr>
      <w:tr>
        <w:trPr>
          <w:trHeight w:val="509"/>
        </w:trPr>
        <w:tc>
          <w:tcPr>
            <w:tcW w:w="4360" w:type="dxa"/>
            <w:vAlign w:val="bottom"/>
          </w:tcPr>
          <w:p>
            <w:pPr>
              <w:spacing w:after="0"/>
              <w:rPr>
                <w:sz w:val="20"/>
                <w:szCs w:val="20"/>
                <w:color w:val="auto"/>
              </w:rPr>
            </w:pPr>
            <w:r>
              <w:rPr>
                <w:rFonts w:ascii="Courier New" w:cs="Courier New" w:eastAsia="Courier New" w:hAnsi="Courier New"/>
                <w:sz w:val="15"/>
                <w:szCs w:val="15"/>
                <w:color w:val="auto"/>
              </w:rPr>
              <w:t>1987 Non-Qualified Stock Option Plan</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78"/>
        </w:trPr>
        <w:tc>
          <w:tcPr>
            <w:tcW w:w="4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FISCAL YEAR</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36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beginning of year</w:t>
            </w: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76,948</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76,948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76,948</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240" w:type="dxa"/>
            <w:vAlign w:val="bottom"/>
            <w:gridSpan w:val="7"/>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74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76,948</w:t>
            </w:r>
          </w:p>
        </w:tc>
      </w:tr>
      <w:tr>
        <w:trPr>
          <w:trHeight w:val="170"/>
        </w:trPr>
        <w:tc>
          <w:tcPr>
            <w:tcW w:w="9240" w:type="dxa"/>
            <w:vAlign w:val="bottom"/>
            <w:gridSpan w:val="7"/>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360" w:type="dxa"/>
            <w:vAlign w:val="bottom"/>
          </w:tcPr>
          <w:p>
            <w:pPr>
              <w:ind w:left="1320"/>
              <w:spacing w:after="0"/>
              <w:rPr>
                <w:sz w:val="20"/>
                <w:szCs w:val="20"/>
                <w:color w:val="auto"/>
              </w:rPr>
            </w:pPr>
            <w:r>
              <w:rPr>
                <w:rFonts w:ascii="Courier New" w:cs="Courier New" w:eastAsia="Courier New" w:hAnsi="Courier New"/>
                <w:sz w:val="15"/>
                <w:szCs w:val="15"/>
                <w:color w:val="auto"/>
              </w:rPr>
              <w:t>end of year</w:t>
            </w:r>
          </w:p>
        </w:tc>
        <w:tc>
          <w:tcPr>
            <w:tcW w:w="74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76,948</w:t>
            </w: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Weighted average exercise price per</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option:</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0219"/>
          </w:cols>
          <w:pgMar w:left="240" w:top="622" w:right="1440" w:bottom="1440" w:gutter="0" w:footer="0" w:header="0"/>
        </w:sectPr>
      </w:pPr>
    </w:p>
    <w:p>
      <w:pPr>
        <w:spacing w:after="0" w:line="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Outstanding at beginning of year</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Exercised during the year</w:t>
      </w:r>
    </w:p>
    <w:p>
      <w:pPr>
        <w:ind w:left="1320"/>
        <w:spacing w:after="0"/>
        <w:rPr>
          <w:sz w:val="20"/>
          <w:szCs w:val="20"/>
          <w:color w:val="auto"/>
        </w:rPr>
      </w:pPr>
      <w:r>
        <w:rPr>
          <w:rFonts w:ascii="Courier New" w:cs="Courier New" w:eastAsia="Courier New" w:hAnsi="Courier New"/>
          <w:sz w:val="15"/>
          <w:szCs w:val="15"/>
          <w:color w:val="auto"/>
        </w:rPr>
        <w:t>Outstanding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2.53</w:t>
            </w:r>
          </w:p>
        </w:tc>
      </w:tr>
      <w:tr>
        <w:trPr>
          <w:trHeight w:val="170"/>
        </w:trPr>
        <w:tc>
          <w:tcPr>
            <w:tcW w:w="7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6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bl>
    <w:p>
      <w:pPr>
        <w:spacing w:after="0" w:line="200" w:lineRule="exact"/>
        <w:rPr>
          <w:sz w:val="20"/>
          <w:szCs w:val="20"/>
          <w:color w:val="auto"/>
        </w:rPr>
      </w:pPr>
    </w:p>
    <w:p>
      <w:pPr>
        <w:sectPr>
          <w:pgSz w:w="11900" w:h="16838" w:orient="portrait"/>
          <w:cols w:equalWidth="0" w:num="2">
            <w:col w:w="4820" w:space="720"/>
            <w:col w:w="4679"/>
          </w:cols>
          <w:pgMar w:left="240" w:top="622" w:right="1440" w:bottom="1440" w:gutter="0" w:footer="0" w:header="0"/>
          <w:type w:val="continuous"/>
        </w:sectPr>
      </w:pPr>
    </w:p>
    <w:p>
      <w:pPr>
        <w:spacing w:after="0" w:line="308"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2" w:right="1440" w:bottom="1440" w:gutter="0" w:footer="0" w:header="0"/>
          <w:type w:val="continuous"/>
        </w:sectPr>
      </w:pPr>
    </w:p>
    <w:bookmarkStart w:id="54" w:name="page55"/>
    <w:bookmarkEnd w:id="54"/>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Incentive Plan</w:t>
      </w:r>
    </w:p>
    <w:p>
      <w:pPr>
        <w:spacing w:after="0" w:line="200" w:lineRule="exact"/>
        <w:rPr>
          <w:sz w:val="20"/>
          <w:szCs w:val="20"/>
          <w:color w:val="auto"/>
        </w:rPr>
      </w:pPr>
    </w:p>
    <w:p>
      <w:pPr>
        <w:spacing w:after="0" w:line="308"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FISCAL YEAR</w:t>
      </w:r>
    </w:p>
    <w:p>
      <w:pPr>
        <w:spacing w:after="0"/>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4920" w:type="dxa"/>
            <w:vAlign w:val="bottom"/>
          </w:tcPr>
          <w:p>
            <w:pPr>
              <w:ind w:left="4580"/>
              <w:spacing w:after="0"/>
              <w:rPr>
                <w:sz w:val="20"/>
                <w:szCs w:val="20"/>
                <w:color w:val="auto"/>
              </w:rPr>
            </w:pPr>
            <w:r>
              <w:rPr>
                <w:rFonts w:ascii="Courier New" w:cs="Courier New" w:eastAsia="Courier New" w:hAnsi="Courier New"/>
                <w:sz w:val="15"/>
                <w:szCs w:val="15"/>
                <w:color w:val="auto"/>
                <w:w w:val="88"/>
              </w:rPr>
              <w:t>1998</w:t>
            </w:r>
          </w:p>
        </w:tc>
        <w:tc>
          <w:tcPr>
            <w:tcW w:w="1200" w:type="dxa"/>
            <w:vAlign w:val="bottom"/>
          </w:tcPr>
          <w:p>
            <w:pPr>
              <w:spacing w:after="0"/>
              <w:rPr>
                <w:sz w:val="14"/>
                <w:szCs w:val="14"/>
                <w:color w:val="auto"/>
              </w:rPr>
            </w:pPr>
          </w:p>
        </w:tc>
        <w:tc>
          <w:tcPr>
            <w:tcW w:w="18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9240" w:type="dxa"/>
            <w:vAlign w:val="bottom"/>
            <w:gridSpan w:val="4"/>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920" w:type="dxa"/>
            <w:vAlign w:val="bottom"/>
          </w:tcPr>
          <w:p>
            <w:pPr>
              <w:ind w:left="1040"/>
              <w:spacing w:after="0"/>
              <w:rPr>
                <w:sz w:val="20"/>
                <w:szCs w:val="20"/>
                <w:color w:val="auto"/>
              </w:rPr>
            </w:pPr>
            <w:r>
              <w:rPr>
                <w:rFonts w:ascii="Courier New" w:cs="Courier New" w:eastAsia="Courier New" w:hAnsi="Courier New"/>
                <w:sz w:val="15"/>
                <w:szCs w:val="15"/>
                <w:color w:val="auto"/>
              </w:rPr>
              <w:t>beginning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2,041,749</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1,660,400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1,520,050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304,478</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708,750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301,250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Options canceled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191,649</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327,401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160,900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51,353</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240" w:type="dxa"/>
            <w:vAlign w:val="bottom"/>
            <w:gridSpan w:val="4"/>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Outstanding at 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2,103,225</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2,041,749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1,660,400</w:t>
            </w:r>
          </w:p>
        </w:tc>
      </w:tr>
      <w:tr>
        <w:trPr>
          <w:trHeight w:val="170"/>
        </w:trPr>
        <w:tc>
          <w:tcPr>
            <w:tcW w:w="9240" w:type="dxa"/>
            <w:vAlign w:val="bottom"/>
            <w:gridSpan w:val="4"/>
          </w:tcPr>
          <w:p>
            <w:pPr>
              <w:ind w:left="396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492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1,272,615</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1,145,397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937,496</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Common shares reserved</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for future grants at</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259,772</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372,851</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174,200</w:t>
            </w:r>
          </w:p>
        </w:tc>
      </w:tr>
      <w:tr>
        <w:trPr>
          <w:trHeight w:val="170"/>
        </w:trPr>
        <w:tc>
          <w:tcPr>
            <w:tcW w:w="4920" w:type="dxa"/>
            <w:vAlign w:val="bottom"/>
          </w:tcPr>
          <w:p>
            <w:pPr>
              <w:spacing w:after="0"/>
              <w:rPr>
                <w:sz w:val="20"/>
                <w:szCs w:val="20"/>
                <w:color w:val="auto"/>
              </w:rPr>
            </w:pPr>
            <w:r>
              <w:rPr>
                <w:rFonts w:ascii="Courier New" w:cs="Courier New" w:eastAsia="Courier New" w:hAnsi="Courier New"/>
                <w:sz w:val="15"/>
                <w:szCs w:val="15"/>
                <w:color w:val="auto"/>
              </w:rPr>
              <w:t>Weighted average exercise price per option</w:t>
            </w: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Outstanding at beginning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$12.02</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12.00</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12.85</w:t>
            </w: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Granted during the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0.97</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10.65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6.72</w:t>
            </w: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Canceled during the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9.09</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8.99</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10.10</w:t>
            </w: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Exercised during the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20" w:type="dxa"/>
            <w:vAlign w:val="bottom"/>
          </w:tcPr>
          <w:p>
            <w:pPr>
              <w:ind w:left="960"/>
              <w:spacing w:after="0"/>
              <w:rPr>
                <w:sz w:val="20"/>
                <w:szCs w:val="20"/>
                <w:color w:val="auto"/>
              </w:rPr>
            </w:pPr>
            <w:r>
              <w:rPr>
                <w:rFonts w:ascii="Courier New" w:cs="Courier New" w:eastAsia="Courier New" w:hAnsi="Courier New"/>
                <w:sz w:val="15"/>
                <w:szCs w:val="15"/>
                <w:color w:val="auto"/>
              </w:rPr>
              <w:t>Outstanding at end of year</w:t>
            </w: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10.94</w:t>
            </w:r>
          </w:p>
        </w:tc>
        <w:tc>
          <w:tcPr>
            <w:tcW w:w="18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12.02</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w:t>
            </w:r>
          </w:p>
        </w:tc>
      </w:tr>
    </w:tbl>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under the 1992 Plan at January 30, 1999:</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Exercisable</w:t>
            </w:r>
          </w:p>
        </w:tc>
        <w:tc>
          <w:tcPr>
            <w:tcW w:w="920" w:type="dxa"/>
            <w:vAlign w:val="bottom"/>
          </w:tcPr>
          <w:p>
            <w:pPr>
              <w:spacing w:after="0"/>
              <w:rPr>
                <w:sz w:val="14"/>
                <w:szCs w:val="14"/>
                <w:color w:val="auto"/>
              </w:rPr>
            </w:pPr>
          </w:p>
        </w:tc>
      </w:tr>
      <w:tr>
        <w:trPr>
          <w:trHeight w:val="170"/>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Range of</w:t>
            </w:r>
          </w:p>
        </w:tc>
        <w:tc>
          <w:tcPr>
            <w:tcW w:w="1020" w:type="dxa"/>
            <w:vAlign w:val="bottom"/>
          </w:tcPr>
          <w:p>
            <w:pPr>
              <w:spacing w:after="0"/>
              <w:rPr>
                <w:sz w:val="24"/>
                <w:szCs w:val="24"/>
                <w:color w:val="auto"/>
              </w:rPr>
            </w:pPr>
          </w:p>
        </w:tc>
        <w:tc>
          <w:tcPr>
            <w:tcW w:w="1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w:t>
            </w:r>
          </w:p>
        </w:tc>
        <w:tc>
          <w:tcPr>
            <w:tcW w:w="17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Remaining</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Weighted Average</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Number</w:t>
            </w:r>
          </w:p>
        </w:tc>
        <w:tc>
          <w:tcPr>
            <w:tcW w:w="1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Weighted Average</w:t>
            </w:r>
          </w:p>
        </w:tc>
      </w:tr>
      <w:tr>
        <w:trPr>
          <w:trHeight w:val="170"/>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Exercise Prices</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Outstanding</w:t>
            </w:r>
          </w:p>
        </w:tc>
        <w:tc>
          <w:tcPr>
            <w:tcW w:w="17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Contractual Life</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Exercise Price</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Exercisable</w:t>
            </w: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Exercise Price</w:t>
            </w:r>
          </w:p>
        </w:tc>
      </w:tr>
      <w:tr>
        <w:trPr>
          <w:trHeight w:val="339"/>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$0.00</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$2.15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235,875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0.79</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6.45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107,200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4.91</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32,933</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5.25</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6.46</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8.60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263,300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7.48</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158,932</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7.56</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8.61</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10.75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175,300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9.86</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160,400</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9.94</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10.76</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12.90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780,050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11.70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380,050</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11.39</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12.91</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15.05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13.75</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12,000</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13.75</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15.06</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17.20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15.36</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109,800</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15.36</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17.21</w:t>
            </w:r>
          </w:p>
        </w:tc>
        <w:tc>
          <w:tcPr>
            <w:tcW w:w="300" w:type="dxa"/>
            <w:vAlign w:val="bottom"/>
          </w:tcPr>
          <w:p>
            <w:pPr>
              <w:ind w:left="80"/>
              <w:spacing w:after="0"/>
              <w:rPr>
                <w:sz w:val="20"/>
                <w:szCs w:val="20"/>
                <w:color w:val="auto"/>
              </w:rPr>
            </w:pPr>
            <w:r>
              <w:rPr>
                <w:rFonts w:ascii="Courier New" w:cs="Courier New" w:eastAsia="Courier New" w:hAnsi="Courier New"/>
                <w:sz w:val="15"/>
                <w:szCs w:val="15"/>
                <w:color w:val="auto"/>
              </w:rPr>
              <w:t>to</w:t>
            </w:r>
          </w:p>
        </w:tc>
        <w:tc>
          <w:tcPr>
            <w:tcW w:w="102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19.35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18.03</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405,000</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18.03</w:t>
            </w:r>
          </w:p>
        </w:tc>
      </w:tr>
      <w:tr>
        <w:trPr>
          <w:trHeight w:val="170"/>
        </w:trPr>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19.36</w:t>
            </w: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 $21.50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52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21.50</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13,500</w:t>
            </w:r>
          </w:p>
        </w:tc>
        <w:tc>
          <w:tcPr>
            <w:tcW w:w="8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21.50</w:t>
            </w:r>
          </w:p>
        </w:tc>
      </w:tr>
      <w:tr>
        <w:trPr>
          <w:trHeight w:val="170"/>
        </w:trPr>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$ 0.66 to $21.50</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2,103,225</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1,272,615</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4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On July 26, 1993 stock options covering an aggregate of 67,500 shares of Common Stock were granted outside of the Incentive Plan, the Non-Qualified Plan and the 1992 Plan to the non-employee directors of the Company. Each of these options has an exercise price of $17.50 per share and each remained outstanding at January 30, 1999. These options become exercisable in three equal installments commencing twelve months following the date of grant and have a 10 year term.</w:t>
      </w:r>
    </w:p>
    <w:p>
      <w:pPr>
        <w:spacing w:after="0" w:line="16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When shares are sold within one year of exercise or within two years from date of grant, the Company derives a tax deduction measured by the excess of the market value over the option price at the date the shares are sold, which approximated $18,256 and $27,980 in fiscal years 1997 and 1996, respectively. There was no tax deduction taken for fiscal 1998.</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applies APB Opinion No. 25 and related Interpretations in accounting for its plans. FASB Statement No. 123 "Accounting for Stock-Based Compensation" ("SFAS 123") was issued by the FASB in 1995</w:t>
      </w:r>
    </w:p>
    <w:p>
      <w:pPr>
        <w:spacing w:after="0" w:line="339" w:lineRule="exact"/>
        <w:rPr>
          <w:sz w:val="20"/>
          <w:szCs w:val="20"/>
          <w:color w:val="auto"/>
        </w:rPr>
      </w:pPr>
    </w:p>
    <w:p>
      <w:pPr>
        <w:ind w:left="68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22" w:right="1440" w:bottom="1440" w:gutter="0" w:footer="0" w:header="0"/>
        </w:sectPr>
      </w:pPr>
    </w:p>
    <w:bookmarkStart w:id="55" w:name="page56"/>
    <w:bookmarkEnd w:id="55"/>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right="3880"/>
        <w:spacing w:after="0" w:line="258" w:lineRule="auto"/>
        <w:rPr>
          <w:sz w:val="20"/>
          <w:szCs w:val="20"/>
          <w:color w:val="auto"/>
        </w:rPr>
      </w:pPr>
      <w:r>
        <w:rPr>
          <w:rFonts w:ascii="Courier New" w:cs="Courier New" w:eastAsia="Courier New" w:hAnsi="Courier New"/>
          <w:sz w:val="14"/>
          <w:szCs w:val="14"/>
          <w:color w:val="auto"/>
        </w:rPr>
        <w:t>and requires the Company to elect either expense recognition under SFAS 123 or its disclosure-only alternative for stock-based employee compensation. The Company has elected the disclosure-only alternative and accordingly no compensation cost has been recognized. The Company has disclosed the pro forma net income or loss and per share amounts using the fair value based method.</w:t>
      </w:r>
    </w:p>
    <w:p>
      <w:pPr>
        <w:spacing w:after="0" w:line="165" w:lineRule="exact"/>
        <w:rPr>
          <w:sz w:val="20"/>
          <w:szCs w:val="20"/>
          <w:color w:val="auto"/>
        </w:rPr>
      </w:pPr>
    </w:p>
    <w:p>
      <w:pPr>
        <w:ind w:right="3880"/>
        <w:spacing w:after="0" w:line="237" w:lineRule="auto"/>
        <w:rPr>
          <w:sz w:val="20"/>
          <w:szCs w:val="20"/>
          <w:color w:val="auto"/>
        </w:rPr>
      </w:pPr>
      <w:r>
        <w:rPr>
          <w:rFonts w:ascii="Courier New" w:cs="Courier New" w:eastAsia="Courier New" w:hAnsi="Courier New"/>
          <w:sz w:val="15"/>
          <w:szCs w:val="15"/>
          <w:color w:val="auto"/>
        </w:rPr>
        <w:t>Had compensation costs for the Company's grants for stock-based compensation been determined consistent with SFAS 123, the Company's net income (loss), and earnings (loss) per share would have been reduced to the pro forma amounts indicated below:</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FISCAL YEARS ENDED</w:t>
            </w: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9"/>
        </w:trPr>
        <w:tc>
          <w:tcPr>
            <w:tcW w:w="5240" w:type="dxa"/>
            <w:vAlign w:val="bottom"/>
          </w:tcPr>
          <w:p>
            <w:pPr>
              <w:spacing w:after="0"/>
              <w:rPr>
                <w:sz w:val="24"/>
                <w:szCs w:val="24"/>
                <w:color w:val="auto"/>
              </w:rPr>
            </w:pPr>
          </w:p>
        </w:tc>
        <w:tc>
          <w:tcPr>
            <w:tcW w:w="5500" w:type="dxa"/>
            <w:vAlign w:val="bottom"/>
            <w:gridSpan w:val="6"/>
          </w:tcPr>
          <w:p>
            <w:pPr>
              <w:jc w:val="center"/>
              <w:ind w:left="2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9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January 30, 1999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January</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31, 1998</w:t>
            </w:r>
          </w:p>
        </w:tc>
        <w:tc>
          <w:tcPr>
            <w:tcW w:w="1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February 1, 1997</w:t>
            </w:r>
          </w:p>
        </w:tc>
      </w:tr>
      <w:tr>
        <w:trPr>
          <w:trHeight w:val="170"/>
        </w:trPr>
        <w:tc>
          <w:tcPr>
            <w:tcW w:w="5240" w:type="dxa"/>
            <w:vAlign w:val="bottom"/>
          </w:tcPr>
          <w:p>
            <w:pPr>
              <w:spacing w:after="0"/>
              <w:rPr>
                <w:sz w:val="14"/>
                <w:szCs w:val="14"/>
                <w:color w:val="auto"/>
              </w:rPr>
            </w:pPr>
          </w:p>
        </w:tc>
        <w:tc>
          <w:tcPr>
            <w:tcW w:w="5500" w:type="dxa"/>
            <w:vAlign w:val="bottom"/>
            <w:gridSpan w:val="6"/>
          </w:tcPr>
          <w:p>
            <w:pPr>
              <w:jc w:val="center"/>
              <w:ind w:left="2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Net income (loss)- as reported</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(18,541)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(29,063)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6,264</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Net income (loss)- pro forma</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(18,782)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(29,383)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5,933</w:t>
            </w:r>
          </w:p>
        </w:tc>
      </w:tr>
      <w:tr>
        <w:trPr>
          <w:trHeight w:val="339"/>
        </w:trPr>
        <w:tc>
          <w:tcPr>
            <w:tcW w:w="5240" w:type="dxa"/>
            <w:vAlign w:val="bottom"/>
          </w:tcPr>
          <w:p>
            <w:pPr>
              <w:spacing w:after="0"/>
              <w:rPr>
                <w:sz w:val="20"/>
                <w:szCs w:val="20"/>
                <w:color w:val="auto"/>
              </w:rPr>
            </w:pPr>
            <w:r>
              <w:rPr>
                <w:rFonts w:ascii="Courier New" w:cs="Courier New" w:eastAsia="Courier New" w:hAnsi="Courier New"/>
                <w:sz w:val="15"/>
                <w:szCs w:val="15"/>
                <w:color w:val="auto"/>
              </w:rPr>
              <w:t>Earnings (loss) per share- basic and diluted as reported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w:t>
            </w:r>
          </w:p>
        </w:tc>
        <w:tc>
          <w:tcPr>
            <w:tcW w:w="10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0.40</w:t>
            </w:r>
          </w:p>
        </w:tc>
      </w:tr>
      <w:tr>
        <w:trPr>
          <w:trHeight w:val="170"/>
        </w:trPr>
        <w:tc>
          <w:tcPr>
            <w:tcW w:w="5240" w:type="dxa"/>
            <w:vAlign w:val="bottom"/>
          </w:tcPr>
          <w:p>
            <w:pPr>
              <w:spacing w:after="0"/>
              <w:rPr>
                <w:sz w:val="20"/>
                <w:szCs w:val="20"/>
                <w:color w:val="auto"/>
              </w:rPr>
            </w:pPr>
            <w:r>
              <w:rPr>
                <w:rFonts w:ascii="Courier New" w:cs="Courier New" w:eastAsia="Courier New" w:hAnsi="Courier New"/>
                <w:sz w:val="15"/>
                <w:szCs w:val="15"/>
                <w:color w:val="auto"/>
              </w:rPr>
              <w:t>Earnings (loss) per share- basic and diluted pro forma</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(1.19)</w:t>
            </w:r>
          </w:p>
        </w:tc>
        <w:tc>
          <w:tcPr>
            <w:tcW w:w="10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0.38</w:t>
            </w:r>
          </w:p>
        </w:tc>
      </w:tr>
    </w:tbl>
    <w:p>
      <w:pPr>
        <w:spacing w:after="0" w:line="344" w:lineRule="exact"/>
        <w:rPr>
          <w:sz w:val="20"/>
          <w:szCs w:val="20"/>
          <w:color w:val="auto"/>
        </w:rPr>
      </w:pPr>
    </w:p>
    <w:p>
      <w:pPr>
        <w:ind w:right="3780"/>
        <w:spacing w:after="0" w:line="237" w:lineRule="auto"/>
        <w:rPr>
          <w:sz w:val="20"/>
          <w:szCs w:val="20"/>
          <w:color w:val="auto"/>
        </w:rPr>
      </w:pPr>
      <w:r>
        <w:rPr>
          <w:rFonts w:ascii="Courier New" w:cs="Courier New" w:eastAsia="Courier New" w:hAnsi="Courier New"/>
          <w:sz w:val="15"/>
          <w:szCs w:val="15"/>
          <w:color w:val="auto"/>
        </w:rPr>
        <w:t>The effects of applying SFAS 123 in this pro-forma disclosure are not likely to be representative of the effects on reported net income for future years. SFAS 123 does not apply to awards prior to 1995 and additional awards are anticipated.</w:t>
      </w:r>
    </w:p>
    <w:p>
      <w:pPr>
        <w:spacing w:after="0" w:line="176" w:lineRule="exact"/>
        <w:rPr>
          <w:sz w:val="20"/>
          <w:szCs w:val="20"/>
          <w:color w:val="auto"/>
        </w:rPr>
      </w:pPr>
    </w:p>
    <w:p>
      <w:pPr>
        <w:ind w:right="3780"/>
        <w:spacing w:after="0" w:line="238"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 Scholes option-pricing model with the following weighted-average assumptions used for grants in fiscal 1998, 1997 and 1996: expected volatility of 92.8% in fiscal 1998, 63.97% in fiscal 1997 and 51.96% in fiscal 1996; risk free interest rate of 5.0%, 6.2% and 6.3% in fiscal 1998, 1997 and 1996, respectively; and expected lives of 4.5 years. No dividend rate was used for fiscal 1998, 1997 and 1996. The weighted average fair value of options as well as restricted stock granted in fiscal 1998, 1997 and 1996 was $0.97, $1.93 and $3.35,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 RELATED PARTIES</w:t>
      </w:r>
    </w:p>
    <w:p>
      <w:pPr>
        <w:spacing w:after="0" w:line="175" w:lineRule="exact"/>
        <w:rPr>
          <w:sz w:val="20"/>
          <w:szCs w:val="20"/>
          <w:color w:val="auto"/>
        </w:rPr>
      </w:pPr>
    </w:p>
    <w:p>
      <w:pPr>
        <w:ind w:right="3700"/>
        <w:spacing w:after="0" w:line="257" w:lineRule="auto"/>
        <w:rPr>
          <w:sz w:val="20"/>
          <w:szCs w:val="20"/>
          <w:color w:val="auto"/>
        </w:rPr>
      </w:pPr>
      <w:r>
        <w:rPr>
          <w:rFonts w:ascii="Courier New" w:cs="Courier New" w:eastAsia="Courier New" w:hAnsi="Courier New"/>
          <w:sz w:val="14"/>
          <w:szCs w:val="14"/>
          <w:color w:val="auto"/>
        </w:rPr>
        <w:t>Until April 30, 1996, the Company leased its headquarters in Chestnut Hill, Massachusetts, from Durban Trust, a nominee trust of which the sole beneficiary is a partnership affiliated with Stanley I. Berger, the Chairman of the Board of the Company, and Calvin Margolis, a former executive officer and director of the Company. The general partner of the beneficiary is a corporation controlled by Mr. Berger and the estate of Mr. Margolis, and the only limited partners of the beneficiary are Mr. Berger and the estate of Mr. Margolis, individually. When the lease expired April 30, 1996 the Company moved its headquarters to Needham, Massachusetts. See Note F. There were no rent payments made to Durban Trust in fiscal 1998 or fiscal 1997. Total rent paid to Durban Trust in fiscal 1996 was approximately $150,000. The Company believes that the lease arrangements between the Company and Durban Trust were on terms at least as favorable to the Company as it would have expected to receive from a landlord unrelated to the Company, Mr. Berger or the estate of Mr. Margolis for office facilities of equal quality.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EMPLOYEE BENEFIT PLANS</w:t>
      </w:r>
    </w:p>
    <w:p>
      <w:pPr>
        <w:spacing w:after="0" w:line="175" w:lineRule="exact"/>
        <w:rPr>
          <w:sz w:val="20"/>
          <w:szCs w:val="20"/>
          <w:color w:val="auto"/>
        </w:rPr>
      </w:pPr>
    </w:p>
    <w:p>
      <w:pPr>
        <w:ind w:right="3700"/>
        <w:spacing w:after="0" w:line="238" w:lineRule="auto"/>
        <w:rPr>
          <w:sz w:val="20"/>
          <w:szCs w:val="20"/>
          <w:color w:val="auto"/>
        </w:rPr>
      </w:pPr>
      <w:r>
        <w:rPr>
          <w:rFonts w:ascii="Courier New" w:cs="Courier New" w:eastAsia="Courier New" w:hAnsi="Courier New"/>
          <w:sz w:val="15"/>
          <w:szCs w:val="15"/>
          <w:color w:val="auto"/>
        </w:rPr>
        <w:t>The Company has a defined contribution 401(k) plan that covers all eligible employees who have completed one year of service. Under this plan, the Company may provide matching contributions up to a stipulated percentage of employee contributions. The expenses of the plan are fully funded by the Company; and the matching contribution, if any, is established each year by the Board of Directors. For fiscal 1998, the matching contribution by the Company was set at 50% of contributions by eligible employees up to a maximum of 6% of salary. The Company recognized $241,000, $279,000 and $231,000 of expense under this plan in fiscal 1998, 1997 and 1996, respectively.</w:t>
      </w:r>
    </w:p>
    <w:p>
      <w:pPr>
        <w:spacing w:after="0" w:line="342" w:lineRule="exact"/>
        <w:rPr>
          <w:sz w:val="20"/>
          <w:szCs w:val="20"/>
          <w:color w:val="auto"/>
        </w:rPr>
      </w:pPr>
    </w:p>
    <w:p>
      <w:pPr>
        <w:jc w:val="right"/>
        <w:ind w:right="37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740"/>
          </w:cols>
          <w:pgMar w:left="240" w:top="622" w:right="919" w:bottom="1440" w:gutter="0" w:footer="0" w:header="0"/>
        </w:sectPr>
      </w:pPr>
    </w:p>
    <w:bookmarkStart w:id="56" w:name="page57"/>
    <w:bookmarkEnd w:id="56"/>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RESTRUCTURING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third quarter of fiscal 1998, the Company announced its plans to</w:t>
      </w:r>
    </w:p>
    <w:p>
      <w:pPr>
        <w:spacing w:after="0"/>
        <w:rPr>
          <w:sz w:val="20"/>
          <w:szCs w:val="20"/>
          <w:color w:val="auto"/>
        </w:rPr>
      </w:pPr>
      <w:r>
        <w:rPr>
          <w:rFonts w:ascii="Courier New" w:cs="Courier New" w:eastAsia="Courier New" w:hAnsi="Courier New"/>
          <w:sz w:val="15"/>
          <w:szCs w:val="15"/>
          <w:color w:val="auto"/>
        </w:rPr>
        <w:t>close, through lease terminations and expirations, 14 unprofitable Designs</w:t>
      </w:r>
    </w:p>
    <w:p>
      <w:pPr>
        <w:spacing w:after="0"/>
        <w:rPr>
          <w:sz w:val="20"/>
          <w:szCs w:val="20"/>
          <w:color w:val="auto"/>
        </w:rPr>
      </w:pPr>
      <w:r>
        <w:rPr>
          <w:rFonts w:ascii="Courier New" w:cs="Courier New" w:eastAsia="Courier New" w:hAnsi="Courier New"/>
          <w:sz w:val="15"/>
          <w:szCs w:val="15"/>
          <w:color w:val="auto"/>
        </w:rPr>
        <w:t>stores, eight unprofitable Boston Trading Co.(R)/BTC(TM) stores and eight</w:t>
      </w:r>
    </w:p>
    <w:p>
      <w:pPr>
        <w:spacing w:after="0" w:line="238" w:lineRule="auto"/>
        <w:rPr>
          <w:sz w:val="20"/>
          <w:szCs w:val="20"/>
          <w:color w:val="auto"/>
        </w:rPr>
      </w:pPr>
      <w:r>
        <w:rPr>
          <w:rFonts w:ascii="Courier New" w:cs="Courier New" w:eastAsia="Courier New" w:hAnsi="Courier New"/>
          <w:sz w:val="15"/>
          <w:szCs w:val="15"/>
          <w:color w:val="auto"/>
        </w:rPr>
        <w:t>Original Levi's Stores(TM) operated by the OLS Partnership, see Note K below.</w:t>
      </w:r>
    </w:p>
    <w:p>
      <w:pPr>
        <w:spacing w:after="0"/>
        <w:rPr>
          <w:sz w:val="20"/>
          <w:szCs w:val="20"/>
          <w:color w:val="auto"/>
        </w:rPr>
      </w:pPr>
      <w:r>
        <w:rPr>
          <w:rFonts w:ascii="Courier New" w:cs="Courier New" w:eastAsia="Courier New" w:hAnsi="Courier New"/>
          <w:sz w:val="15"/>
          <w:szCs w:val="15"/>
          <w:color w:val="auto"/>
        </w:rPr>
        <w:t>This store closing strategy resulted in the Company recording a pre-tax charge</w:t>
      </w:r>
    </w:p>
    <w:p>
      <w:pPr>
        <w:spacing w:after="0"/>
        <w:rPr>
          <w:sz w:val="20"/>
          <w:szCs w:val="20"/>
          <w:color w:val="auto"/>
        </w:rPr>
      </w:pPr>
      <w:r>
        <w:rPr>
          <w:rFonts w:ascii="Courier New" w:cs="Courier New" w:eastAsia="Courier New" w:hAnsi="Courier New"/>
          <w:sz w:val="15"/>
          <w:szCs w:val="15"/>
          <w:color w:val="auto"/>
        </w:rPr>
        <w:t>of $13.4 million. The total revised estimated cost to close these stores is</w:t>
      </w:r>
    </w:p>
    <w:p>
      <w:pPr>
        <w:spacing w:after="0" w:line="238" w:lineRule="auto"/>
        <w:rPr>
          <w:sz w:val="20"/>
          <w:szCs w:val="20"/>
          <w:color w:val="auto"/>
        </w:rPr>
      </w:pPr>
      <w:r>
        <w:rPr>
          <w:rFonts w:ascii="Courier New" w:cs="Courier New" w:eastAsia="Courier New" w:hAnsi="Courier New"/>
          <w:sz w:val="15"/>
          <w:szCs w:val="15"/>
          <w:color w:val="auto"/>
        </w:rPr>
        <w:t>$10.5 million, which is $2.9 million less than the original charge, primarily</w:t>
      </w:r>
    </w:p>
    <w:p>
      <w:pPr>
        <w:spacing w:after="0"/>
        <w:rPr>
          <w:sz w:val="20"/>
          <w:szCs w:val="20"/>
          <w:color w:val="auto"/>
        </w:rPr>
      </w:pPr>
      <w:r>
        <w:rPr>
          <w:rFonts w:ascii="Courier New" w:cs="Courier New" w:eastAsia="Courier New" w:hAnsi="Courier New"/>
          <w:sz w:val="15"/>
          <w:szCs w:val="15"/>
          <w:color w:val="auto"/>
        </w:rPr>
        <w:t>due to favorable landlord negotiations on lease termination payments. As a</w:t>
      </w:r>
    </w:p>
    <w:p>
      <w:pPr>
        <w:spacing w:after="0"/>
        <w:rPr>
          <w:sz w:val="20"/>
          <w:szCs w:val="20"/>
          <w:color w:val="auto"/>
        </w:rPr>
      </w:pPr>
      <w:r>
        <w:rPr>
          <w:rFonts w:ascii="Courier New" w:cs="Courier New" w:eastAsia="Courier New" w:hAnsi="Courier New"/>
          <w:sz w:val="15"/>
          <w:szCs w:val="15"/>
          <w:color w:val="auto"/>
        </w:rPr>
        <w:t>result, the Company recognized pre-tax income of $2.9 million in the fourth</w:t>
      </w:r>
    </w:p>
    <w:p>
      <w:pPr>
        <w:spacing w:after="0"/>
        <w:rPr>
          <w:sz w:val="20"/>
          <w:szCs w:val="20"/>
          <w:color w:val="auto"/>
        </w:rPr>
      </w:pPr>
      <w:r>
        <w:rPr>
          <w:rFonts w:ascii="Courier New" w:cs="Courier New" w:eastAsia="Courier New" w:hAnsi="Courier New"/>
          <w:sz w:val="15"/>
          <w:szCs w:val="15"/>
          <w:color w:val="auto"/>
        </w:rPr>
        <w:t>quarter of fiscal 1998. Total estimated cash costs are $4.2 million related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terminations, employee severance and other related expenses. The remainder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$10.5 million charge consists of non-cash costs of approximately $6.3</w:t>
      </w:r>
    </w:p>
    <w:p>
      <w:pPr>
        <w:spacing w:after="0"/>
        <w:rPr>
          <w:sz w:val="20"/>
          <w:szCs w:val="20"/>
          <w:color w:val="auto"/>
        </w:rPr>
      </w:pPr>
      <w:r>
        <w:rPr>
          <w:rFonts w:ascii="Courier New" w:cs="Courier New" w:eastAsia="Courier New" w:hAnsi="Courier New"/>
          <w:sz w:val="15"/>
          <w:szCs w:val="15"/>
          <w:color w:val="auto"/>
        </w:rPr>
        <w:t>million primarily related to store fixed asset write-offs. All of these stores</w:t>
      </w:r>
    </w:p>
    <w:p>
      <w:pPr>
        <w:spacing w:after="0"/>
        <w:rPr>
          <w:sz w:val="20"/>
          <w:szCs w:val="20"/>
          <w:color w:val="auto"/>
        </w:rPr>
      </w:pPr>
      <w:r>
        <w:rPr>
          <w:rFonts w:ascii="Courier New" w:cs="Courier New" w:eastAsia="Courier New" w:hAnsi="Courier New"/>
          <w:sz w:val="15"/>
          <w:szCs w:val="15"/>
          <w:color w:val="auto"/>
        </w:rPr>
        <w:t>were closed by the end of fiscal 1998. At January 30, 1999, the remaining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balance related to these store closings is $1.9 million which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relates to landlord settlements and severance payments that will be paid in</w:t>
      </w:r>
    </w:p>
    <w:p>
      <w:pPr>
        <w:spacing w:after="0"/>
        <w:rPr>
          <w:sz w:val="20"/>
          <w:szCs w:val="20"/>
          <w:color w:val="auto"/>
        </w:rPr>
      </w:pPr>
      <w:r>
        <w:rPr>
          <w:rFonts w:ascii="Courier New" w:cs="Courier New" w:eastAsia="Courier New" w:hAnsi="Courier New"/>
          <w:sz w:val="15"/>
          <w:szCs w:val="15"/>
          <w:color w:val="auto"/>
        </w:rPr>
        <w:t>fiscal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fourth quarter of fiscal 1998, the Company recorded an additional</w:t>
      </w:r>
    </w:p>
    <w:p>
      <w:pPr>
        <w:spacing w:after="0"/>
        <w:rPr>
          <w:sz w:val="20"/>
          <w:szCs w:val="20"/>
          <w:color w:val="auto"/>
        </w:rPr>
      </w:pPr>
      <w:r>
        <w:rPr>
          <w:rFonts w:ascii="Courier New" w:cs="Courier New" w:eastAsia="Courier New" w:hAnsi="Courier New"/>
          <w:sz w:val="15"/>
          <w:szCs w:val="15"/>
          <w:color w:val="auto"/>
        </w:rPr>
        <w:t>pre-tax store closing and severance charge of $5.2 million related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decision to close three BTC(TM) stores, one Designs mall store, and four Boston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Traders(R) Outlet stores and to further reduce corporate headcount. This charge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cash costs of approximately $2.9 million related to lease terminations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corporate severance, and $2.3 million of non-cash costs related to store</w:t>
      </w:r>
    </w:p>
    <w:p>
      <w:pPr>
        <w:spacing w:after="0"/>
        <w:rPr>
          <w:sz w:val="20"/>
          <w:szCs w:val="20"/>
          <w:color w:val="auto"/>
        </w:rPr>
      </w:pPr>
      <w:r>
        <w:rPr>
          <w:rFonts w:ascii="Courier New" w:cs="Courier New" w:eastAsia="Courier New" w:hAnsi="Courier New"/>
          <w:sz w:val="15"/>
          <w:szCs w:val="15"/>
          <w:color w:val="auto"/>
        </w:rPr>
        <w:t>fixed asset write-offs and markdowns. Merchandise markdowns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$800,000 were included in cost of goods sold for the fiscal year ending January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1999. The remaining amount related to lease termination costs, fixed asset</w:t>
      </w:r>
    </w:p>
    <w:p>
      <w:pPr>
        <w:spacing w:after="0"/>
        <w:rPr>
          <w:sz w:val="20"/>
          <w:szCs w:val="20"/>
          <w:color w:val="auto"/>
        </w:rPr>
      </w:pPr>
      <w:r>
        <w:rPr>
          <w:rFonts w:ascii="Courier New" w:cs="Courier New" w:eastAsia="Courier New" w:hAnsi="Courier New"/>
          <w:sz w:val="15"/>
          <w:szCs w:val="15"/>
          <w:color w:val="auto"/>
        </w:rPr>
        <w:t>write-offs and severance were included in the charges for severance and store</w:t>
      </w:r>
    </w:p>
    <w:p>
      <w:pPr>
        <w:spacing w:after="0"/>
        <w:rPr>
          <w:sz w:val="20"/>
          <w:szCs w:val="20"/>
          <w:color w:val="auto"/>
        </w:rPr>
      </w:pPr>
      <w:r>
        <w:rPr>
          <w:rFonts w:ascii="Courier New" w:cs="Courier New" w:eastAsia="Courier New" w:hAnsi="Courier New"/>
          <w:sz w:val="15"/>
          <w:szCs w:val="15"/>
          <w:color w:val="auto"/>
        </w:rPr>
        <w:t>closings on the Company's Consolidated Statement of Operations for the year</w:t>
      </w:r>
    </w:p>
    <w:p>
      <w:pPr>
        <w:spacing w:after="0" w:line="238" w:lineRule="auto"/>
        <w:rPr>
          <w:sz w:val="20"/>
          <w:szCs w:val="20"/>
          <w:color w:val="auto"/>
        </w:rPr>
      </w:pPr>
      <w:r>
        <w:rPr>
          <w:rFonts w:ascii="Courier New" w:cs="Courier New" w:eastAsia="Courier New" w:hAnsi="Courier New"/>
          <w:sz w:val="15"/>
          <w:szCs w:val="15"/>
          <w:color w:val="auto"/>
        </w:rPr>
        <w:t>ended January 30, 1999. The total charge of $5.2 million was reserved on the</w:t>
      </w:r>
    </w:p>
    <w:p>
      <w:pPr>
        <w:spacing w:after="0"/>
        <w:rPr>
          <w:sz w:val="20"/>
          <w:szCs w:val="20"/>
          <w:color w:val="auto"/>
        </w:rPr>
      </w:pPr>
      <w:r>
        <w:rPr>
          <w:rFonts w:ascii="Courier New" w:cs="Courier New" w:eastAsia="Courier New" w:hAnsi="Courier New"/>
          <w:sz w:val="15"/>
          <w:szCs w:val="15"/>
          <w:color w:val="auto"/>
        </w:rPr>
        <w:t>consolidated balance sheet at January 30,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second quarter of fiscal 1997, the Company recorded a pre-tax charge of</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$20 million related to its shift in strategy away from the vertically integrated Boston Traders(R) private label concept to a strategy with greater emphasis on name brands. This decision involved the liquidation of Boston Traders(R) brand products, the closure of the Company's New York City product development office and the closure of 17 Designs stores and 16 Boston Traders(R) Outlet stores. Total actual costs to close related to this shift in strategy and the closure of the stores was $19.9 million which included cash costs of $6.0 million related to lease terminations, the cost of canceling private label fabric commitments, severance associated with the closing of the New York office, and other miscellaneous expenses. The remainder of the $19.9 million charge consisted of non-cash costs of approximately $13.9 million, which included $12.4 million of markdowns at cost related to the liquidation of Boston Traders(R) brand product and $1.5 million for write-offs of store fixed assets. Merchandise markdowns and costs associated with the cancellation of fabric commitments, which total approximately $13.9 million, were included in cost of goods sold for the fiscal year ending January 31, 1998. The remaining amounts related to lease termination costs, asset impairment charges, severance and other costs, were included in the restructuring charge on the Company's Consolidated Statements of Operations for the year ending January 31, 1998. The remaining reserve balance at January 31, 1998 was $1.3 million. There was no remaining reserve balance related to this $20 million charge at January 30, 1999.</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the fourth quarter of fiscal year 1997, the Company incurred an additional pre-tax charge of $1.6 million relating primarily to severance, benefits and other costs associated with a reduction in its home office and field staff. This reduction in force resulted in the elimination of 47 positions, or approximately 25%, of the Company's headquarters and field management staff. This charge was included in the restructuring charge in the Company's Consolidated Statements of Operations for the year ended January 31, 1998. Total actual costs related to this reduction in staff were $1.4 million as compared to the original charge of $1.6 million. The remaining reserve balance at January 31, 1998 was $1.3 million There was no reserve balance remaining related to this charge at January 30,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 FORMATION OF JOINT VENTURE</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January 28, 1995, Designs JV Corp., a wholly-owned subsidiary of the Company ("Designs JV Subsidiary"), and LDJV Inc., a subsidiary of Levi's Only Stores, Inc. ("LOS"), which is a wholly-owned subsidiary of Levi Strauss &amp; Co., entered into a partnership agreement (the "Partnership Agreement"). The purpose of the Partnership Agreement was to sell Levi's(R) brand jeans and jeans-related products in Original Levi's Stores(R) and Levi's(R) Outlet stores in a specified territory. The joint venture established under the Partnership Agreement is known as The Designs/OLS Partnership (the "OLS Partnership").</w:t>
      </w:r>
    </w:p>
    <w:p>
      <w:pPr>
        <w:spacing w:after="0" w:line="331"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22" w:right="1440" w:bottom="1440" w:gutter="0" w:footer="0" w:header="0"/>
        </w:sectPr>
      </w:pPr>
    </w:p>
    <w:bookmarkStart w:id="57" w:name="page58"/>
    <w:bookmarkEnd w:id="57"/>
    <w:p>
      <w:pPr>
        <w:jc w:val="center"/>
        <w:ind w:right="31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October 1998, the Company announced that it had reached an agreement with LOS to dissolve and wind up the OLS Partnership. Pursuant to this agreement the OLS Partnership distributed to the Designs JV subsidiary 11 Levi's(R) Outlet stores, with a net book value of approximately $6.3 million. In addition, the OLS Partnership distributed three Original Levi's Stores(R) to LDJV Inc. The net book value of these three Original Levi's Stores(R) was approximately $5.5 million, which was greater than LDJV Inc.'s equity interest in the OLS Partnership. Consequently, LDJV Inc. made a $2.9 million capital contribution of cash to the OLS Partnership at October 31, 1998.</w:t>
      </w:r>
    </w:p>
    <w:p>
      <w:pPr>
        <w:spacing w:after="0" w:line="179"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In connection with the plan to dissolve and wind up the OLS Partnership, the OLS partnership recorded a pre-tax charge of $4.5 million related to the closing of the eight Original Levi's Stores(R) that it did not distribute. This $4.5 million charge is included in the total $13.4 million charge recorded by the Company and discussed in Note J above. The total estimated costs to close these stores is $1.3 million less then the original charge, primarily due to favorable landlord negotiations on lease termination payments. This $1.3 million was part of the total $2.9 million recognized as restructuring income in fiscal 1998, see Note J above.</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L. OUTLET STORE ACQUISITION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September 30, 1998, the Company completed the acquisition of 25 outlet stores from LOS for a purchase price of approximately $9.7 million. These stores, 16 of which now operate under the names "Dockers(R) Outlet by Designs" and nine of which operate under the name "Levi's(R) Outlet by Designs", are located in the eastern United States. A portion of the purchase price for these stores, approximately $5.1 million, was for inventory. The remainder of the purchase price, approximately $4.6 million, was for fixed assets associated with these stores. The Company also assumed the obligations associated with the real estate leases for the stores.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M. PRO-FORMA RESULTS OF OPERATIONS</w:t>
      </w:r>
    </w:p>
    <w:p>
      <w:pPr>
        <w:spacing w:after="0" w:line="175" w:lineRule="exact"/>
        <w:rPr>
          <w:sz w:val="20"/>
          <w:szCs w:val="20"/>
          <w:color w:val="auto"/>
        </w:rPr>
      </w:pPr>
    </w:p>
    <w:p>
      <w:pPr>
        <w:ind w:left="10" w:right="3259"/>
        <w:spacing w:after="0" w:line="256" w:lineRule="auto"/>
        <w:rPr>
          <w:sz w:val="20"/>
          <w:szCs w:val="20"/>
          <w:color w:val="auto"/>
        </w:rPr>
      </w:pPr>
      <w:r>
        <w:rPr>
          <w:rFonts w:ascii="Courier New" w:cs="Courier New" w:eastAsia="Courier New" w:hAnsi="Courier New"/>
          <w:sz w:val="14"/>
          <w:szCs w:val="14"/>
          <w:color w:val="auto"/>
        </w:rPr>
        <w:t>The following pro-forma summary presents the consolidated results of operations of the Company, adjusted for: (a) the acquisition of the 25 outlet stores, and</w:t>
      </w:r>
    </w:p>
    <w:p>
      <w:pPr>
        <w:spacing w:after="0" w:line="1" w:lineRule="exact"/>
        <w:rPr>
          <w:sz w:val="20"/>
          <w:szCs w:val="20"/>
          <w:color w:val="auto"/>
        </w:rPr>
      </w:pPr>
    </w:p>
    <w:p>
      <w:pPr>
        <w:ind w:left="10" w:right="3259" w:hanging="10"/>
        <w:spacing w:after="0" w:line="235" w:lineRule="auto"/>
        <w:tabs>
          <w:tab w:leader="none" w:pos="36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of the earnings of the 11 Levi's(R) Outlet stores that were distributed by the OLS Partnership.</w:t>
      </w:r>
    </w:p>
    <w:p>
      <w:pPr>
        <w:spacing w:after="0" w:line="176"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The results of operations for fiscal 1998 include actual results of operations since September 30, 1998 of the 25 outlet stores acquired from LOS. The following pro-forma results have been adjusted to include results of operations for these stores for the period November 3, 1996 through September 30, 1998.</w:t>
      </w:r>
    </w:p>
    <w:p>
      <w:pPr>
        <w:spacing w:after="0" w:line="163"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In addition, the results of operations for fiscal 1998 include the results of operations for the 11 Levi's(R) Outlet stores that were owned and operated by the OLS Partnership until October 31,1998. The following pro-forma results have been adjusted to assume that these 11 stores were wholly-owned by the Company for the period November 1, 1996 through January 31, 1999.</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thousands,</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except</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per share data)</w:t>
            </w:r>
          </w:p>
        </w:tc>
        <w:tc>
          <w:tcPr>
            <w:tcW w:w="2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Fiscal 1998</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Fiscal 1997</w:t>
            </w:r>
          </w:p>
        </w:tc>
      </w:tr>
      <w:tr>
        <w:trPr>
          <w:trHeight w:val="339"/>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1"/>
              </w:rPr>
              <w:t>Revenue</w:t>
            </w:r>
          </w:p>
        </w:tc>
        <w:tc>
          <w:tcPr>
            <w:tcW w:w="18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213,347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291,973</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76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(18,186)</w:t>
            </w:r>
          </w:p>
        </w:tc>
        <w:tc>
          <w:tcPr>
            <w:tcW w:w="8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26,856</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25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9"/>
          </w:cols>
          <w:pgMar w:left="230" w:top="622" w:right="1440" w:bottom="1440" w:gutter="0" w:footer="0" w:header="0"/>
        </w:sectPr>
      </w:pPr>
    </w:p>
    <w:bookmarkStart w:id="58" w:name="page59"/>
    <w:bookmarkEnd w:id="58"/>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 SEGMENT DISCLOSURES</w:t>
      </w:r>
    </w:p>
    <w:p>
      <w:pPr>
        <w:spacing w:after="0" w:line="175" w:lineRule="exact"/>
        <w:rPr>
          <w:sz w:val="20"/>
          <w:szCs w:val="20"/>
          <w:color w:val="auto"/>
        </w:rPr>
      </w:pPr>
    </w:p>
    <w:p>
      <w:pPr>
        <w:ind w:left="10" w:right="3259"/>
        <w:spacing w:after="0" w:line="260" w:lineRule="auto"/>
        <w:rPr>
          <w:sz w:val="20"/>
          <w:szCs w:val="20"/>
          <w:color w:val="auto"/>
        </w:rPr>
      </w:pPr>
      <w:r>
        <w:rPr>
          <w:rFonts w:ascii="Courier New" w:cs="Courier New" w:eastAsia="Courier New" w:hAnsi="Courier New"/>
          <w:sz w:val="14"/>
          <w:szCs w:val="14"/>
          <w:color w:val="auto"/>
        </w:rPr>
        <w:t>In fiscal 1998, the Company adopted Statement of Financial Accounting Standard No. 131, "Disclosures about Segments of an Enterprise and Related Information," which requires the Company to report information about its operating segments.</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During fiscal 1998, the Company completed the following transactions:</w:t>
      </w:r>
    </w:p>
    <w:p>
      <w:pPr>
        <w:spacing w:after="0" w:line="175" w:lineRule="exact"/>
        <w:rPr>
          <w:sz w:val="20"/>
          <w:szCs w:val="20"/>
          <w:color w:val="auto"/>
        </w:rPr>
      </w:pPr>
    </w:p>
    <w:p>
      <w:pPr>
        <w:ind w:left="530" w:right="3799" w:hanging="530"/>
        <w:spacing w:after="0" w:line="235" w:lineRule="auto"/>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acquired 16 Dockers(R) Outlet and nine Levi's(R) Outlet stores.</w:t>
      </w:r>
    </w:p>
    <w:p>
      <w:pPr>
        <w:spacing w:after="0" w:line="175" w:lineRule="exact"/>
        <w:rPr>
          <w:rFonts w:ascii="Courier New" w:cs="Courier New" w:eastAsia="Courier New" w:hAnsi="Courier New"/>
          <w:sz w:val="15"/>
          <w:szCs w:val="15"/>
          <w:color w:val="auto"/>
        </w:rPr>
      </w:pPr>
    </w:p>
    <w:p>
      <w:pPr>
        <w:ind w:left="530" w:right="3619" w:hanging="530"/>
        <w:spacing w:after="0" w:line="235" w:lineRule="auto"/>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received a distribution of 11 additional Levi's(R) Outlet stores from the OLS Partnership.</w:t>
      </w:r>
    </w:p>
    <w:p>
      <w:pPr>
        <w:spacing w:after="0" w:line="170"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announced plans to dissolve and wind up the OLS Partnership.</w:t>
      </w:r>
    </w:p>
    <w:p>
      <w:pPr>
        <w:spacing w:after="0" w:line="169"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closed 30 unprofitable stores.</w:t>
      </w:r>
    </w:p>
    <w:p>
      <w:pPr>
        <w:spacing w:after="0" w:line="175"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As a result of these transactions, the Company now operates and manages its business under two reportable store segments (i) Outlet Store group and (ii) Specialty Store Group. Closed stores and other includes the operations of all stores closed through the end of fiscal 1998 and stores that are expected to close through the second quarter of fiscal 1999.</w:t>
      </w:r>
    </w:p>
    <w:p>
      <w:pPr>
        <w:spacing w:after="0" w:line="178"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Outlet Store Group: At January 30, 1999, this store group included the Company's 59 Levi's(R) Outlet by Designs stores, the 25 acquired Dockers(R) and Levi's(R) outlet stores, the 11 Levi's(R) Outlet stores that were previously owned and operated by OLS Partnership through October 31, 1998 and five Buffalo Factory Jeans Outlet Stores. These outlet stores all operate in outlet parks located primarily in the Eastern United States and primarily sell close out and end of season merchandise from vendors.</w:t>
      </w:r>
    </w:p>
    <w:p>
      <w:pPr>
        <w:spacing w:after="0" w:line="177"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Specialty Store Group: At January 30, 1999, this store group consisted of the five remaining Designs/BTC(TM) stores that the Company intends to operate through fiscal 1999. These stores are located in enclosed regional shopping centers and offer a broad selection of Levi Strauss &amp; Co. branded merchandise with complementary brands of tops and bottoms.</w:t>
      </w:r>
    </w:p>
    <w:p>
      <w:pPr>
        <w:spacing w:after="0" w:line="178"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Closed Stores and Other: This group included the Designs, Boston Trading Co.(TM) and Boston Traders(R) Outlet stores that were closed as part of the fiscal 1997 and fiscal 1998 store closing programs. The operations of the three Original Levi's Stores(TM) that were distributed to LDJV, Inc in October 1998 and the operations of the eight Original Levi's Stores(TM) that were closed in fiscal 1998 are included in this group. The four Boston Traders(R) Outlet stores, three BTC(TM) and one Designs store that are all expected to close by the end of the second quarter of fiscal 1999 are also included in Closed Stores and Other.</w:t>
      </w:r>
    </w:p>
    <w:p>
      <w:pPr>
        <w:spacing w:after="0" w:line="167" w:lineRule="exact"/>
        <w:rPr>
          <w:sz w:val="20"/>
          <w:szCs w:val="20"/>
          <w:color w:val="auto"/>
        </w:rPr>
      </w:pPr>
    </w:p>
    <w:p>
      <w:pPr>
        <w:ind w:left="10" w:right="3259"/>
        <w:spacing w:after="0" w:line="257" w:lineRule="auto"/>
        <w:rPr>
          <w:sz w:val="20"/>
          <w:szCs w:val="20"/>
          <w:color w:val="auto"/>
        </w:rPr>
      </w:pPr>
      <w:r>
        <w:rPr>
          <w:rFonts w:ascii="Courier New" w:cs="Courier New" w:eastAsia="Courier New" w:hAnsi="Courier New"/>
          <w:sz w:val="14"/>
          <w:szCs w:val="14"/>
          <w:color w:val="auto"/>
        </w:rPr>
        <w:t>The accounting policies of the reportable segments are the same as those described in Note A. The Company evaluates individual store profitability in terms of a store's "Contribution to Profit" which is defined by the Company as merchandise margin less occupancy costs and all store specific expenses such as payroll, advertising, insurance and depreciation. The Company may transfer end of season merchandise from its Specialty stores to its Outlet stores. In fiscal 1998, approximately 5% of the Outlet stores receipts were from transferred merchandise. The Company transfers merchandise at the receiving store's retail price with any associated markdowns being recorded by the sending store.</w:t>
      </w:r>
    </w:p>
    <w:p>
      <w:pPr>
        <w:spacing w:after="0" w:line="167" w:lineRule="exact"/>
        <w:rPr>
          <w:sz w:val="20"/>
          <w:szCs w:val="20"/>
          <w:color w:val="auto"/>
        </w:rPr>
      </w:pPr>
    </w:p>
    <w:p>
      <w:pPr>
        <w:jc w:val="both"/>
        <w:ind w:left="10" w:right="3619"/>
        <w:spacing w:after="0" w:line="237" w:lineRule="auto"/>
        <w:rPr>
          <w:sz w:val="20"/>
          <w:szCs w:val="20"/>
          <w:color w:val="auto"/>
        </w:rPr>
      </w:pPr>
      <w:r>
        <w:rPr>
          <w:rFonts w:ascii="Courier New" w:cs="Courier New" w:eastAsia="Courier New" w:hAnsi="Courier New"/>
          <w:sz w:val="15"/>
          <w:szCs w:val="15"/>
          <w:color w:val="auto"/>
        </w:rPr>
        <w:t>Below is a summary of the results of operations for the Outlet Store Group, Specialty Store Group and Closed Stores and Other for the three years ended January 30, 1999:</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the year ended January 30, 1999</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2809" w:val="left"/>
          <w:tab w:leader="none" w:pos="4289" w:val="left"/>
          <w:tab w:leader="none" w:pos="5529" w:val="left"/>
          <w:tab w:leader="none" w:pos="7469"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Outlets</w:t>
      </w:r>
      <w:r>
        <w:rPr>
          <w:sz w:val="20"/>
          <w:szCs w:val="20"/>
          <w:color w:val="auto"/>
        </w:rPr>
        <w:tab/>
      </w:r>
      <w:r>
        <w:rPr>
          <w:rFonts w:ascii="Courier New" w:cs="Courier New" w:eastAsia="Courier New" w:hAnsi="Courier New"/>
          <w:sz w:val="15"/>
          <w:szCs w:val="15"/>
          <w:color w:val="auto"/>
        </w:rPr>
        <w:t>Specialty</w:t>
      </w:r>
      <w:r>
        <w:rPr>
          <w:sz w:val="20"/>
          <w:szCs w:val="20"/>
          <w:color w:val="auto"/>
        </w:rPr>
        <w:tab/>
      </w:r>
      <w:r>
        <w:rPr>
          <w:rFonts w:ascii="Courier New" w:cs="Courier New" w:eastAsia="Courier New" w:hAnsi="Courier New"/>
          <w:sz w:val="15"/>
          <w:szCs w:val="15"/>
          <w:color w:val="auto"/>
        </w:rPr>
        <w:t>Closed and 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153,581</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8,718</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39,335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201,634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Merchandise margin</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63,148</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2,618</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10,310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76,076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18,974</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1,868</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12,985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33,827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44,174</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(2,675)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42,249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Depreciation/amortization</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3,197</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740</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7,320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Contribution to profit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18,840</w:t>
            </w:r>
          </w:p>
        </w:tc>
        <w:tc>
          <w:tcPr>
            <w:tcW w:w="16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(15,848)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2,014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Charges for severance and</w:t>
            </w: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store closings</w:t>
            </w: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(15,700)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(15,700)</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53,146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1,802</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2,977</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57,925</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Fixed assets, net</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10,026</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584</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7,178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17,788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510</w:t>
            </w:r>
          </w:p>
        </w:tc>
      </w:tr>
      <w:tr>
        <w:trPr>
          <w:trHeight w:val="678"/>
        </w:trPr>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56</w:t>
            </w:r>
          </w:p>
        </w:tc>
      </w:tr>
    </w:tbl>
    <w:p>
      <w:pPr>
        <w:sectPr>
          <w:pgSz w:w="11900" w:h="16838" w:orient="portrait"/>
          <w:cols w:equalWidth="0" w:num="1">
            <w:col w:w="10229"/>
          </w:cols>
          <w:pgMar w:left="230" w:top="622" w:right="1440" w:bottom="904" w:gutter="0" w:footer="0" w:header="0"/>
        </w:sectPr>
      </w:pPr>
    </w:p>
    <w:bookmarkStart w:id="59" w:name="page60"/>
    <w:bookmarkEnd w:id="59"/>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the year ended January 31, 1998</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2809" w:val="left"/>
          <w:tab w:leader="none" w:pos="4289" w:val="left"/>
          <w:tab w:leader="none" w:pos="5529" w:val="left"/>
          <w:tab w:leader="none" w:pos="7469"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Outlets</w:t>
      </w:r>
      <w:r>
        <w:rPr>
          <w:sz w:val="20"/>
          <w:szCs w:val="20"/>
          <w:color w:val="auto"/>
        </w:rPr>
        <w:tab/>
      </w:r>
      <w:r>
        <w:rPr>
          <w:rFonts w:ascii="Courier New" w:cs="Courier New" w:eastAsia="Courier New" w:hAnsi="Courier New"/>
          <w:sz w:val="15"/>
          <w:szCs w:val="15"/>
          <w:color w:val="auto"/>
        </w:rPr>
        <w:t>Specialty</w:t>
      </w:r>
      <w:r>
        <w:rPr>
          <w:sz w:val="20"/>
          <w:szCs w:val="20"/>
          <w:color w:val="auto"/>
        </w:rPr>
        <w:tab/>
      </w:r>
      <w:r>
        <w:rPr>
          <w:rFonts w:ascii="Courier New" w:cs="Courier New" w:eastAsia="Courier New" w:hAnsi="Courier New"/>
          <w:sz w:val="15"/>
          <w:szCs w:val="15"/>
          <w:color w:val="auto"/>
        </w:rPr>
        <w:t>Closed and Other</w:t>
      </w:r>
      <w:r>
        <w:rPr>
          <w:sz w:val="20"/>
          <w:szCs w:val="20"/>
          <w:color w:val="auto"/>
        </w:rPr>
        <w:tab/>
      </w:r>
      <w:r>
        <w:rPr>
          <w:rFonts w:ascii="Courier New" w:cs="Courier New" w:eastAsia="Courier New" w:hAnsi="Courier New"/>
          <w:sz w:val="14"/>
          <w:szCs w:val="14"/>
          <w:color w:val="auto"/>
        </w:rPr>
        <w:t>Total</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177,326</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10,141</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78,259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  265,726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Merchandise margin</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69,578</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2,401</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6,628(1)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78,607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17,396</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1,824</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21,029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40,249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52,182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(14,401)(1)</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38,358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Depreciation/amortization</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3,162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402</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5,232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8,796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Contribution to profit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24,322</w:t>
            </w:r>
          </w:p>
        </w:tc>
        <w:tc>
          <w:tcPr>
            <w:tcW w:w="17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(1,338)</w:t>
            </w: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(21,782)</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Charges for severance and</w:t>
            </w:r>
          </w:p>
        </w:tc>
        <w:tc>
          <w:tcPr>
            <w:tcW w:w="1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store closings</w:t>
            </w:r>
          </w:p>
        </w:tc>
        <w:tc>
          <w:tcPr>
            <w:tcW w:w="1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(21,600)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(21,600)</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38,122</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2,394</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14,456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54,972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Fixed assets, net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7,574</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1,199</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26,534</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35,307</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517</w:t>
            </w:r>
          </w:p>
        </w:tc>
        <w:tc>
          <w:tcPr>
            <w:tcW w:w="17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7,245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7,762</w:t>
            </w:r>
          </w:p>
        </w:tc>
      </w:tr>
    </w:tbl>
    <w:p>
      <w:pPr>
        <w:spacing w:after="0" w:line="344" w:lineRule="exact"/>
        <w:rPr>
          <w:sz w:val="20"/>
          <w:szCs w:val="20"/>
          <w:color w:val="auto"/>
        </w:rPr>
      </w:pPr>
    </w:p>
    <w:p>
      <w:pPr>
        <w:ind w:left="10" w:right="3539" w:hanging="10"/>
        <w:spacing w:after="0" w:line="237" w:lineRule="auto"/>
        <w:tabs>
          <w:tab w:leader="none" w:pos="36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the $21.6 million charge related to the liquidation of the Boston Traders(R) brand product is $13.9 of markdown and fabric cancellation reserves, which were included in gross margin.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 the year ended February 1, 1997</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2809" w:val="left"/>
          <w:tab w:leader="none" w:pos="4289" w:val="left"/>
          <w:tab w:leader="none" w:pos="5529" w:val="left"/>
          <w:tab w:leader="none" w:pos="7469"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Outlets</w:t>
      </w:r>
      <w:r>
        <w:rPr>
          <w:sz w:val="20"/>
          <w:szCs w:val="20"/>
          <w:color w:val="auto"/>
        </w:rPr>
        <w:tab/>
      </w:r>
      <w:r>
        <w:rPr>
          <w:rFonts w:ascii="Courier New" w:cs="Courier New" w:eastAsia="Courier New" w:hAnsi="Courier New"/>
          <w:sz w:val="15"/>
          <w:szCs w:val="15"/>
          <w:color w:val="auto"/>
        </w:rPr>
        <w:t>Specialty</w:t>
      </w:r>
      <w:r>
        <w:rPr>
          <w:sz w:val="20"/>
          <w:szCs w:val="20"/>
          <w:color w:val="auto"/>
        </w:rPr>
        <w:tab/>
      </w:r>
      <w:r>
        <w:rPr>
          <w:rFonts w:ascii="Courier New" w:cs="Courier New" w:eastAsia="Courier New" w:hAnsi="Courier New"/>
          <w:sz w:val="15"/>
          <w:szCs w:val="15"/>
          <w:color w:val="auto"/>
        </w:rPr>
        <w:t>Closed and Other</w:t>
      </w:r>
      <w:r>
        <w:rPr>
          <w:sz w:val="20"/>
          <w:szCs w:val="20"/>
          <w:color w:val="auto"/>
        </w:rPr>
        <w:tab/>
      </w:r>
      <w:r>
        <w:rPr>
          <w:rFonts w:ascii="Courier New" w:cs="Courier New" w:eastAsia="Courier New" w:hAnsi="Courier New"/>
          <w:sz w:val="14"/>
          <w:szCs w:val="14"/>
          <w:color w:val="auto"/>
        </w:rPr>
        <w:t>Total</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195,110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10,645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83,838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289,593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Merchandise margin</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90,623</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3,722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30,205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124,550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Occupancy costs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16,558</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1,665</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38,321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74,065</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2,057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10,107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86,229</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Depreciation/amortization</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3,031</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4,980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8,413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Contribution to profit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46,628</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238</w:t>
            </w:r>
          </w:p>
        </w:tc>
        <w:tc>
          <w:tcPr>
            <w:tcW w:w="14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(14,347)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32,519</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Segment Assets:</w:t>
            </w: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45,950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2,168</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79,958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Fixed assets, net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9,990</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1,674</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27,552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39,216</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2,172</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10,111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12,290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Reconciliation of Contribution to Profit to Operating Income (Loss)</w:t>
      </w:r>
    </w:p>
    <w:p>
      <w:pPr>
        <w:spacing w:after="0" w:line="200" w:lineRule="exact"/>
        <w:rPr>
          <w:sz w:val="20"/>
          <w:szCs w:val="20"/>
          <w:color w:val="auto"/>
        </w:rPr>
      </w:pPr>
    </w:p>
    <w:p>
      <w:pPr>
        <w:spacing w:after="0" w:line="308" w:lineRule="exact"/>
        <w:rPr>
          <w:sz w:val="20"/>
          <w:szCs w:val="20"/>
          <w:color w:val="auto"/>
        </w:rPr>
      </w:pPr>
    </w:p>
    <w:p>
      <w:pPr>
        <w:ind w:left="10"/>
        <w:spacing w:after="0"/>
        <w:tabs>
          <w:tab w:leader="none" w:pos="4209" w:val="left"/>
          <w:tab w:leader="none" w:pos="5889" w:val="left"/>
          <w:tab w:leader="none" w:pos="7209" w:val="left"/>
        </w:tabs>
        <w:rPr>
          <w:sz w:val="20"/>
          <w:szCs w:val="20"/>
          <w:color w:val="auto"/>
        </w:rPr>
      </w:pP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5"/>
          <w:szCs w:val="15"/>
          <w:color w:val="auto"/>
        </w:rPr>
        <w:t>Fiscal 1998</w:t>
      </w:r>
      <w:r>
        <w:rPr>
          <w:sz w:val="20"/>
          <w:szCs w:val="20"/>
          <w:color w:val="auto"/>
        </w:rPr>
        <w:tab/>
      </w:r>
      <w:r>
        <w:rPr>
          <w:rFonts w:ascii="Courier New" w:cs="Courier New" w:eastAsia="Courier New" w:hAnsi="Courier New"/>
          <w:sz w:val="15"/>
          <w:szCs w:val="15"/>
          <w:color w:val="auto"/>
        </w:rPr>
        <w:t>Fiscal 1997</w:t>
      </w:r>
      <w:r>
        <w:rPr>
          <w:sz w:val="20"/>
          <w:szCs w:val="20"/>
          <w:color w:val="auto"/>
        </w:rPr>
        <w:tab/>
      </w:r>
      <w:r>
        <w:rPr>
          <w:rFonts w:ascii="Courier New" w:cs="Courier New" w:eastAsia="Courier New" w:hAnsi="Courier New"/>
          <w:sz w:val="14"/>
          <w:szCs w:val="14"/>
          <w:color w:val="auto"/>
        </w:rPr>
        <w:t>Fiscal 1996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Contribution to Profit:</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Outlet store segment</w:t>
            </w:r>
          </w:p>
        </w:tc>
        <w:tc>
          <w:tcPr>
            <w:tcW w:w="16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18,840</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24,322</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46,628</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Specialty store segment</w:t>
            </w:r>
          </w:p>
        </w:tc>
        <w:tc>
          <w:tcPr>
            <w:tcW w:w="1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(978)</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Closed store and other</w:t>
            </w:r>
          </w:p>
        </w:tc>
        <w:tc>
          <w:tcPr>
            <w:tcW w:w="1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(15,848)</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(21,782)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(14,347)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Charges for severance and store closings</w:t>
            </w:r>
          </w:p>
        </w:tc>
        <w:tc>
          <w:tcPr>
            <w:tcW w:w="1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(15,700)</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(21,600)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General and administrative expenses</w:t>
            </w:r>
          </w:p>
        </w:tc>
        <w:tc>
          <w:tcPr>
            <w:tcW w:w="1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(16,700)</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(25,781)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(22,629)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 operating income (loss)</w:t>
            </w:r>
          </w:p>
        </w:tc>
        <w:tc>
          <w:tcPr>
            <w:tcW w:w="6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(30,386)</w:t>
            </w:r>
          </w:p>
        </w:tc>
        <w:tc>
          <w:tcPr>
            <w:tcW w:w="560" w:type="dxa"/>
            <w:vAlign w:val="bottom"/>
          </w:tcPr>
          <w:p>
            <w:pPr>
              <w:spacing w:after="0"/>
              <w:rPr>
                <w:sz w:val="14"/>
                <w:szCs w:val="14"/>
                <w:color w:val="auto"/>
              </w:rPr>
            </w:pP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  (46,179)</w:t>
            </w:r>
          </w:p>
        </w:tc>
        <w:tc>
          <w:tcPr>
            <w:tcW w:w="26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9,890</w:t>
            </w:r>
          </w:p>
        </w:tc>
      </w:tr>
      <w:tr>
        <w:trPr>
          <w:trHeight w:val="509"/>
        </w:trPr>
        <w:tc>
          <w:tcPr>
            <w:tcW w:w="6460" w:type="dxa"/>
            <w:vAlign w:val="bottom"/>
            <w:gridSpan w:val="6"/>
          </w:tcPr>
          <w:p>
            <w:pPr>
              <w:spacing w:after="0"/>
              <w:rPr>
                <w:sz w:val="20"/>
                <w:szCs w:val="20"/>
                <w:color w:val="auto"/>
              </w:rPr>
            </w:pPr>
            <w:r>
              <w:rPr>
                <w:rFonts w:ascii="Courier New" w:cs="Courier New" w:eastAsia="Courier New" w:hAnsi="Courier New"/>
                <w:sz w:val="15"/>
                <w:szCs w:val="15"/>
                <w:color w:val="auto"/>
                <w:w w:val="98"/>
              </w:rPr>
              <w:t>Reconciliation of depreciation/amortization to Consolidated Statements of</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Fiscal 1998</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Fiscal 1997</w:t>
            </w:r>
          </w:p>
        </w:tc>
        <w:tc>
          <w:tcPr>
            <w:tcW w:w="14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Fiscal 1996</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7220" w:type="dxa"/>
            <w:vAlign w:val="bottom"/>
            <w:gridSpan w:val="7"/>
          </w:tcPr>
          <w:p>
            <w:pPr>
              <w:spacing w:after="0"/>
              <w:rPr>
                <w:sz w:val="20"/>
                <w:szCs w:val="20"/>
                <w:color w:val="auto"/>
              </w:rPr>
            </w:pPr>
            <w:r>
              <w:rPr>
                <w:rFonts w:ascii="Courier New" w:cs="Courier New" w:eastAsia="Courier New" w:hAnsi="Courier New"/>
                <w:sz w:val="15"/>
                <w:szCs w:val="15"/>
                <w:color w:val="auto"/>
                <w:w w:val="97"/>
              </w:rPr>
              <w:t>- --------------------------------------------------------------------------------</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Segment depreciation/amortization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7,320</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8,796</w:t>
            </w:r>
          </w:p>
        </w:tc>
        <w:tc>
          <w:tcPr>
            <w:tcW w:w="6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8,413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Corporate depreciation/amortization</w:t>
            </w:r>
          </w:p>
        </w:tc>
        <w:tc>
          <w:tcPr>
            <w:tcW w:w="620" w:type="dxa"/>
            <w:vAlign w:val="bottom"/>
          </w:tcPr>
          <w:p>
            <w:pPr>
              <w:spacing w:after="0"/>
              <w:rPr>
                <w:sz w:val="14"/>
                <w:szCs w:val="1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2,409</w:t>
            </w:r>
          </w:p>
        </w:tc>
        <w:tc>
          <w:tcPr>
            <w:tcW w:w="5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2,438</w:t>
            </w:r>
          </w:p>
        </w:tc>
        <w:tc>
          <w:tcPr>
            <w:tcW w:w="660" w:type="dxa"/>
            <w:vAlign w:val="bottom"/>
          </w:tcPr>
          <w:p>
            <w:pPr>
              <w:spacing w:after="0"/>
              <w:rPr>
                <w:sz w:val="14"/>
                <w:szCs w:val="1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Total depreciation/amortization per</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Consolidated Statements of Operations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9,729</w:t>
            </w:r>
          </w:p>
        </w:tc>
        <w:tc>
          <w:tcPr>
            <w:tcW w:w="5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11,234</w:t>
            </w:r>
          </w:p>
        </w:tc>
        <w:tc>
          <w:tcPr>
            <w:tcW w:w="6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 SHAREHOLDERS RIGHTS PLAN</w:t>
      </w:r>
    </w:p>
    <w:p>
      <w:pPr>
        <w:spacing w:after="0" w:line="175"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May 1, 1995, the Board of Directors of the Company adopted a Shareholder Rights Plan. Pursuant to the Plan, the Company entered into a Shareholder Rights Agreement ("Rights Agreement") between the Company and its transfer agent, Boston EquiServe, the successor to The First National Bank of Boston, the Company's transfer agent. Pursuant to the Rights Agreement, the Board of Directors declared a dividend distribution of one preferred stock purchase right (the "Right(s)") for each outstanding share of the Company's Common Stock to stockholders of record as of the close of business on May 15, 1995. Initially, these Rights are not exercisable and will trade with the shares of the Company's Common Stock. In the event that a person becomes an "Acquiring Person" or is declared an "Adverse Person" as each such term is defined in the Rights Agreement, each holder of a Right (other than the Acquiring Person or the Adverse Person) would be entitled to acquire such number of</w:t>
      </w:r>
    </w:p>
    <w:p>
      <w:pPr>
        <w:spacing w:after="0" w:line="347"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9"/>
          </w:cols>
          <w:pgMar w:left="230" w:top="622" w:right="1440" w:bottom="0" w:gutter="0" w:footer="0" w:header="0"/>
        </w:sectPr>
      </w:pPr>
    </w:p>
    <w:bookmarkStart w:id="60" w:name="page61"/>
    <w:bookmarkEnd w:id="60"/>
    <w:p>
      <w:pPr>
        <w:ind w:left="167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5" w:lineRule="exact"/>
        <w:rPr>
          <w:sz w:val="20"/>
          <w:szCs w:val="20"/>
          <w:color w:val="auto"/>
        </w:rPr>
      </w:pPr>
    </w:p>
    <w:p>
      <w:pPr>
        <w:ind w:left="10" w:right="3259"/>
        <w:spacing w:after="0" w:line="258" w:lineRule="auto"/>
        <w:rPr>
          <w:sz w:val="20"/>
          <w:szCs w:val="20"/>
          <w:color w:val="auto"/>
        </w:rPr>
      </w:pPr>
      <w:r>
        <w:rPr>
          <w:rFonts w:ascii="Courier New" w:cs="Courier New" w:eastAsia="Courier New" w:hAnsi="Courier New"/>
          <w:sz w:val="14"/>
          <w:szCs w:val="14"/>
          <w:color w:val="auto"/>
        </w:rPr>
        <w:t>shares of preferred stock which are equivalent to the Company's Common Stock having a value of twice the then-current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6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On October 6, 1997, the Board of Directors approved an amendment to the Rights Agreement, pursuant to which the definition of an "Acquiring Person" was amended. The definition of Acquiring Person now allows a person who is and continues to be permitted to file Schedule 13G, in lieu of Schedule of 13D, pursuant to the Securities Exchange Act of 1934, as amended, and the rules and regulations promulgated thereunder, to be a beneficial owner of less than 20% of the shares of the Company's Common Stock then outstanding without becoming an "Acquiring Person".</w:t>
      </w:r>
    </w:p>
    <w:p>
      <w:pPr>
        <w:spacing w:after="0" w:line="1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 SELECTED QUARTERLY DATA (UNAUDITED)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FIRST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SECOND</w:t>
            </w:r>
          </w:p>
        </w:tc>
        <w:tc>
          <w:tcPr>
            <w:tcW w:w="1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3"/>
              </w:rPr>
              <w:t>THIRD</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FOURTH</w:t>
            </w:r>
          </w:p>
        </w:tc>
        <w:tc>
          <w:tcPr>
            <w:tcW w:w="18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FULL</w:t>
            </w:r>
          </w:p>
        </w:tc>
      </w:tr>
      <w:tr>
        <w:trPr>
          <w:trHeight w:val="170"/>
        </w:trPr>
        <w:tc>
          <w:tcPr>
            <w:tcW w:w="3300" w:type="dxa"/>
            <w:vAlign w:val="bottom"/>
          </w:tcPr>
          <w:p>
            <w:pPr>
              <w:spacing w:after="0"/>
              <w:rPr>
                <w:sz w:val="14"/>
                <w:szCs w:val="14"/>
                <w:color w:val="auto"/>
              </w:rPr>
            </w:pPr>
          </w:p>
        </w:tc>
        <w:tc>
          <w:tcPr>
            <w:tcW w:w="1980" w:type="dxa"/>
            <w:vAlign w:val="bottom"/>
            <w:gridSpan w:val="2"/>
          </w:tcPr>
          <w:p>
            <w:pPr>
              <w:ind w:left="1100"/>
              <w:spacing w:after="0"/>
              <w:rPr>
                <w:sz w:val="20"/>
                <w:szCs w:val="20"/>
                <w:color w:val="auto"/>
              </w:rPr>
            </w:pPr>
            <w:r>
              <w:rPr>
                <w:rFonts w:ascii="Courier New" w:cs="Courier New" w:eastAsia="Courier New" w:hAnsi="Courier New"/>
                <w:sz w:val="15"/>
                <w:szCs w:val="15"/>
                <w:color w:val="auto"/>
              </w:rPr>
              <w:t>QUARTER</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QUARTER</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QUARTER</w:t>
            </w: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QUARTER</w:t>
            </w:r>
          </w:p>
        </w:tc>
        <w:tc>
          <w:tcPr>
            <w:tcW w:w="18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YEAR</w:t>
            </w:r>
          </w:p>
        </w:tc>
      </w:tr>
      <w:tr>
        <w:trPr>
          <w:trHeight w:val="170"/>
        </w:trPr>
        <w:tc>
          <w:tcPr>
            <w:tcW w:w="3300" w:type="dxa"/>
            <w:vAlign w:val="bottom"/>
          </w:tcPr>
          <w:p>
            <w:pPr>
              <w:spacing w:after="0"/>
              <w:rPr>
                <w:sz w:val="14"/>
                <w:szCs w:val="14"/>
                <w:color w:val="auto"/>
              </w:rPr>
            </w:pPr>
          </w:p>
        </w:tc>
        <w:tc>
          <w:tcPr>
            <w:tcW w:w="638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(In Thousands, Except Per Share Data)</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tcPr>
          <w:p>
            <w:pPr>
              <w:ind w:left="1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43,400</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47,078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58,714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52,442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201,634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9,376</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9,337</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13,467</w:t>
            </w:r>
          </w:p>
        </w:tc>
        <w:tc>
          <w:tcPr>
            <w:tcW w:w="3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10,069</w:t>
            </w:r>
          </w:p>
        </w:tc>
        <w:tc>
          <w:tcPr>
            <w:tcW w:w="18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42,249</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 (1)</w:t>
            </w: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(3,052)</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(3,094)</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(8,746)</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(3,649)</w:t>
            </w:r>
          </w:p>
        </w:tc>
        <w:tc>
          <w:tcPr>
            <w:tcW w:w="1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(18,541)</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 - Diluted</w:t>
            </w: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(0.19)</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(0.55)</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c>
          <w:tcPr>
            <w:tcW w:w="1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r>
      <w:tr>
        <w:trPr>
          <w:trHeight w:val="509"/>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FISCAL YEAR 1997</w:t>
            </w: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80" w:type="dxa"/>
            <w:vAlign w:val="bottom"/>
          </w:tcPr>
          <w:p>
            <w:pPr>
              <w:ind w:left="1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55,470</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64,543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77,459</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68,254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265,726</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13,486</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(2,585)</w:t>
            </w:r>
          </w:p>
        </w:tc>
        <w:tc>
          <w:tcPr>
            <w:tcW w:w="18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18,800</w:t>
            </w:r>
          </w:p>
        </w:tc>
        <w:tc>
          <w:tcPr>
            <w:tcW w:w="3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8,657</w:t>
            </w:r>
          </w:p>
        </w:tc>
        <w:tc>
          <w:tcPr>
            <w:tcW w:w="180" w:type="dxa"/>
            <w:vAlign w:val="bottom"/>
          </w:tcPr>
          <w:p>
            <w:pPr>
              <w:spacing w:after="0"/>
              <w:rPr>
                <w:sz w:val="14"/>
                <w:szCs w:val="14"/>
                <w:color w:val="auto"/>
              </w:rPr>
            </w:pP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38,358</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  (2)</w:t>
            </w: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(3,184)</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(16,581)</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(567)</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(8,732)</w:t>
            </w:r>
          </w:p>
        </w:tc>
        <w:tc>
          <w:tcPr>
            <w:tcW w:w="1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(29,063)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 - Basic</w:t>
            </w: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Earnings per Share - Diluted</w:t>
            </w:r>
          </w:p>
        </w:tc>
        <w:tc>
          <w:tcPr>
            <w:tcW w:w="1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c>
          <w:tcPr>
            <w:tcW w:w="3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(0.04)</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r>
    </w:tbl>
    <w:p>
      <w:pPr>
        <w:spacing w:after="0" w:line="344" w:lineRule="exact"/>
        <w:rPr>
          <w:sz w:val="20"/>
          <w:szCs w:val="20"/>
          <w:color w:val="auto"/>
        </w:rPr>
      </w:pPr>
    </w:p>
    <w:p>
      <w:pPr>
        <w:ind w:left="10" w:right="3259" w:hanging="10"/>
        <w:spacing w:after="0" w:line="235"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the fourth quarter of fiscal 1998 includes a pre-tax charge, net, for store closings and severance of $2.3 million.</w:t>
      </w:r>
    </w:p>
    <w:p>
      <w:pPr>
        <w:spacing w:after="0" w:line="175" w:lineRule="exact"/>
        <w:rPr>
          <w:rFonts w:ascii="Courier New" w:cs="Courier New" w:eastAsia="Courier New" w:hAnsi="Courier New"/>
          <w:sz w:val="15"/>
          <w:szCs w:val="15"/>
          <w:color w:val="auto"/>
        </w:rPr>
      </w:pPr>
    </w:p>
    <w:p>
      <w:pPr>
        <w:ind w:left="10" w:right="3179" w:hanging="10"/>
        <w:spacing w:after="0" w:line="237" w:lineRule="auto"/>
        <w:tabs>
          <w:tab w:leader="none" w:pos="36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for the fourth quarter of fiscal 1997 include approximately $7.6 million pre-tax adjustments related to shrink, reserves for vendor discussions regarding receipt and payment of inventory, the Company's reduction in force and a charge for impairment of long-lived assets.</w:t>
      </w:r>
    </w:p>
    <w:p>
      <w:pPr>
        <w:spacing w:after="0" w:line="176"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Historically, the Company has experienced seasonal fluctuations in net sales, gross profit and net income, with increases occurring during the Company's third and fourth quarters as a result of "Fall" and "Holiday" seasons. As the Company's percentage of outlet business increases in relation to total sales, the Company expects that the third and fourth quarters will decrease as a percentage to total sales. Quarterly sales comparisons are not necessarily indicative of actual trends, since such amounts also reflect the addition of new stores, closing of stores and the remodeling of stores during these periods.</w:t>
      </w:r>
    </w:p>
    <w:p>
      <w:pPr>
        <w:spacing w:after="0" w:line="331" w:lineRule="exact"/>
        <w:rPr>
          <w:sz w:val="20"/>
          <w:szCs w:val="20"/>
          <w:color w:val="auto"/>
        </w:rPr>
      </w:pPr>
    </w:p>
    <w:p>
      <w:pPr>
        <w:ind w:left="687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9"/>
          </w:cols>
          <w:pgMar w:left="230" w:top="62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OTHER SHAREHOLDER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Stanley I. Berger</w:t>
      </w:r>
    </w:p>
    <w:p>
      <w:pPr>
        <w:ind w:left="260"/>
        <w:spacing w:after="0"/>
        <w:rPr>
          <w:sz w:val="20"/>
          <w:szCs w:val="20"/>
          <w:color w:val="auto"/>
        </w:rPr>
      </w:pPr>
      <w:r>
        <w:rPr>
          <w:rFonts w:ascii="Courier New" w:cs="Courier New" w:eastAsia="Courier New" w:hAnsi="Courier New"/>
          <w:sz w:val="15"/>
          <w:szCs w:val="15"/>
          <w:color w:val="auto"/>
        </w:rPr>
        <w:t>Chairman of the Board of Directors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James G. Groninger</w:t>
      </w:r>
    </w:p>
    <w:p>
      <w:pPr>
        <w:ind w:left="260"/>
        <w:spacing w:after="0"/>
        <w:rPr>
          <w:sz w:val="20"/>
          <w:szCs w:val="20"/>
          <w:color w:val="auto"/>
        </w:rPr>
      </w:pPr>
      <w:r>
        <w:rPr>
          <w:rFonts w:ascii="Courier New" w:cs="Courier New" w:eastAsia="Courier New" w:hAnsi="Courier New"/>
          <w:sz w:val="15"/>
          <w:szCs w:val="15"/>
          <w:color w:val="auto"/>
        </w:rPr>
        <w:t>President</w:t>
      </w:r>
    </w:p>
    <w:p>
      <w:pPr>
        <w:ind w:left="260"/>
        <w:spacing w:after="0"/>
        <w:rPr>
          <w:sz w:val="20"/>
          <w:szCs w:val="20"/>
          <w:color w:val="auto"/>
        </w:rPr>
      </w:pPr>
      <w:r>
        <w:rPr>
          <w:rFonts w:ascii="Courier New" w:cs="Courier New" w:eastAsia="Courier New" w:hAnsi="Courier New"/>
          <w:sz w:val="15"/>
          <w:szCs w:val="15"/>
          <w:color w:val="auto"/>
        </w:rPr>
        <w:t>The BaySouth Company</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Bernard M. Manuel</w:t>
      </w:r>
    </w:p>
    <w:p>
      <w:pPr>
        <w:ind w:left="260"/>
        <w:spacing w:after="0"/>
        <w:rPr>
          <w:sz w:val="20"/>
          <w:szCs w:val="20"/>
          <w:color w:val="auto"/>
        </w:rPr>
      </w:pPr>
      <w:r>
        <w:rPr>
          <w:rFonts w:ascii="Courier New" w:cs="Courier New" w:eastAsia="Courier New" w:hAnsi="Courier New"/>
          <w:sz w:val="15"/>
          <w:szCs w:val="15"/>
          <w:color w:val="auto"/>
        </w:rPr>
        <w:t>Chairman of the Board and Chief Executive Officer</w:t>
      </w:r>
    </w:p>
    <w:p>
      <w:pPr>
        <w:ind w:left="260"/>
        <w:spacing w:after="0"/>
        <w:rPr>
          <w:sz w:val="20"/>
          <w:szCs w:val="20"/>
          <w:color w:val="auto"/>
        </w:rPr>
      </w:pPr>
      <w:r>
        <w:rPr>
          <w:rFonts w:ascii="Courier New" w:cs="Courier New" w:eastAsia="Courier New" w:hAnsi="Courier New"/>
          <w:sz w:val="15"/>
          <w:szCs w:val="15"/>
          <w:color w:val="auto"/>
        </w:rPr>
        <w:t>Cygne Designs, Inc.</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Joel H. Reichman</w:t>
      </w:r>
    </w:p>
    <w:p>
      <w:pPr>
        <w:ind w:left="26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Melvin I. Shapiro</w:t>
      </w:r>
    </w:p>
    <w:p>
      <w:pPr>
        <w:ind w:left="260"/>
        <w:spacing w:after="0"/>
        <w:rPr>
          <w:sz w:val="20"/>
          <w:szCs w:val="20"/>
          <w:color w:val="auto"/>
        </w:rPr>
      </w:pPr>
      <w:r>
        <w:rPr>
          <w:rFonts w:ascii="Courier New" w:cs="Courier New" w:eastAsia="Courier New" w:hAnsi="Courier New"/>
          <w:sz w:val="15"/>
          <w:szCs w:val="15"/>
          <w:color w:val="auto"/>
        </w:rPr>
        <w:t>Retired Partner</w:t>
      </w:r>
    </w:p>
    <w:p>
      <w:pPr>
        <w:ind w:left="260"/>
        <w:spacing w:after="0"/>
        <w:rPr>
          <w:sz w:val="20"/>
          <w:szCs w:val="20"/>
          <w:color w:val="auto"/>
        </w:rPr>
      </w:pPr>
      <w:r>
        <w:rPr>
          <w:rFonts w:ascii="Courier New" w:cs="Courier New" w:eastAsia="Courier New" w:hAnsi="Courier New"/>
          <w:sz w:val="15"/>
          <w:szCs w:val="15"/>
          <w:color w:val="auto"/>
        </w:rPr>
        <w:t>Tofias, Fleishman &amp; Shapiro &amp; Co., P.C.</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Peter L. Thigpen</w:t>
      </w:r>
    </w:p>
    <w:p>
      <w:pPr>
        <w:ind w:left="260"/>
        <w:spacing w:after="0"/>
        <w:rPr>
          <w:sz w:val="20"/>
          <w:szCs w:val="20"/>
          <w:color w:val="auto"/>
        </w:rPr>
      </w:pPr>
      <w:r>
        <w:rPr>
          <w:rFonts w:ascii="Courier New" w:cs="Courier New" w:eastAsia="Courier New" w:hAnsi="Courier New"/>
          <w:sz w:val="15"/>
          <w:szCs w:val="15"/>
          <w:color w:val="auto"/>
        </w:rPr>
        <w:t>Partner</w:t>
      </w:r>
    </w:p>
    <w:p>
      <w:pPr>
        <w:ind w:left="260"/>
        <w:spacing w:after="0"/>
        <w:rPr>
          <w:sz w:val="20"/>
          <w:szCs w:val="20"/>
          <w:color w:val="auto"/>
        </w:rPr>
      </w:pPr>
      <w:r>
        <w:rPr>
          <w:rFonts w:ascii="Courier New" w:cs="Courier New" w:eastAsia="Courier New" w:hAnsi="Courier New"/>
          <w:sz w:val="15"/>
          <w:szCs w:val="15"/>
          <w:color w:val="auto"/>
        </w:rPr>
        <w:t>Executive Reserves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Joel H. Reichman</w:t>
      </w:r>
    </w:p>
    <w:p>
      <w:pPr>
        <w:ind w:left="26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Scott N. Semel</w:t>
      </w:r>
    </w:p>
    <w:p>
      <w:pPr>
        <w:ind w:left="260"/>
        <w:spacing w:after="0"/>
        <w:rPr>
          <w:sz w:val="20"/>
          <w:szCs w:val="20"/>
          <w:color w:val="auto"/>
        </w:rPr>
      </w:pPr>
      <w:r>
        <w:rPr>
          <w:rFonts w:ascii="Courier New" w:cs="Courier New" w:eastAsia="Courier New" w:hAnsi="Courier New"/>
          <w:sz w:val="15"/>
          <w:szCs w:val="15"/>
          <w:color w:val="auto"/>
        </w:rPr>
        <w:t>Executive Vice President</w:t>
      </w:r>
    </w:p>
    <w:p>
      <w:pPr>
        <w:ind w:left="260"/>
        <w:spacing w:after="0"/>
        <w:rPr>
          <w:sz w:val="20"/>
          <w:szCs w:val="20"/>
          <w:color w:val="auto"/>
        </w:rPr>
      </w:pPr>
      <w:r>
        <w:rPr>
          <w:rFonts w:ascii="Courier New" w:cs="Courier New" w:eastAsia="Courier New" w:hAnsi="Courier New"/>
          <w:sz w:val="15"/>
          <w:szCs w:val="15"/>
          <w:color w:val="auto"/>
        </w:rPr>
        <w:t>General Counsel and Secretary</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Carolyn R. Faulkner</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17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4"/>
          <w:szCs w:val="14"/>
          <w:color w:val="auto"/>
        </w:rPr>
        <w:t>Corporate Officers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Lisa Brennan</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Planning</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Alan B. Gruber</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Director of Stores</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George F. Cavedon</w:t>
      </w:r>
    </w:p>
    <w:p>
      <w:pPr>
        <w:ind w:left="260"/>
        <w:spacing w:after="0"/>
        <w:rPr>
          <w:sz w:val="20"/>
          <w:szCs w:val="20"/>
          <w:color w:val="auto"/>
        </w:rPr>
      </w:pPr>
      <w:r>
        <w:rPr>
          <w:rFonts w:ascii="Courier New" w:cs="Courier New" w:eastAsia="Courier New" w:hAnsi="Courier New"/>
          <w:sz w:val="15"/>
          <w:szCs w:val="15"/>
          <w:color w:val="auto"/>
        </w:rPr>
        <w:t>Regional Vice President</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Jan Falcione</w:t>
      </w:r>
    </w:p>
    <w:p>
      <w:pPr>
        <w:ind w:left="260"/>
        <w:spacing w:after="0"/>
        <w:rPr>
          <w:sz w:val="20"/>
          <w:szCs w:val="20"/>
          <w:color w:val="auto"/>
        </w:rPr>
      </w:pPr>
      <w:r>
        <w:rPr>
          <w:rFonts w:ascii="Courier New" w:cs="Courier New" w:eastAsia="Courier New" w:hAnsi="Courier New"/>
          <w:sz w:val="15"/>
          <w:szCs w:val="15"/>
          <w:color w:val="auto"/>
        </w:rPr>
        <w:t>Regional Vice President</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22"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Martin Goldstein</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Construction and Design</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Anthony E. Hubbard</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Deputy General Counsel and Assistant Secretary</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Ben P. Lentini</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General Merchandise Manager</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Shelly E. Mokas</w:t>
      </w:r>
    </w:p>
    <w:p>
      <w:pPr>
        <w:ind w:left="260"/>
        <w:spacing w:after="0"/>
        <w:rPr>
          <w:sz w:val="20"/>
          <w:szCs w:val="20"/>
          <w:color w:val="auto"/>
        </w:rPr>
      </w:pPr>
      <w:r>
        <w:rPr>
          <w:rFonts w:ascii="Courier New" w:cs="Courier New" w:eastAsia="Courier New" w:hAnsi="Courier New"/>
          <w:sz w:val="15"/>
          <w:szCs w:val="15"/>
          <w:color w:val="auto"/>
        </w:rPr>
        <w:t>Controller</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Daniel O. Paulus</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General Merchandise Manager</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Mary Ann Ryan</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Human Resources</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Bob Wilbur</w:t>
      </w:r>
    </w:p>
    <w:p>
      <w:pPr>
        <w:ind w:left="260"/>
        <w:spacing w:after="0"/>
        <w:rPr>
          <w:sz w:val="20"/>
          <w:szCs w:val="20"/>
          <w:color w:val="auto"/>
        </w:rPr>
      </w:pPr>
      <w:r>
        <w:rPr>
          <w:rFonts w:ascii="Courier New" w:cs="Courier New" w:eastAsia="Courier New" w:hAnsi="Courier New"/>
          <w:sz w:val="15"/>
          <w:szCs w:val="15"/>
          <w:color w:val="auto"/>
        </w:rPr>
        <w:t>Vice President</w:t>
      </w:r>
    </w:p>
    <w:p>
      <w:pPr>
        <w:ind w:left="260"/>
        <w:spacing w:after="0"/>
        <w:rPr>
          <w:sz w:val="20"/>
          <w:szCs w:val="20"/>
          <w:color w:val="auto"/>
        </w:rPr>
      </w:pPr>
      <w:r>
        <w:rPr>
          <w:rFonts w:ascii="Courier New" w:cs="Courier New" w:eastAsia="Courier New" w:hAnsi="Courier New"/>
          <w:sz w:val="15"/>
          <w:szCs w:val="15"/>
          <w:color w:val="auto"/>
        </w:rPr>
        <w:t>Technology and Information Systems</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Corporate Offices</w:t>
      </w:r>
    </w:p>
    <w:p>
      <w:pPr>
        <w:ind w:left="260"/>
        <w:spacing w:after="0"/>
        <w:rPr>
          <w:sz w:val="20"/>
          <w:szCs w:val="20"/>
          <w:color w:val="auto"/>
        </w:rPr>
      </w:pPr>
      <w:r>
        <w:rPr>
          <w:rFonts w:ascii="Courier New" w:cs="Courier New" w:eastAsia="Courier New" w:hAnsi="Courier New"/>
          <w:sz w:val="15"/>
          <w:szCs w:val="15"/>
          <w:color w:val="auto"/>
        </w:rPr>
        <w:t>66 B Street</w:t>
      </w:r>
    </w:p>
    <w:p>
      <w:pPr>
        <w:ind w:left="260"/>
        <w:spacing w:after="0"/>
        <w:tabs>
          <w:tab w:leader="none" w:pos="1380" w:val="left"/>
        </w:tabs>
        <w:rPr>
          <w:sz w:val="20"/>
          <w:szCs w:val="20"/>
          <w:color w:val="auto"/>
        </w:rPr>
      </w:pPr>
      <w:r>
        <w:rPr>
          <w:rFonts w:ascii="Courier New" w:cs="Courier New" w:eastAsia="Courier New" w:hAnsi="Courier New"/>
          <w:sz w:val="15"/>
          <w:szCs w:val="15"/>
          <w:color w:val="auto"/>
        </w:rPr>
        <w:t>Needham, MA</w:t>
      </w:r>
      <w:r>
        <w:rPr>
          <w:sz w:val="20"/>
          <w:szCs w:val="20"/>
          <w:color w:val="auto"/>
        </w:rPr>
        <w:tab/>
      </w:r>
      <w:r>
        <w:rPr>
          <w:rFonts w:ascii="Courier New" w:cs="Courier New" w:eastAsia="Courier New" w:hAnsi="Courier New"/>
          <w:sz w:val="14"/>
          <w:szCs w:val="14"/>
          <w:color w:val="auto"/>
        </w:rPr>
        <w:t>02494</w:t>
      </w:r>
    </w:p>
    <w:p>
      <w:pPr>
        <w:ind w:left="780" w:hanging="525"/>
        <w:spacing w:after="0" w:line="238" w:lineRule="auto"/>
        <w:tabs>
          <w:tab w:leader="none" w:pos="7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444-7222</w:t>
      </w:r>
    </w:p>
    <w:p>
      <w:pPr>
        <w:spacing w:after="0" w:line="16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Requests for financial information should be directed to the Investor Relations Department at the Company's headquarters: Designs, Inc., 66B Street, Needham, MA 02494, (781) 444-7222. A copy of the Company's Annual Report on Form 10-K for the fiscal year ended January 30, 1999, filed with the Securities and Exchange Commission, may be obtained without charge upon request to the Investor Relations Department.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 reporting dates for fiscal year 1999 quarterly earnings 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Quarter 1:</w:t>
            </w: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May 17, 1999</w:t>
            </w:r>
          </w:p>
        </w:tc>
      </w:tr>
      <w:tr>
        <w:trPr>
          <w:trHeight w:val="170"/>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Quarter 2:</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July 16,</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November</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15, 1999</w:t>
            </w:r>
          </w:p>
        </w:tc>
      </w:t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4 and fiscal year end:</w:t>
            </w: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20, 2000</w:t>
            </w:r>
          </w:p>
        </w:tc>
      </w:tr>
    </w:tbl>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2" w:right="1440" w:bottom="1440" w:gutter="0" w:footer="0" w:header="0"/>
        </w:sectPr>
      </w:pPr>
    </w:p>
    <w:bookmarkStart w:id="63" w:name="page64"/>
    <w:bookmarkEnd w:id="63"/>
    <w:p>
      <w:pPr>
        <w:ind w:left="10"/>
        <w:spacing w:after="0"/>
        <w:rPr>
          <w:sz w:val="20"/>
          <w:szCs w:val="20"/>
          <w:color w:val="auto"/>
        </w:rPr>
      </w:pPr>
      <w:r>
        <w:rPr>
          <w:rFonts w:ascii="Courier New" w:cs="Courier New" w:eastAsia="Courier New" w:hAnsi="Courier New"/>
          <w:sz w:val="15"/>
          <w:szCs w:val="15"/>
          <w:color w:val="auto"/>
        </w:rPr>
        <w:t>Transfer Agent and Registrar</w:t>
      </w:r>
    </w:p>
    <w:p>
      <w:pPr>
        <w:spacing w:after="0" w:line="175" w:lineRule="exact"/>
        <w:rPr>
          <w:sz w:val="20"/>
          <w:szCs w:val="20"/>
          <w:color w:val="auto"/>
        </w:rPr>
      </w:pPr>
    </w:p>
    <w:p>
      <w:pPr>
        <w:ind w:left="10" w:right="3259"/>
        <w:spacing w:after="0" w:line="235" w:lineRule="auto"/>
        <w:rPr>
          <w:sz w:val="20"/>
          <w:szCs w:val="20"/>
          <w:color w:val="auto"/>
        </w:rPr>
      </w:pPr>
      <w:r>
        <w:rPr>
          <w:rFonts w:ascii="Courier New" w:cs="Courier New" w:eastAsia="Courier New" w:hAnsi="Courier New"/>
          <w:sz w:val="15"/>
          <w:szCs w:val="15"/>
          <w:color w:val="auto"/>
        </w:rPr>
        <w:t>Inquiries regarding stock transfer requirements, address changes and lost stock certificates should be directed to:</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BankBoston</w:t>
      </w:r>
    </w:p>
    <w:p>
      <w:pPr>
        <w:ind w:left="10"/>
        <w:spacing w:after="0"/>
        <w:rPr>
          <w:sz w:val="20"/>
          <w:szCs w:val="20"/>
          <w:color w:val="auto"/>
        </w:rPr>
      </w:pPr>
      <w:r>
        <w:rPr>
          <w:rFonts w:ascii="Courier New" w:cs="Courier New" w:eastAsia="Courier New" w:hAnsi="Courier New"/>
          <w:sz w:val="15"/>
          <w:szCs w:val="15"/>
          <w:color w:val="auto"/>
        </w:rPr>
        <w:t>c/o Boston EquiServe Limited Partnership</w:t>
      </w:r>
    </w:p>
    <w:p>
      <w:pPr>
        <w:ind w:left="10"/>
        <w:spacing w:after="0"/>
        <w:rPr>
          <w:sz w:val="20"/>
          <w:szCs w:val="20"/>
          <w:color w:val="auto"/>
        </w:rPr>
      </w:pPr>
      <w:r>
        <w:rPr>
          <w:rFonts w:ascii="Courier New" w:cs="Courier New" w:eastAsia="Courier New" w:hAnsi="Courier New"/>
          <w:sz w:val="15"/>
          <w:szCs w:val="15"/>
          <w:color w:val="auto"/>
        </w:rPr>
        <w:t>P.O. Box 8040</w:t>
      </w:r>
    </w:p>
    <w:p>
      <w:pPr>
        <w:ind w:left="10"/>
        <w:spacing w:after="0"/>
        <w:tabs>
          <w:tab w:leader="none" w:pos="1029" w:val="left"/>
        </w:tabs>
        <w:rPr>
          <w:sz w:val="20"/>
          <w:szCs w:val="20"/>
          <w:color w:val="auto"/>
        </w:rPr>
      </w:pP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02266-8040</w:t>
      </w:r>
    </w:p>
    <w:p>
      <w:pPr>
        <w:spacing w:after="0" w:line="5" w:lineRule="exact"/>
        <w:rPr>
          <w:sz w:val="20"/>
          <w:szCs w:val="20"/>
          <w:color w:val="auto"/>
        </w:rPr>
      </w:pPr>
    </w:p>
    <w:p>
      <w:pPr>
        <w:ind w:left="10" w:right="8199" w:hanging="10"/>
        <w:spacing w:after="0" w:line="513" w:lineRule="auto"/>
        <w:tabs>
          <w:tab w:leader="none" w:pos="53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575-3120 Independent Accountants</w:t>
      </w:r>
    </w:p>
    <w:p>
      <w:pPr>
        <w:ind w:left="10"/>
        <w:spacing w:after="0" w:line="232" w:lineRule="auto"/>
        <w:rPr>
          <w:sz w:val="20"/>
          <w:szCs w:val="20"/>
          <w:color w:val="auto"/>
        </w:rPr>
      </w:pPr>
      <w:r>
        <w:rPr>
          <w:rFonts w:ascii="Courier New" w:cs="Courier New" w:eastAsia="Courier New" w:hAnsi="Courier New"/>
          <w:sz w:val="15"/>
          <w:szCs w:val="15"/>
          <w:color w:val="auto"/>
        </w:rPr>
        <w:t>Arthur Andersen LLP</w:t>
      </w:r>
    </w:p>
    <w:p>
      <w:pPr>
        <w:ind w:left="10"/>
        <w:spacing w:after="0"/>
        <w:rPr>
          <w:sz w:val="20"/>
          <w:szCs w:val="20"/>
          <w:color w:val="auto"/>
        </w:rPr>
      </w:pPr>
      <w:r>
        <w:rPr>
          <w:rFonts w:ascii="Courier New" w:cs="Courier New" w:eastAsia="Courier New" w:hAnsi="Courier New"/>
          <w:sz w:val="15"/>
          <w:szCs w:val="15"/>
          <w:color w:val="auto"/>
        </w:rPr>
        <w:t>Boston, Massachusetts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Trademarks</w:t>
      </w:r>
    </w:p>
    <w:p>
      <w:pPr>
        <w:spacing w:after="0" w:line="175" w:lineRule="exact"/>
        <w:rPr>
          <w:sz w:val="20"/>
          <w:szCs w:val="20"/>
          <w:color w:val="auto"/>
        </w:rPr>
      </w:pPr>
    </w:p>
    <w:p>
      <w:pPr>
        <w:ind w:left="10" w:right="3879"/>
        <w:spacing w:after="0" w:line="235" w:lineRule="auto"/>
        <w:rPr>
          <w:sz w:val="20"/>
          <w:szCs w:val="20"/>
          <w:color w:val="auto"/>
        </w:rPr>
      </w:pPr>
      <w:r>
        <w:rPr>
          <w:rFonts w:ascii="Courier New" w:cs="Courier New" w:eastAsia="Courier New" w:hAnsi="Courier New"/>
          <w:sz w:val="15"/>
          <w:szCs w:val="15"/>
          <w:color w:val="auto"/>
        </w:rPr>
        <w:t>Boston Trading Co.(R) and Boston Traders(R) are registered trademarks of Designs, Inc.</w:t>
      </w:r>
    </w:p>
    <w:p>
      <w:pPr>
        <w:spacing w:after="0" w:line="176"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Levi's(R), Dockers(R) and Slates(R) are registered trademarks, and Original Levi's Store(R) is a trademark, of Levi Strauss &amp; Co.</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Buffalo Jeans(R) is a registered trademark of Buffalo DeFrance</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9"/>
          </w:cols>
          <w:pgMar w:left="230" w:top="622" w:right="1440" w:bottom="1440" w:gutter="0" w:footer="0" w:header="0"/>
        </w:sectPr>
      </w:pPr>
    </w:p>
    <w:bookmarkStart w:id="64" w:name="page65"/>
    <w:bookmarkEnd w:id="64"/>
    <w:p>
      <w:pPr>
        <w:ind w:left="3260"/>
        <w:spacing w:after="0"/>
        <w:rPr>
          <w:sz w:val="20"/>
          <w:szCs w:val="20"/>
          <w:color w:val="auto"/>
        </w:rPr>
      </w:pPr>
      <w:r>
        <w:rPr>
          <w:rFonts w:ascii="Courier New" w:cs="Courier New" w:eastAsia="Courier New" w:hAnsi="Courier New"/>
          <w:sz w:val="15"/>
          <w:szCs w:val="15"/>
          <w:color w:val="auto"/>
        </w:rPr>
        <w:t>BY-LAWS</w:t>
      </w:r>
    </w:p>
    <w:p>
      <w:pPr>
        <w:ind w:left="3420"/>
        <w:spacing w:after="0"/>
        <w:rPr>
          <w:sz w:val="20"/>
          <w:szCs w:val="20"/>
          <w:color w:val="auto"/>
        </w:rPr>
      </w:pPr>
      <w:r>
        <w:rPr>
          <w:rFonts w:ascii="Courier New" w:cs="Courier New" w:eastAsia="Courier New" w:hAnsi="Courier New"/>
          <w:sz w:val="15"/>
          <w:szCs w:val="15"/>
          <w:color w:val="auto"/>
        </w:rPr>
        <w:t>OF</w:t>
      </w:r>
    </w:p>
    <w:p>
      <w:pPr>
        <w:ind w:left="2980"/>
        <w:spacing w:after="0"/>
        <w:rPr>
          <w:sz w:val="20"/>
          <w:szCs w:val="20"/>
          <w:color w:val="auto"/>
        </w:rPr>
      </w:pPr>
      <w:r>
        <w:rPr>
          <w:rFonts w:ascii="Courier New" w:cs="Courier New" w:eastAsia="Courier New" w:hAnsi="Courier New"/>
          <w:sz w:val="15"/>
          <w:szCs w:val="15"/>
          <w:color w:val="auto"/>
        </w:rPr>
        <w:t>DESIGNS, INC.</w:t>
      </w:r>
    </w:p>
    <w:p>
      <w:pPr>
        <w:spacing w:after="0" w:line="16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 CERTIFICATE OF INCORPORATION AND BY-LAWS</w:t>
      </w:r>
    </w:p>
    <w:p>
      <w:pPr>
        <w:spacing w:after="0" w:line="175"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1.1 These By-Laws are subject to the Certificate of Incorporation of the Corporation. In these By-Laws, references to the Certificate of Incorporation and By-Laws mean the provisions of the Certificate of Incorporation and the By-Laws as are from time to time in effect.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2. OFFICES</w:t>
      </w:r>
    </w:p>
    <w:p>
      <w:pPr>
        <w:spacing w:after="0" w:line="175" w:lineRule="exact"/>
        <w:rPr>
          <w:sz w:val="20"/>
          <w:szCs w:val="20"/>
          <w:color w:val="auto"/>
        </w:rPr>
      </w:pPr>
    </w:p>
    <w:p>
      <w:pPr>
        <w:ind w:right="3699" w:firstLine="529"/>
        <w:spacing w:after="0" w:line="235" w:lineRule="auto"/>
        <w:rPr>
          <w:sz w:val="20"/>
          <w:szCs w:val="20"/>
          <w:color w:val="auto"/>
        </w:rPr>
      </w:pPr>
      <w:r>
        <w:rPr>
          <w:rFonts w:ascii="Courier New" w:cs="Courier New" w:eastAsia="Courier New" w:hAnsi="Courier New"/>
          <w:sz w:val="15"/>
          <w:szCs w:val="15"/>
          <w:color w:val="auto"/>
        </w:rPr>
        <w:t>2.1 Registered Office. The registered office shall be in the City of Wilmington, County of New Castle, State of Delaware.</w:t>
      </w:r>
    </w:p>
    <w:p>
      <w:pPr>
        <w:spacing w:after="0" w:line="176" w:lineRule="exact"/>
        <w:rPr>
          <w:sz w:val="20"/>
          <w:szCs w:val="20"/>
          <w:color w:val="auto"/>
        </w:rPr>
      </w:pPr>
    </w:p>
    <w:p>
      <w:pPr>
        <w:ind w:right="3259" w:firstLine="529"/>
        <w:spacing w:after="0" w:line="260" w:lineRule="auto"/>
        <w:rPr>
          <w:sz w:val="20"/>
          <w:szCs w:val="20"/>
          <w:color w:val="auto"/>
        </w:rPr>
      </w:pPr>
      <w:r>
        <w:rPr>
          <w:rFonts w:ascii="Courier New" w:cs="Courier New" w:eastAsia="Courier New" w:hAnsi="Courier New"/>
          <w:sz w:val="14"/>
          <w:szCs w:val="14"/>
          <w:color w:val="auto"/>
        </w:rPr>
        <w:t>2.2 Other Offices. The Corporation may also have offices at such other places both within and without the State of Delaware as the Board of Directors may from time to time determine or the business of the Corporation may require.</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3. STOCKHOLDERS</w:t>
      </w:r>
    </w:p>
    <w:p>
      <w:pPr>
        <w:spacing w:after="0" w:line="175" w:lineRule="exact"/>
        <w:rPr>
          <w:sz w:val="20"/>
          <w:szCs w:val="20"/>
          <w:color w:val="auto"/>
        </w:rPr>
      </w:pPr>
    </w:p>
    <w:p>
      <w:pPr>
        <w:ind w:right="3179" w:firstLine="529"/>
        <w:spacing w:after="0" w:line="259" w:lineRule="auto"/>
        <w:rPr>
          <w:sz w:val="20"/>
          <w:szCs w:val="20"/>
          <w:color w:val="auto"/>
        </w:rPr>
      </w:pPr>
      <w:r>
        <w:rPr>
          <w:rFonts w:ascii="Courier New" w:cs="Courier New" w:eastAsia="Courier New" w:hAnsi="Courier New"/>
          <w:sz w:val="14"/>
          <w:szCs w:val="14"/>
          <w:color w:val="auto"/>
        </w:rPr>
        <w:t>3.1 Location of Meetings.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163"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3.2 Annual Meeting. The annual meeting of stockholders shall be held for the election of directors on the second Tuesday in June in each year, unless that day be a legal holiday at the place where the meeting is to be held, in which case the meeting shall be held at the same hour on the next succeeding day not a legal holiday, or at such other date and time as shall be designated from time to time by the Board of Directors. Any other business as may be required or permitted by law or these By-Laws may properly come before the annual meeting.</w:t>
      </w:r>
    </w:p>
    <w:p>
      <w:pPr>
        <w:spacing w:after="0" w:line="167"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3.3 Special Meeting in Place of Annual Meeting. If the election for directors shall not be held on the day designated by these By-Laws, the directors shall cause the election to be held as soon thereafter as convenient, and to that end, if the annual meeting is omitted on the day herein provided therefor or if the election of directors shall not be held thereat, a special meeting of the stockholders may be held in place of such omitted meeting or election, and any business transacted or election held at such special meeting shall have the same effect as if transacted or held at the annual meeting, and in such case all references in these By-Laws to the annual meeting of the stockholders, or to the annual election of directors, shall be deemed to refer to or include such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meeting. Any such special meeting shall be called and the purposes thereof shall be specified in the call, as provided in Section 3.4.</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3.4 Notice of Annual Meeting.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81"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3.5 Special Meetings.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3.6 Notice of Special Meeting.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81"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3.7 Stockholder List.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ectPr>
          <w:pgSz w:w="11900" w:h="16838" w:orient="portrait"/>
          <w:cols w:equalWidth="0" w:num="1">
            <w:col w:w="10219"/>
          </w:cols>
          <w:pgMar w:left="240" w:top="136" w:right="1440" w:bottom="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3.8 Quorum of Stockholders. The holders of a majority of the</w:t>
      </w:r>
    </w:p>
    <w:p>
      <w:pPr>
        <w:sectPr>
          <w:pgSz w:w="11900" w:h="16838" w:orient="portrait"/>
          <w:cols w:equalWidth="0" w:num="1">
            <w:col w:w="9699"/>
          </w:cols>
          <w:pgMar w:left="760" w:top="142" w:right="1440" w:bottom="1440" w:gutter="0" w:footer="0" w:header="0"/>
        </w:sectPr>
      </w:pPr>
    </w:p>
    <w:p>
      <w:pPr>
        <w:spacing w:after="0" w:line="35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699"/>
          </w:cols>
          <w:pgMar w:left="760" w:top="142" w:right="1440" w:bottom="1440" w:gutter="0" w:footer="0" w:header="0"/>
          <w:type w:val="continuous"/>
        </w:sectPr>
      </w:pPr>
    </w:p>
    <w:bookmarkStart w:id="66" w:name="page67"/>
    <w:bookmarkEnd w:id="66"/>
    <w:p>
      <w:pPr>
        <w:ind w:right="3259"/>
        <w:spacing w:after="0" w:line="258" w:lineRule="auto"/>
        <w:rPr>
          <w:sz w:val="20"/>
          <w:szCs w:val="20"/>
          <w:color w:val="auto"/>
        </w:rPr>
      </w:pPr>
      <w:r>
        <w:rPr>
          <w:rFonts w:ascii="Courier New" w:cs="Courier New" w:eastAsia="Courier New" w:hAnsi="Courier New"/>
          <w:sz w:val="14"/>
          <w:szCs w:val="14"/>
          <w:color w:val="auto"/>
        </w:rPr>
        <w:t>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shares from the quorum count by declaring his shares absent from the meeting.</w:t>
      </w:r>
    </w:p>
    <w:p>
      <w:pPr>
        <w:spacing w:after="0" w:line="16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3.9 Adjournment. Any meeting of stockholders may be adjourned from time to time to any other time and to any other place at which a meeting of stockholders may be held under these By-Laws, which time and place shall be announced at the meeting, by a majority of votes cast upon the question, whether or not a quorum is present. At such adjourned meeting at which a quorum shall be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0"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3.10 Proxy Representation.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3.11 Inspectors. The directors or the person presiding at the meeting may, but need not,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7" w:right="1440" w:bottom="1440" w:gutter="0" w:footer="0" w:header="0"/>
        </w:sectPr>
      </w:pPr>
    </w:p>
    <w:bookmarkStart w:id="67" w:name="page68"/>
    <w:bookmarkEnd w:id="67"/>
    <w:p>
      <w:pPr>
        <w:ind w:right="3179"/>
        <w:spacing w:after="0" w:line="257" w:lineRule="auto"/>
        <w:rPr>
          <w:sz w:val="20"/>
          <w:szCs w:val="20"/>
          <w:color w:val="auto"/>
        </w:rPr>
      </w:pPr>
      <w:r>
        <w:rPr>
          <w:rFonts w:ascii="Courier New" w:cs="Courier New" w:eastAsia="Courier New" w:hAnsi="Courier New"/>
          <w:sz w:val="14"/>
          <w:szCs w:val="14"/>
          <w:color w:val="auto"/>
        </w:rPr>
        <w:t>the number of shares of stock outstanding and the voting power of each, the shares of stock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16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3.12 Action by Vote. When a quorum is present at any meeting, whether the same be an original or an adjourned session,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78"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3.13 Action Without Meetings.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16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3.14 Matters to be Considered at Annual Meetings. At any annual meeting of stockholders or any special meeting in lieu of annual meeting of stockholders (for purposes of this Section 3.14 and Section 4.16 hereof, hereinafter referred to as an "Annual Meeting"), only such business shall be conducted, and only such proposals shall be acted upon, as shall have been properly brought before such Annual Meeting.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3.14.</w:t>
      </w:r>
    </w:p>
    <w:p>
      <w:pPr>
        <w:spacing w:after="0" w:line="3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68" w:name="page69"/>
    <w:bookmarkEnd w:id="68"/>
    <w:p>
      <w:pPr>
        <w:ind w:right="3179" w:firstLine="529"/>
        <w:spacing w:after="0" w:line="239" w:lineRule="auto"/>
        <w:rPr>
          <w:sz w:val="20"/>
          <w:szCs w:val="20"/>
          <w:color w:val="auto"/>
        </w:rPr>
      </w:pPr>
      <w:r>
        <w:rPr>
          <w:rFonts w:ascii="Courier New" w:cs="Courier New" w:eastAsia="Courier New" w:hAnsi="Courier New"/>
          <w:sz w:val="15"/>
          <w:szCs w:val="15"/>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3.14 to the Secretary of the Corporation and (ii) be present at such Annual Meeting, either in person or by a representative. A stockholder's notice shall be timely if delivered to, or mailed to and received by, the Corporation at its principal executive office not less than seventy-five days nor more than one hundred twenty days prior to the anniversary date of the immediately preceding Annual Meeting (for purposes of this Section 3.14 and Section 4.16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at its principal executive office not later than the close of business on the later of (A) the seventy-fifth day prior to the scheduled date of such Annual Meeting or (B) the fifteenth day following the day on which public announcement of the date of such Annual Meeting is first made by the Corporation.</w:t>
      </w:r>
    </w:p>
    <w:p>
      <w:pPr>
        <w:spacing w:after="0" w:line="175"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For purposes of these By-Laws, "public announcement" shall mean: (i) disclosure in a press release reported by the Dow Jones News Service, Associated Press or comparable national news service, (ii) a report or other document filed publicly with the Securities and Exchange Commission (including, without limitation, a Form 8-K), or (iii) a letter or report sent to all stockholders of record of the Corporation at the time of the mailing of such letter or report.</w:t>
      </w:r>
    </w:p>
    <w:p>
      <w:pPr>
        <w:spacing w:after="0" w:line="164"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A stockholder's notice to the Secretary shall set forth as to each matter proposed to be brought before an Annual Meeting: (i) a brief description of the business the stockholder desires to bring before such Annual Meeting and the reasons for conducting such business at such Annual Meeting, (ii) the name and address, as they appear on the Corporation's stock transfer books, of the stockholder proposing such business, (iii) the class and number of shares of the Corporation' s capital stock beneficially owned by the stockholder proposing such business, (iv) the names and addresses of the beneficial owners, if any, of any capital stock of the Corporation registered in such stockholder's name on such books, and the class and number of shares of the Corporation's capital stock beneficially owned by such beneficial owners, (v) the names and addresses of other stockholders known by the stockholder proposing such business to support such proposal, and the class and number of shares of the Corporation's capital stock beneficially owned by such other stockholders, and (vi) any material interest of the stockholder proposing to bring such business before such meeting (or any other stockholders known to be supporting such proposal) in such proposal.</w:t>
      </w:r>
    </w:p>
    <w:p>
      <w:pPr>
        <w:spacing w:after="0" w:line="18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If the Board of Directors or a designated committee thereof</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69" w:name="page70"/>
    <w:bookmarkEnd w:id="69"/>
    <w:p>
      <w:pPr>
        <w:ind w:right="3179"/>
        <w:spacing w:after="0" w:line="239" w:lineRule="auto"/>
        <w:rPr>
          <w:sz w:val="20"/>
          <w:szCs w:val="20"/>
          <w:color w:val="auto"/>
        </w:rPr>
      </w:pPr>
      <w:r>
        <w:rPr>
          <w:rFonts w:ascii="Courier New" w:cs="Courier New" w:eastAsia="Courier New" w:hAnsi="Courier New"/>
          <w:sz w:val="15"/>
          <w:szCs w:val="15"/>
          <w:color w:val="auto"/>
        </w:rPr>
        <w:t>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proposal was made in accordance with the terms of this Section 3.14. If the presiding officer determines that any stockholder proposal was not made in a timely fashion in accordance with the provisions of this Section 3.14 or that the information provided in a stockholders notice does not satisfy the information requirements of this Section 3.14 in any material respect, such proposal shall not be presented for action at the Annual Meeting in question. If the Board of Directors, a designated committee thereof or the presiding officer determines that a stockholder proposal was made in accordance with the requirements of this Section 3.14, the presiding officer shall so declare at the Annual Meeting and ballots shall be provided for use at the Annual Meeting with respect to such proposal.</w:t>
      </w:r>
    </w:p>
    <w:p>
      <w:pPr>
        <w:spacing w:after="0" w:line="175"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Notwithstanding the foregoing provisions of this Section 3.14, a stockholder shall also comply with all applicable requirements of the Securities Exchange Act of 1934, as amended (the "Exchange Act"), and the rules and regulations thereunder with respect to the matters set forth in this Section</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3.14, and nothing in this Section 3.14 shall be deemed to affect any rights of stockholders to request inclusion of proposals in the Corporation' s proxy statement pursuant to Rule 14a-8 under the Exchange Act.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4. DIRECTORS</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4.1 Number; Qualifications. The Board of Directors shall consist of one or more members, the number thereof to be determined from time to time by resolution of the Board of Directors. Directors need not be stockholders.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4.2 Election; Vacancies. The Board of Directors shall initially consist of persons elected as such by the incorporator. At the first annual meeting of stockholders and at each annual meeting thereafter, the stockholders shall elect directors to replace those directors whose terms then expire. Vacancies and any newly created directorships resulting from any increase in the number of directors may be filled by vote of the stockholders at a meeting called for the purpose, or by a majority of the directors then in office, although less than a quorum, or by a sole remaining director. When one or more directors shall resign from the Board,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w:t>
      </w:r>
    </w:p>
    <w:p>
      <w:pPr>
        <w:spacing w:after="0" w:line="3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7" w:right="1440" w:bottom="1440" w:gutter="0" w:footer="0" w:header="0"/>
        </w:sectPr>
      </w:pPr>
    </w:p>
    <w:bookmarkStart w:id="70" w:name="page71"/>
    <w:bookmarkEnd w:id="70"/>
    <w:p>
      <w:pPr>
        <w:ind w:right="3179"/>
        <w:spacing w:after="0" w:line="237" w:lineRule="auto"/>
        <w:rPr>
          <w:sz w:val="20"/>
          <w:szCs w:val="20"/>
          <w:color w:val="auto"/>
        </w:rPr>
      </w:pPr>
      <w:r>
        <w:rPr>
          <w:rFonts w:ascii="Courier New" w:cs="Courier New" w:eastAsia="Courier New" w:hAnsi="Courier New"/>
          <w:sz w:val="15"/>
          <w:szCs w:val="15"/>
          <w:color w:val="auto"/>
        </w:rPr>
        <w:t>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76" w:lineRule="exact"/>
        <w:rPr>
          <w:sz w:val="20"/>
          <w:szCs w:val="20"/>
          <w:color w:val="auto"/>
        </w:rPr>
      </w:pPr>
    </w:p>
    <w:p>
      <w:pPr>
        <w:ind w:right="3359" w:firstLine="529"/>
        <w:spacing w:after="0" w:line="237" w:lineRule="auto"/>
        <w:rPr>
          <w:sz w:val="20"/>
          <w:szCs w:val="20"/>
          <w:color w:val="auto"/>
        </w:rPr>
      </w:pPr>
      <w:r>
        <w:rPr>
          <w:rFonts w:ascii="Courier New" w:cs="Courier New" w:eastAsia="Courier New" w:hAnsi="Courier New"/>
          <w:sz w:val="15"/>
          <w:szCs w:val="15"/>
          <w:color w:val="auto"/>
        </w:rPr>
        <w:t>4.3 Tenure.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176"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4.4 Powers. The business of the Corporation shall be managed by or under the direction of the Board of Directors which shall have and may exercise all the powers of the Corporation and do all such lawful acts and things as are not by law, the Certificate of Incorporation or these By-Laws directed or required to be exercised or done by the stockholders.</w:t>
      </w:r>
    </w:p>
    <w:p>
      <w:pPr>
        <w:spacing w:after="0" w:line="178" w:lineRule="exact"/>
        <w:rPr>
          <w:sz w:val="20"/>
          <w:szCs w:val="20"/>
          <w:color w:val="auto"/>
        </w:rPr>
      </w:pPr>
    </w:p>
    <w:p>
      <w:pPr>
        <w:ind w:right="3179" w:firstLine="529"/>
        <w:spacing w:after="0" w:line="256" w:lineRule="auto"/>
        <w:rPr>
          <w:sz w:val="20"/>
          <w:szCs w:val="20"/>
          <w:color w:val="auto"/>
        </w:rPr>
      </w:pPr>
      <w:r>
        <w:rPr>
          <w:rFonts w:ascii="Courier New" w:cs="Courier New" w:eastAsia="Courier New" w:hAnsi="Courier New"/>
          <w:sz w:val="14"/>
          <w:szCs w:val="14"/>
          <w:color w:val="auto"/>
        </w:rPr>
        <w:t>4.5 Committees.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346" w:lineRule="exact"/>
        <w:rPr>
          <w:sz w:val="20"/>
          <w:szCs w:val="20"/>
          <w:color w:val="auto"/>
        </w:rPr>
      </w:pPr>
    </w:p>
    <w:p>
      <w:pPr>
        <w:ind w:right="3539" w:firstLine="529"/>
        <w:spacing w:after="0" w:line="238" w:lineRule="auto"/>
        <w:rPr>
          <w:sz w:val="20"/>
          <w:szCs w:val="20"/>
          <w:color w:val="auto"/>
        </w:rPr>
      </w:pPr>
      <w:r>
        <w:rPr>
          <w:rFonts w:ascii="Courier New" w:cs="Courier New" w:eastAsia="Courier New" w:hAnsi="Courier New"/>
          <w:sz w:val="15"/>
          <w:szCs w:val="15"/>
          <w:color w:val="auto"/>
        </w:rPr>
        <w:t>4.6 Regular Meeting. Regular meetings of the Board of Directors may be held without call or notice at such place within or without the State of Delaware and at such times as the Board may from time to time determine, provided that notice of the first regular meeting following any such determination shall be given to absent directors. A regular meeting of the directors may be held without</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71" w:name="page72"/>
    <w:bookmarkEnd w:id="71"/>
    <w:p>
      <w:pPr>
        <w:ind w:right="3259"/>
        <w:spacing w:after="0" w:line="235" w:lineRule="auto"/>
        <w:rPr>
          <w:sz w:val="20"/>
          <w:szCs w:val="20"/>
          <w:color w:val="auto"/>
        </w:rPr>
      </w:pPr>
      <w:r>
        <w:rPr>
          <w:rFonts w:ascii="Courier New" w:cs="Courier New" w:eastAsia="Courier New" w:hAnsi="Courier New"/>
          <w:sz w:val="15"/>
          <w:szCs w:val="15"/>
          <w:color w:val="auto"/>
        </w:rPr>
        <w:t>call or notice immediately after and at the same place as the annual meeting of the stockholders.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4.7 Special Meetings. Special meetings of the Board of Directors may be held at any time and at any place within or without the State of Delaware designed in the notice of the meeting, and may be called only by the Secretary upon the request of persons constituting a majority of the Special Committee of the Board of directors formed by resolution adopted by the Board of Directors on December 1, 1998, reasonable notice thereof being given to each director by the Secretary or any member of such Special Committee.</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4.8 Notice. It shall be reasonable and sufficient notice to a director to send notice by mail at least forty-eight hours or by telegram at least twenty-four hours before the meeting, addressed to him at his usual or last known business or residence address or to give notice to him in person or by telephone at least twenty-four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80"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4.9 Quorum.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67" w:lineRule="exact"/>
        <w:rPr>
          <w:sz w:val="20"/>
          <w:szCs w:val="20"/>
          <w:color w:val="auto"/>
        </w:rPr>
      </w:pPr>
    </w:p>
    <w:p>
      <w:pPr>
        <w:ind w:right="3259" w:firstLine="529"/>
        <w:spacing w:after="0" w:line="237" w:lineRule="auto"/>
        <w:rPr>
          <w:sz w:val="20"/>
          <w:szCs w:val="20"/>
          <w:color w:val="auto"/>
        </w:rPr>
      </w:pPr>
      <w:r>
        <w:rPr>
          <w:rFonts w:ascii="Courier New" w:cs="Courier New" w:eastAsia="Courier New" w:hAnsi="Courier New"/>
          <w:sz w:val="15"/>
          <w:szCs w:val="15"/>
          <w:color w:val="auto"/>
        </w:rPr>
        <w:t>4.10 Action by Vote. Except as may be otherwise provided by law, by the Certificate of Incorporation or by these By-Laws, when a quorum is present at any meeting the vote of a majority of the directors present shall be the act of the Board of Directors.</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4.11 Action Without a Meeting. Unless otherwise restricted by the Certificate of Incorporation or these By-Laws, any action required or permitted to be taken at any meeting of the Board of Directors or of any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w:t>
      </w:r>
    </w:p>
    <w:p>
      <w:pPr>
        <w:spacing w:after="0" w:line="178" w:lineRule="exact"/>
        <w:rPr>
          <w:sz w:val="20"/>
          <w:szCs w:val="20"/>
          <w:color w:val="auto"/>
        </w:rPr>
      </w:pPr>
    </w:p>
    <w:p>
      <w:pPr>
        <w:ind w:right="3359" w:firstLine="529"/>
        <w:spacing w:after="0" w:line="235" w:lineRule="auto"/>
        <w:rPr>
          <w:sz w:val="20"/>
          <w:szCs w:val="20"/>
          <w:color w:val="auto"/>
        </w:rPr>
      </w:pPr>
      <w:r>
        <w:rPr>
          <w:rFonts w:ascii="Courier New" w:cs="Courier New" w:eastAsia="Courier New" w:hAnsi="Courier New"/>
          <w:sz w:val="15"/>
          <w:szCs w:val="15"/>
          <w:color w:val="auto"/>
        </w:rPr>
        <w:t>4.12 Participation in Meetings by Conference Telephone. Unless otherwise restricted by the Certificate of Incorporation or these By-</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7" w:right="1440" w:bottom="1440" w:gutter="0" w:footer="0" w:header="0"/>
        </w:sectPr>
      </w:pPr>
    </w:p>
    <w:bookmarkStart w:id="72" w:name="page73"/>
    <w:bookmarkEnd w:id="72"/>
    <w:p>
      <w:pPr>
        <w:ind w:right="3619"/>
        <w:spacing w:after="0" w:line="237" w:lineRule="auto"/>
        <w:rPr>
          <w:sz w:val="20"/>
          <w:szCs w:val="20"/>
          <w:color w:val="auto"/>
        </w:rPr>
      </w:pPr>
      <w:r>
        <w:rPr>
          <w:rFonts w:ascii="Courier New" w:cs="Courier New" w:eastAsia="Courier New" w:hAnsi="Courier New"/>
          <w:sz w:val="15"/>
          <w:szCs w:val="15"/>
          <w:color w:val="auto"/>
        </w:rPr>
        <w:t>Laws, members of the Board of Directors or of any committee thereof, may participate in a meeting of such Board or committee by means of conference telephone or similar communications equipment by means of which all persons participating in the meeting can hear each other. Such participation shall constitute presence in person at such meeting.</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4.13 Compensation.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4.14 Interested Directors and Officers.</w:t>
      </w:r>
    </w:p>
    <w:p>
      <w:pPr>
        <w:spacing w:after="0" w:line="175" w:lineRule="exact"/>
        <w:rPr>
          <w:sz w:val="20"/>
          <w:szCs w:val="20"/>
          <w:color w:val="auto"/>
        </w:rPr>
      </w:pPr>
    </w:p>
    <w:p>
      <w:pPr>
        <w:ind w:right="3259" w:firstLine="1048"/>
        <w:spacing w:after="0" w:line="238" w:lineRule="auto"/>
        <w:tabs>
          <w:tab w:leader="none" w:pos="141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78" w:lineRule="exact"/>
        <w:rPr>
          <w:rFonts w:ascii="Courier New" w:cs="Courier New" w:eastAsia="Courier New" w:hAnsi="Courier New"/>
          <w:sz w:val="15"/>
          <w:szCs w:val="15"/>
          <w:color w:val="auto"/>
        </w:rPr>
      </w:pPr>
    </w:p>
    <w:p>
      <w:pPr>
        <w:ind w:right="3259" w:firstLine="1577"/>
        <w:spacing w:after="0" w:line="238" w:lineRule="auto"/>
        <w:tabs>
          <w:tab w:leader="none" w:pos="193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75" w:lineRule="exact"/>
        <w:rPr>
          <w:rFonts w:ascii="Courier New" w:cs="Courier New" w:eastAsia="Courier New" w:hAnsi="Courier New"/>
          <w:sz w:val="15"/>
          <w:szCs w:val="15"/>
          <w:color w:val="auto"/>
        </w:rPr>
      </w:pPr>
    </w:p>
    <w:p>
      <w:pPr>
        <w:ind w:right="3179" w:firstLine="1577"/>
        <w:spacing w:after="0" w:line="237" w:lineRule="auto"/>
        <w:tabs>
          <w:tab w:leader="none" w:pos="193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76" w:lineRule="exact"/>
        <w:rPr>
          <w:rFonts w:ascii="Courier New" w:cs="Courier New" w:eastAsia="Courier New" w:hAnsi="Courier New"/>
          <w:sz w:val="15"/>
          <w:szCs w:val="15"/>
          <w:color w:val="auto"/>
        </w:rPr>
      </w:pPr>
    </w:p>
    <w:p>
      <w:pPr>
        <w:ind w:right="3259" w:firstLine="1577"/>
        <w:spacing w:after="0" w:line="237" w:lineRule="auto"/>
        <w:tabs>
          <w:tab w:leader="none" w:pos="1939"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 fair as to the Corporation as of the time it is authorized, approved or ratified, by the Board of Directors, a committee thereof, or the stockholders.</w:t>
      </w:r>
    </w:p>
    <w:p>
      <w:pPr>
        <w:spacing w:after="0" w:line="169" w:lineRule="exact"/>
        <w:rPr>
          <w:rFonts w:ascii="Courier New" w:cs="Courier New" w:eastAsia="Courier New" w:hAnsi="Courier New"/>
          <w:sz w:val="15"/>
          <w:szCs w:val="15"/>
          <w:color w:val="auto"/>
        </w:rPr>
      </w:pPr>
    </w:p>
    <w:p>
      <w:pPr>
        <w:ind w:left="1400" w:hanging="352"/>
        <w:spacing w:after="0"/>
        <w:tabs>
          <w:tab w:leader="none" w:pos="14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or interested directors may be counted in</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73" w:name="page74"/>
    <w:bookmarkEnd w:id="73"/>
    <w:p>
      <w:pPr>
        <w:ind w:right="3359"/>
        <w:spacing w:after="0" w:line="235" w:lineRule="auto"/>
        <w:rPr>
          <w:sz w:val="20"/>
          <w:szCs w:val="20"/>
          <w:color w:val="auto"/>
        </w:rPr>
      </w:pPr>
      <w:r>
        <w:rPr>
          <w:rFonts w:ascii="Courier New" w:cs="Courier New" w:eastAsia="Courier New" w:hAnsi="Courier New"/>
          <w:sz w:val="15"/>
          <w:szCs w:val="15"/>
          <w:color w:val="auto"/>
        </w:rPr>
        <w:t>determining the presence of a quorum at a meeting of the Board of Directors or of a committee which authorizes the contract or transaction.</w:t>
      </w:r>
    </w:p>
    <w:p>
      <w:pPr>
        <w:spacing w:after="0" w:line="176"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4.15 Resignation or Removal of Directors.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87"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4.16 Director Nominations. 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4.16. Any stockholder who has complied with the timing, informational and other requirements set forth in this Section 4.16 and who seeks to make such a nomination, or such stockholder's representative, must be present in person at the Annual Meeting. Only persons nominated in accordance with the procedures set forth in this Section 4.16 shall be eligible for election as directors at an Annual Meeting.</w:t>
      </w:r>
    </w:p>
    <w:p>
      <w:pPr>
        <w:spacing w:after="0" w:line="16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Nominations, other than those made by, or at the direction of, the Board of Directors, shall be made pursuant to timely notice in writing to the Secretary of the Corporation as set forth in this Section 4.16. A stockholder's notice shall be timely if delivered to, or mailed to and received by, the Corporation at its principal executive office not less than seventy-five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at its principal executive office not later than the close of business on</w:t>
      </w:r>
    </w:p>
    <w:p>
      <w:pPr>
        <w:spacing w:after="0" w:line="3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7" w:right="1440" w:bottom="1440" w:gutter="0" w:footer="0" w:header="0"/>
        </w:sectPr>
      </w:pPr>
    </w:p>
    <w:bookmarkStart w:id="74" w:name="page75"/>
    <w:bookmarkEnd w:id="74"/>
    <w:p>
      <w:pPr>
        <w:ind w:left="10" w:right="3699"/>
        <w:spacing w:after="0" w:line="237" w:lineRule="auto"/>
        <w:rPr>
          <w:sz w:val="20"/>
          <w:szCs w:val="20"/>
          <w:color w:val="auto"/>
        </w:rPr>
      </w:pPr>
      <w:r>
        <w:rPr>
          <w:rFonts w:ascii="Courier New" w:cs="Courier New" w:eastAsia="Courier New" w:hAnsi="Courier New"/>
          <w:sz w:val="15"/>
          <w:szCs w:val="15"/>
          <w:color w:val="auto"/>
        </w:rPr>
        <w:t>the later of (i) the seventy-fifth day prior to the scheduled date of such Annual Meeting or (ii) the fifteenth day following the day on which public announcement of the date of such Annual Meeting is first made by the Corporation.</w:t>
      </w:r>
    </w:p>
    <w:p>
      <w:pPr>
        <w:spacing w:after="0" w:line="176" w:lineRule="exact"/>
        <w:rPr>
          <w:sz w:val="20"/>
          <w:szCs w:val="20"/>
          <w:color w:val="auto"/>
        </w:rPr>
      </w:pPr>
    </w:p>
    <w:p>
      <w:pPr>
        <w:ind w:left="10" w:right="3259" w:firstLine="529"/>
        <w:spacing w:after="0" w:line="256" w:lineRule="auto"/>
        <w:rPr>
          <w:sz w:val="20"/>
          <w:szCs w:val="20"/>
          <w:color w:val="auto"/>
        </w:rPr>
      </w:pPr>
      <w:r>
        <w:rPr>
          <w:rFonts w:ascii="Courier New" w:cs="Courier New" w:eastAsia="Courier New" w:hAnsi="Courier New"/>
          <w:sz w:val="14"/>
          <w:szCs w:val="14"/>
          <w:color w:val="auto"/>
        </w:rPr>
        <w:t>A stockholder's notice to the Secretary shall set forth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 s capital stock which are beneficially owned by such person on the date of such stockholder notice, and</w:t>
      </w:r>
    </w:p>
    <w:p>
      <w:pPr>
        <w:spacing w:after="0" w:line="2" w:lineRule="exact"/>
        <w:rPr>
          <w:sz w:val="20"/>
          <w:szCs w:val="20"/>
          <w:color w:val="auto"/>
        </w:rPr>
      </w:pPr>
    </w:p>
    <w:p>
      <w:pPr>
        <w:ind w:left="10" w:right="3179" w:hanging="10"/>
        <w:spacing w:after="0" w:line="238"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each nominee to serve as a director if elected. A stockholder' s notice to the Secretary shall further set forth as to the stockholder giving such notice: (i) the name and address, as the appear on the Corporation's stock transfer books, of such stockholder and of the beneficial owners (if any) of the Corporation's capital stock registered in such stockholder' s name and the name and address of other stockholders known by such stockholder to be supporting such nominee(s), (ii) the class and number of shares of the Corporation's capital stock which are held of record, beneficially owned or represented by proxy by such stockholder and by any other stockholders known by such stockholder to be supporting such nominee(s) on the record date for the Annual Meeting in question (if such date shall then have been made publicly available) and on the date of such stockholder' s notice, and (iii) a description of all arrangements or understandings between such stockholder and each nominee and any other person or persons (naming such person or persons) pursuant to which the nomination or nominations are to be made by such stockholder.</w:t>
      </w:r>
    </w:p>
    <w:p>
      <w:pPr>
        <w:spacing w:after="0" w:line="186" w:lineRule="exact"/>
        <w:rPr>
          <w:sz w:val="20"/>
          <w:szCs w:val="20"/>
          <w:color w:val="auto"/>
        </w:rPr>
      </w:pPr>
    </w:p>
    <w:p>
      <w:pPr>
        <w:ind w:left="10" w:right="3259" w:firstLine="529"/>
        <w:spacing w:after="0" w:line="239" w:lineRule="auto"/>
        <w:rPr>
          <w:sz w:val="20"/>
          <w:szCs w:val="20"/>
          <w:color w:val="auto"/>
        </w:rPr>
      </w:pPr>
      <w:r>
        <w:rPr>
          <w:rFonts w:ascii="Courier New" w:cs="Courier New" w:eastAsia="Courier New" w:hAnsi="Courier New"/>
          <w:sz w:val="15"/>
          <w:szCs w:val="15"/>
          <w:color w:val="auto"/>
        </w:rPr>
        <w:t>If the Board of Directors or a designated committee thereof determines that any stockholder nomination was not made in accordance with the terms of this Section 4.16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4.16, the presiding officer of the Annual Meeting shall determine whether a nomination was made in accordance with such provisions. If the presiding officer determines that any stockholder nomination was not made in accordance with the terms of this Section 4.16 or that the information provided in a stockholder's notice does not satisfy the informational requirements of this Section 4.16 in any material respect, then such nomination shall not be considered at the Annual Meeting in question. If the Board of Directors, a designated committee thereof or the presiding officer determines that a nomination was made in accordance with the terms of this Section 4.16, the presiding officer shall so declare at the Annual Meeting and ballots shall be provided for use at the Annual Meeting with respect to such nominee.</w:t>
      </w:r>
    </w:p>
    <w:p>
      <w:pPr>
        <w:spacing w:after="0" w:line="3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7" w:right="1440" w:bottom="1440" w:gutter="0" w:footer="0" w:header="0"/>
        </w:sectPr>
      </w:pPr>
    </w:p>
    <w:bookmarkStart w:id="75" w:name="page76"/>
    <w:bookmarkEnd w:id="75"/>
    <w:p>
      <w:pPr>
        <w:ind w:right="3179" w:firstLine="529"/>
        <w:spacing w:after="0" w:line="238" w:lineRule="auto"/>
        <w:rPr>
          <w:sz w:val="20"/>
          <w:szCs w:val="20"/>
          <w:color w:val="auto"/>
        </w:rPr>
      </w:pPr>
      <w:r>
        <w:rPr>
          <w:rFonts w:ascii="Courier New" w:cs="Courier New" w:eastAsia="Courier New" w:hAnsi="Courier New"/>
          <w:sz w:val="15"/>
          <w:szCs w:val="15"/>
          <w:color w:val="auto"/>
        </w:rPr>
        <w:t>Notwithstanding anything to the contrary in the second sentence of the second paragraph of this Section 4.16, in the event that the number of directors to be elected to the Board of Directors of the Corporation is increased and there is no public announcement by the Corporation naming all of the nominees for director or specifying the size of the increased Board of Directors at least seventy-five days prior to the Anniversary Date, a stockholder's notice required by this Section 4.16 shall also be considered timely, but only with respect to nominees for any new positions created by such increase, if such notice shall be delivered to, or mailed to and received by, the Corporation at its principal executive office not later than the close of business on the fifteenth day following the day on which such public announcement is first made by the Corporation.</w:t>
      </w:r>
    </w:p>
    <w:p>
      <w:pPr>
        <w:spacing w:after="0" w:line="182"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No person shall be elected by the stockholders as a director of the Corporation unless nominated in accordance with the procedures set forth in this Section 4.16.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4.16 shall be provided for use at such Annual Meeting.</w:t>
      </w:r>
    </w:p>
    <w:p>
      <w:pPr>
        <w:spacing w:after="0" w:line="16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5. NOTICES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5.1 Form of Notice. Whenever, under the provisions of law, or of the Certificate of Incorporation or of these By-Laws, notice is required to be given to any director or stockholder, such notice may be given by mail, addressed to such director or stockholder, at his address as it appears on the records of the Corporation, with postage thereon prepaid, and such notice shall be deemed to be given at the time when the same shall be deposited in the United States mail. Unless written notice by mail is required by law, written notice may also be given by telegram, cable, telecopy, commercial delivery service, telex or similar means, addressed to such director or stockholder at his address as it appears on the records of the Corporation, in which case such notice shall be deemed to be given when delivered into the control of the persons charged with effecting such transmission, the transmission charge to be paid by the Corporation or the person sending such notice and not by the addressee. Oral notice or other in-hand delivery (in person or by telephone) shall be deemed given at the time it is actually given.</w:t>
      </w:r>
    </w:p>
    <w:p>
      <w:pPr>
        <w:spacing w:after="0" w:line="334"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5.2 Waiver of Notice.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7" w:right="1440" w:bottom="1440" w:gutter="0" w:footer="0" w:header="0"/>
        </w:sectPr>
      </w:pPr>
    </w:p>
    <w:bookmarkStart w:id="76" w:name="page77"/>
    <w:bookmarkEnd w:id="76"/>
    <w:p>
      <w:pPr>
        <w:ind w:right="3179"/>
        <w:spacing w:after="0" w:line="237" w:lineRule="auto"/>
        <w:rPr>
          <w:sz w:val="20"/>
          <w:szCs w:val="20"/>
          <w:color w:val="auto"/>
        </w:rPr>
      </w:pPr>
      <w:r>
        <w:rPr>
          <w:rFonts w:ascii="Courier New" w:cs="Courier New" w:eastAsia="Courier New" w:hAnsi="Courier New"/>
          <w:sz w:val="15"/>
          <w:szCs w:val="15"/>
          <w:color w:val="auto"/>
        </w:rPr>
        <w:t>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6. OFFICERS AND AGENTS</w:t>
      </w:r>
    </w:p>
    <w:p>
      <w:pPr>
        <w:spacing w:after="0" w:line="175"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6.1 Enumeration; Qualification.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179"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6.2 Powers.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pacing w:after="0" w:line="178"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6.3 Election. The Board of Directors at its first meeting after each annual meeting of stockholders, or special meeting in place of an annual meeting, shall choose a Chairman, a President, a Secretary and a Treasurer. Other officers may be appointed by the Board of Directors at such meeting, at any other meeting or by written consent. At any time or from time to time, the directors may delegate to any officer their power to elect or appoint any other officer or any agents.</w:t>
      </w:r>
    </w:p>
    <w:p>
      <w:pPr>
        <w:spacing w:after="0" w:line="177"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6.4 Tenure. Each officer shall hold office until the first meeting of the Board of Directors following the next annual meeting of the stockholders and until his successor is elected and qualified unless a shorter period shall have been specified in terms of his election or appointment, or in each case until he sooner dies, resigns, is removed or becomes disqualified. Each agent of the Corporation shall retain his authority at the pleasure of the directors, or the officer by whom he was appointed or by the officer who then holds agent appointive power.</w:t>
      </w:r>
    </w:p>
    <w:p>
      <w:pPr>
        <w:spacing w:after="0" w:line="178" w:lineRule="exact"/>
        <w:rPr>
          <w:sz w:val="20"/>
          <w:szCs w:val="20"/>
          <w:color w:val="auto"/>
        </w:rPr>
      </w:pPr>
    </w:p>
    <w:p>
      <w:pPr>
        <w:ind w:right="3179" w:firstLine="529"/>
        <w:spacing w:after="0" w:line="258" w:lineRule="auto"/>
        <w:rPr>
          <w:sz w:val="20"/>
          <w:szCs w:val="20"/>
          <w:color w:val="auto"/>
        </w:rPr>
      </w:pPr>
      <w:r>
        <w:rPr>
          <w:rFonts w:ascii="Courier New" w:cs="Courier New" w:eastAsia="Courier New" w:hAnsi="Courier New"/>
          <w:sz w:val="14"/>
          <w:szCs w:val="14"/>
          <w:color w:val="auto"/>
        </w:rPr>
        <w:t>6.5 Resignation and Removal. Any officer may resign at any time by delivering his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77" w:name="page78"/>
    <w:bookmarkEnd w:id="77"/>
    <w:p>
      <w:pPr>
        <w:ind w:left="10" w:right="3259"/>
        <w:spacing w:after="0" w:line="238" w:lineRule="auto"/>
        <w:rPr>
          <w:sz w:val="20"/>
          <w:szCs w:val="20"/>
          <w:color w:val="auto"/>
        </w:rPr>
      </w:pPr>
      <w:r>
        <w:rPr>
          <w:rFonts w:ascii="Courier New" w:cs="Courier New" w:eastAsia="Courier New" w:hAnsi="Courier New"/>
          <w:sz w:val="15"/>
          <w:szCs w:val="15"/>
          <w:color w:val="auto"/>
        </w:rPr>
        <w:t>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resignation or removal, or any right to damages on account of such removal, whether his compensation be by the month or by the year or otherwise; unless in the case of a resignation, the directors, or in the case of removal, the body acting on the removal, shall in their or its discretion provide for compensation.</w:t>
      </w:r>
    </w:p>
    <w:p>
      <w:pPr>
        <w:spacing w:after="0" w:line="179" w:lineRule="exact"/>
        <w:rPr>
          <w:sz w:val="20"/>
          <w:szCs w:val="20"/>
          <w:color w:val="auto"/>
        </w:rPr>
      </w:pPr>
    </w:p>
    <w:p>
      <w:pPr>
        <w:ind w:left="10" w:right="3179" w:firstLine="529"/>
        <w:spacing w:after="0" w:line="257" w:lineRule="auto"/>
        <w:rPr>
          <w:sz w:val="20"/>
          <w:szCs w:val="20"/>
          <w:color w:val="auto"/>
        </w:rPr>
      </w:pPr>
      <w:r>
        <w:rPr>
          <w:rFonts w:ascii="Courier New" w:cs="Courier New" w:eastAsia="Courier New" w:hAnsi="Courier New"/>
          <w:sz w:val="14"/>
          <w:szCs w:val="14"/>
          <w:color w:val="auto"/>
        </w:rPr>
        <w:t>6.6 Vacancies. If the office of the Chairman, the President, the Treasurer or the Secretary becomes vacant, the directors may elect a successor by vote of a majority of the directors then in office. If the office of any other officer becomes vacant, any person or body empowered to elect or appoint that office may choose a successor. Each such successor shall hold office for the unexpired term of his predecessor, and in the case of the Chairman, the President, the Treasurer and the Secretary until his successor is chosen and qualified, or in each case until he sooner dies, resigns, is removed or becomes disqualified.</w:t>
      </w:r>
    </w:p>
    <w:p>
      <w:pPr>
        <w:spacing w:after="0" w:line="161" w:lineRule="exact"/>
        <w:rPr>
          <w:sz w:val="20"/>
          <w:szCs w:val="20"/>
          <w:color w:val="auto"/>
        </w:rPr>
      </w:pPr>
    </w:p>
    <w:p>
      <w:pPr>
        <w:ind w:left="530"/>
        <w:spacing w:after="0"/>
        <w:rPr>
          <w:sz w:val="20"/>
          <w:szCs w:val="20"/>
          <w:color w:val="auto"/>
        </w:rPr>
      </w:pPr>
      <w:r>
        <w:rPr>
          <w:rFonts w:ascii="Courier New" w:cs="Courier New" w:eastAsia="Courier New" w:hAnsi="Courier New"/>
          <w:sz w:val="15"/>
          <w:szCs w:val="15"/>
          <w:color w:val="auto"/>
        </w:rPr>
        <w:t>Section 7. CAPITAL STOCK</w:t>
      </w:r>
    </w:p>
    <w:p>
      <w:pPr>
        <w:spacing w:after="0" w:line="175" w:lineRule="exact"/>
        <w:rPr>
          <w:sz w:val="20"/>
          <w:szCs w:val="20"/>
          <w:color w:val="auto"/>
        </w:rPr>
      </w:pPr>
    </w:p>
    <w:p>
      <w:pPr>
        <w:ind w:left="10" w:right="3179" w:firstLine="529"/>
        <w:spacing w:after="0" w:line="256" w:lineRule="auto"/>
        <w:rPr>
          <w:sz w:val="20"/>
          <w:szCs w:val="20"/>
          <w:color w:val="auto"/>
        </w:rPr>
      </w:pPr>
      <w:r>
        <w:rPr>
          <w:rFonts w:ascii="Courier New" w:cs="Courier New" w:eastAsia="Courier New" w:hAnsi="Courier New"/>
          <w:sz w:val="14"/>
          <w:szCs w:val="14"/>
          <w:color w:val="auto"/>
        </w:rPr>
        <w:t>7.1 Stock Certificates. Each stockholder shall be entitled to a certificate stating the number and the class and the designation of the series, if any, of the shares held by him, in such form as shall, in conformity to law, the Certificate of Incorporation and the By-Laws, be prescribed from time to time by the Board of Directors. Such certificate shall be signed by the President or a Vice-President and (i) the Treasurer or an Assistant Treasurer or</w:t>
      </w:r>
    </w:p>
    <w:p>
      <w:pPr>
        <w:spacing w:after="0" w:line="2" w:lineRule="exact"/>
        <w:rPr>
          <w:sz w:val="20"/>
          <w:szCs w:val="20"/>
          <w:color w:val="auto"/>
        </w:rPr>
      </w:pPr>
    </w:p>
    <w:p>
      <w:pPr>
        <w:ind w:left="10" w:right="3179" w:hanging="10"/>
        <w:spacing w:after="0" w:line="238" w:lineRule="auto"/>
        <w:tabs>
          <w:tab w:leader="none" w:pos="4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177" w:lineRule="exact"/>
        <w:rPr>
          <w:sz w:val="20"/>
          <w:szCs w:val="20"/>
          <w:color w:val="auto"/>
        </w:rPr>
      </w:pPr>
    </w:p>
    <w:p>
      <w:pPr>
        <w:ind w:left="10" w:right="3179" w:firstLine="529"/>
        <w:spacing w:after="0" w:line="238" w:lineRule="auto"/>
        <w:rPr>
          <w:sz w:val="20"/>
          <w:szCs w:val="20"/>
          <w:color w:val="auto"/>
        </w:rPr>
      </w:pPr>
      <w:r>
        <w:rPr>
          <w:rFonts w:ascii="Courier New" w:cs="Courier New" w:eastAsia="Courier New" w:hAnsi="Courier New"/>
          <w:sz w:val="15"/>
          <w:szCs w:val="15"/>
          <w:color w:val="auto"/>
        </w:rPr>
        <w:t>7.2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w:t>
      </w:r>
    </w:p>
    <w:p>
      <w:pPr>
        <w:spacing w:after="0" w:line="34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7"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stolen or destroyed.</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8. TRANSFER OF SHARES OF STOCK</w:t>
      </w:r>
    </w:p>
    <w:p>
      <w:pPr>
        <w:spacing w:after="0" w:line="175" w:lineRule="exact"/>
        <w:rPr>
          <w:sz w:val="20"/>
          <w:szCs w:val="20"/>
          <w:color w:val="auto"/>
        </w:rPr>
      </w:pPr>
    </w:p>
    <w:p>
      <w:pPr>
        <w:ind w:right="3259" w:firstLine="529"/>
        <w:spacing w:after="0" w:line="256" w:lineRule="auto"/>
        <w:rPr>
          <w:sz w:val="20"/>
          <w:szCs w:val="20"/>
          <w:color w:val="auto"/>
        </w:rPr>
      </w:pPr>
      <w:r>
        <w:rPr>
          <w:rFonts w:ascii="Courier New" w:cs="Courier New" w:eastAsia="Courier New" w:hAnsi="Courier New"/>
          <w:sz w:val="14"/>
          <w:szCs w:val="14"/>
          <w:color w:val="auto"/>
        </w:rPr>
        <w:t>8.1 Transfer on Books. Subject to any restrictions with respect to the transfer of shares of stock, shares of stock may be transferred on the books of</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65" w:lineRule="exact"/>
        <w:rPr>
          <w:sz w:val="20"/>
          <w:szCs w:val="20"/>
          <w:color w:val="auto"/>
        </w:rPr>
      </w:pPr>
    </w:p>
    <w:p>
      <w:pPr>
        <w:ind w:right="3259" w:firstLine="529"/>
        <w:spacing w:after="0" w:line="235" w:lineRule="auto"/>
        <w:rPr>
          <w:sz w:val="20"/>
          <w:szCs w:val="20"/>
          <w:color w:val="auto"/>
        </w:rPr>
      </w:pPr>
      <w:r>
        <w:rPr>
          <w:rFonts w:ascii="Courier New" w:cs="Courier New" w:eastAsia="Courier New" w:hAnsi="Courier New"/>
          <w:sz w:val="15"/>
          <w:szCs w:val="15"/>
          <w:color w:val="auto"/>
        </w:rPr>
        <w:t>It shall be the duty of each stockholder to notify the Corporation of his post office address.</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9. GENERAL PROVISIONS</w:t>
      </w:r>
    </w:p>
    <w:p>
      <w:pPr>
        <w:spacing w:after="0" w:line="175" w:lineRule="exact"/>
        <w:rPr>
          <w:sz w:val="20"/>
          <w:szCs w:val="20"/>
          <w:color w:val="auto"/>
        </w:rPr>
      </w:pPr>
    </w:p>
    <w:p>
      <w:pPr>
        <w:ind w:right="3179" w:firstLine="529"/>
        <w:spacing w:after="0" w:line="257" w:lineRule="auto"/>
        <w:rPr>
          <w:sz w:val="20"/>
          <w:szCs w:val="20"/>
          <w:color w:val="auto"/>
        </w:rPr>
      </w:pPr>
      <w:r>
        <w:rPr>
          <w:rFonts w:ascii="Courier New" w:cs="Courier New" w:eastAsia="Courier New" w:hAnsi="Courier New"/>
          <w:sz w:val="14"/>
          <w:szCs w:val="14"/>
          <w:color w:val="auto"/>
        </w:rPr>
        <w:t>9.1 Record Date.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A determination of stockholders of record entitled to notice of or to vote at a meeting of stockholders shall apply to any adjournment of the meeting; provided, however, that the Board of Directors may fix a new record date for the adjourned meeting. If no record date is fixed,</w:t>
      </w:r>
    </w:p>
    <w:p>
      <w:pPr>
        <w:spacing w:after="0" w:line="165" w:lineRule="exact"/>
        <w:rPr>
          <w:sz w:val="20"/>
          <w:szCs w:val="20"/>
          <w:color w:val="auto"/>
        </w:rPr>
      </w:pPr>
    </w:p>
    <w:p>
      <w:pPr>
        <w:ind w:right="3259" w:firstLine="1048"/>
        <w:spacing w:after="0" w:line="237" w:lineRule="auto"/>
        <w:tabs>
          <w:tab w:leader="none" w:pos="141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8" w:lineRule="exact"/>
        <w:rPr>
          <w:rFonts w:ascii="Courier New" w:cs="Courier New" w:eastAsia="Courier New" w:hAnsi="Courier New"/>
          <w:sz w:val="15"/>
          <w:szCs w:val="15"/>
          <w:color w:val="auto"/>
        </w:rPr>
      </w:pPr>
    </w:p>
    <w:p>
      <w:pPr>
        <w:ind w:right="3179" w:firstLine="1048"/>
        <w:spacing w:after="0" w:line="237" w:lineRule="auto"/>
        <w:tabs>
          <w:tab w:leader="none" w:pos="141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entitled to express consent to corporate action in writing without a meeting, when no prior action by the Board of Directors is necessary, shall be</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the day on which the first written consent is expressed; and</w:t>
      </w:r>
    </w:p>
    <w:p>
      <w:pPr>
        <w:spacing w:after="0" w:line="175" w:lineRule="exact"/>
        <w:rPr>
          <w:sz w:val="20"/>
          <w:szCs w:val="20"/>
          <w:color w:val="auto"/>
        </w:rPr>
      </w:pPr>
    </w:p>
    <w:p>
      <w:pPr>
        <w:jc w:val="both"/>
        <w:ind w:right="3699" w:firstLine="1048"/>
        <w:spacing w:after="0" w:line="237" w:lineRule="auto"/>
        <w:tabs>
          <w:tab w:leader="none" w:pos="141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for any other purpose shall be at the close of business on the day on which the Board of Directors adopts the resolution relating to such purpose.</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9.2 Dividends.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78" w:lineRule="exact"/>
        <w:rPr>
          <w:sz w:val="20"/>
          <w:szCs w:val="20"/>
          <w:color w:val="auto"/>
        </w:rPr>
      </w:pPr>
    </w:p>
    <w:p>
      <w:pPr>
        <w:ind w:right="3179" w:firstLine="529"/>
        <w:spacing w:after="0" w:line="238" w:lineRule="auto"/>
        <w:rPr>
          <w:sz w:val="20"/>
          <w:szCs w:val="20"/>
          <w:color w:val="auto"/>
        </w:rPr>
      </w:pPr>
      <w:r>
        <w:rPr>
          <w:rFonts w:ascii="Courier New" w:cs="Courier New" w:eastAsia="Courier New" w:hAnsi="Courier New"/>
          <w:sz w:val="15"/>
          <w:szCs w:val="15"/>
          <w:color w:val="auto"/>
        </w:rPr>
        <w:t>9.3 Payment of Dividends.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78" w:lineRule="exact"/>
        <w:rPr>
          <w:sz w:val="20"/>
          <w:szCs w:val="20"/>
          <w:color w:val="auto"/>
        </w:rPr>
      </w:pPr>
    </w:p>
    <w:p>
      <w:pPr>
        <w:jc w:val="both"/>
        <w:ind w:right="3359" w:firstLine="529"/>
        <w:spacing w:after="0" w:line="237" w:lineRule="auto"/>
        <w:rPr>
          <w:sz w:val="20"/>
          <w:szCs w:val="20"/>
          <w:color w:val="auto"/>
        </w:rPr>
      </w:pPr>
      <w:r>
        <w:rPr>
          <w:rFonts w:ascii="Courier New" w:cs="Courier New" w:eastAsia="Courier New" w:hAnsi="Courier New"/>
          <w:sz w:val="15"/>
          <w:szCs w:val="15"/>
          <w:color w:val="auto"/>
        </w:rPr>
        <w:t>9.4 Checks. All checks or demands for money and notes of the Corporation shall be signed by such officer or officers or such other person or persons as the Board of Directors may from time to time designate.</w:t>
      </w:r>
    </w:p>
    <w:p>
      <w:pPr>
        <w:spacing w:after="0" w:line="175" w:lineRule="exact"/>
        <w:rPr>
          <w:sz w:val="20"/>
          <w:szCs w:val="20"/>
          <w:color w:val="auto"/>
        </w:rPr>
      </w:pPr>
    </w:p>
    <w:p>
      <w:pPr>
        <w:ind w:right="3179" w:firstLine="529"/>
        <w:spacing w:after="0" w:line="237" w:lineRule="auto"/>
        <w:rPr>
          <w:sz w:val="20"/>
          <w:szCs w:val="20"/>
          <w:color w:val="auto"/>
        </w:rPr>
      </w:pPr>
      <w:r>
        <w:rPr>
          <w:rFonts w:ascii="Courier New" w:cs="Courier New" w:eastAsia="Courier New" w:hAnsi="Courier New"/>
          <w:sz w:val="15"/>
          <w:szCs w:val="15"/>
          <w:color w:val="auto"/>
        </w:rPr>
        <w:t>9.5 Fiscal Year. The fiscal year of the Corporation shall end the Saturday closest to the 31st of January unless otherwise determined by the Board of Directors.</w:t>
      </w:r>
    </w:p>
    <w:p>
      <w:pPr>
        <w:spacing w:after="0" w:line="175" w:lineRule="exact"/>
        <w:rPr>
          <w:sz w:val="20"/>
          <w:szCs w:val="20"/>
          <w:color w:val="auto"/>
        </w:rPr>
      </w:pPr>
    </w:p>
    <w:p>
      <w:pPr>
        <w:ind w:right="3259" w:firstLine="529"/>
        <w:spacing w:after="0" w:line="238" w:lineRule="auto"/>
        <w:rPr>
          <w:sz w:val="20"/>
          <w:szCs w:val="20"/>
          <w:color w:val="auto"/>
        </w:rPr>
      </w:pPr>
      <w:r>
        <w:rPr>
          <w:rFonts w:ascii="Courier New" w:cs="Courier New" w:eastAsia="Courier New" w:hAnsi="Courier New"/>
          <w:sz w:val="15"/>
          <w:szCs w:val="15"/>
          <w:color w:val="auto"/>
        </w:rPr>
        <w:t>9.6 Seal.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10. INDEMNIFICATION</w:t>
      </w:r>
    </w:p>
    <w:p>
      <w:pPr>
        <w:spacing w:after="0" w:line="175" w:lineRule="exact"/>
        <w:rPr>
          <w:sz w:val="20"/>
          <w:szCs w:val="20"/>
          <w:color w:val="auto"/>
        </w:rPr>
      </w:pPr>
    </w:p>
    <w:p>
      <w:pPr>
        <w:ind w:right="3179" w:firstLine="1058"/>
        <w:spacing w:after="0" w:line="238" w:lineRule="auto"/>
        <w:rPr>
          <w:sz w:val="20"/>
          <w:szCs w:val="20"/>
          <w:color w:val="auto"/>
        </w:rPr>
      </w:pPr>
      <w:r>
        <w:rPr>
          <w:rFonts w:ascii="Courier New" w:cs="Courier New" w:eastAsia="Courier New" w:hAnsi="Courier New"/>
          <w:sz w:val="15"/>
          <w:szCs w:val="15"/>
          <w:color w:val="auto"/>
        </w:rPr>
        <w:t>10.1 It being the intent of the Corporation to provide maximum protection available under the law to its officers and directors, the Corporation shall indemnify its officers and directors to the full extent the Corporation is permitted or required to do so by the General Corporation Law of Delaware as the same exists or hereafter may be amended. Such indemnification shall include payment by the Corporation, in advance of the final disposition of a civil or criminal action, suit or proceedings, of expenses incurred by a director or officer in defending any such action, suit or proceeding upon receipt of any undertaking by or on behalf of such director or officer to repay such payment if it shall ultimately be determined that he is not entitled to be indemnified by the Corporation. The</w:t>
      </w:r>
    </w:p>
    <w:p>
      <w:pPr>
        <w:spacing w:after="0" w:line="34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80" w:name="page81"/>
    <w:bookmarkEnd w:id="80"/>
    <w:p>
      <w:pPr>
        <w:ind w:right="3359"/>
        <w:spacing w:after="0" w:line="237" w:lineRule="auto"/>
        <w:rPr>
          <w:sz w:val="20"/>
          <w:szCs w:val="20"/>
          <w:color w:val="auto"/>
        </w:rPr>
      </w:pPr>
      <w:r>
        <w:rPr>
          <w:rFonts w:ascii="Courier New" w:cs="Courier New" w:eastAsia="Courier New" w:hAnsi="Courier New"/>
          <w:sz w:val="15"/>
          <w:szCs w:val="15"/>
          <w:color w:val="auto"/>
        </w:rPr>
        <w:t>Corporation may accept any such undertaking without reference to the financial ability of the person to make such repayment. As used in this paragraph, the terms "director" and "officer" include their respective heirs, executors, and administrators.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11. AMENDMENTS</w:t>
      </w:r>
    </w:p>
    <w:p>
      <w:pPr>
        <w:spacing w:after="0" w:line="175" w:lineRule="exact"/>
        <w:rPr>
          <w:sz w:val="20"/>
          <w:szCs w:val="20"/>
          <w:color w:val="auto"/>
        </w:rPr>
      </w:pPr>
    </w:p>
    <w:p>
      <w:pPr>
        <w:ind w:right="3259" w:firstLine="529"/>
        <w:spacing w:after="0" w:line="257" w:lineRule="auto"/>
        <w:rPr>
          <w:sz w:val="20"/>
          <w:szCs w:val="20"/>
          <w:color w:val="auto"/>
        </w:rPr>
      </w:pPr>
      <w:r>
        <w:rPr>
          <w:rFonts w:ascii="Courier New" w:cs="Courier New" w:eastAsia="Courier New" w:hAnsi="Courier New"/>
          <w:sz w:val="14"/>
          <w:szCs w:val="14"/>
          <w:color w:val="auto"/>
        </w:rPr>
        <w:t>11.1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33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81" w:name="page82"/>
    <w:bookmarkEnd w:id="81"/>
    <w:p>
      <w:pPr>
        <w:ind w:left="2980"/>
        <w:spacing w:after="0"/>
        <w:rPr>
          <w:sz w:val="20"/>
          <w:szCs w:val="20"/>
          <w:color w:val="auto"/>
        </w:rPr>
      </w:pPr>
      <w:r>
        <w:rPr>
          <w:rFonts w:ascii="Courier New" w:cs="Courier New" w:eastAsia="Courier New" w:hAnsi="Courier New"/>
          <w:sz w:val="15"/>
          <w:szCs w:val="15"/>
          <w:color w:val="auto"/>
        </w:rPr>
        <w:t>DESIGNS, INC.</w:t>
      </w:r>
    </w:p>
    <w:p>
      <w:pPr>
        <w:ind w:left="2200"/>
        <w:spacing w:after="0"/>
        <w:rPr>
          <w:sz w:val="20"/>
          <w:szCs w:val="20"/>
          <w:color w:val="auto"/>
        </w:rPr>
      </w:pPr>
      <w:r>
        <w:rPr>
          <w:rFonts w:ascii="Courier New" w:cs="Courier New" w:eastAsia="Courier New" w:hAnsi="Courier New"/>
          <w:sz w:val="15"/>
          <w:szCs w:val="15"/>
          <w:color w:val="auto"/>
        </w:rPr>
        <w:t>SENIOR EXECUTIVE INCENTIVE PLAN</w:t>
      </w:r>
    </w:p>
    <w:p>
      <w:pPr>
        <w:ind w:left="2200"/>
        <w:spacing w:after="0"/>
        <w:rPr>
          <w:sz w:val="20"/>
          <w:szCs w:val="20"/>
          <w:color w:val="auto"/>
        </w:rPr>
      </w:pPr>
      <w:r>
        <w:rPr>
          <w:rFonts w:ascii="Courier New" w:cs="Courier New" w:eastAsia="Courier New" w:hAnsi="Courier New"/>
          <w:sz w:val="15"/>
          <w:szCs w:val="15"/>
          <w:color w:val="auto"/>
        </w:rPr>
        <w:t>FEBRUARY 1999-JANUARY 29, 2000</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plan has been developed for Senior Executives of Designs, Inc. The purpose of the Plan is to reward overall corporate accomplishments when pre-determined measures of company-wide performance are exceeded.</w:t>
      </w:r>
    </w:p>
    <w:p>
      <w:pPr>
        <w:spacing w:after="0" w:line="175" w:lineRule="exact"/>
        <w:rPr>
          <w:sz w:val="20"/>
          <w:szCs w:val="20"/>
          <w:color w:val="auto"/>
        </w:rPr>
      </w:pPr>
    </w:p>
    <w:p>
      <w:pPr>
        <w:ind w:left="1040" w:right="3359" w:hanging="521"/>
        <w:spacing w:after="0" w:line="235" w:lineRule="auto"/>
        <w:tabs>
          <w:tab w:leader="none" w:pos="10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for FY99 and is effective for the period from February 1999 through January 29, 2000.</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incentive payments will be made within 30 days after the fiscal year results have been audited by the Company's independent accountants, unless otherwise determined by the Compensation Committee of the Board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plan is designed to be measurable and monitorable; and, to reward performance based on certain measures of success of the Company. Accordingly, this Plan will pay out from 7% up to 50% of base salary upon exceeding the budget target for Earnings Before Interest and Taxes (EBIT). The EBIT Budget for the year is $8,077,000 ($0.25 per share)</w:t>
      </w:r>
    </w:p>
    <w:p>
      <w:pPr>
        <w:spacing w:after="0" w:line="173"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14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EBIT TARGET</w:t>
            </w:r>
          </w:p>
        </w:tc>
        <w:tc>
          <w:tcPr>
            <w:tcW w:w="24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PAYOUT AS A %</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INCENTIVE AS</w:t>
            </w:r>
          </w:p>
        </w:tc>
      </w:t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FOR INCENTIVE</w:t>
            </w: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OF INCENTIVE TARGET</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w w:val="97"/>
              </w:rPr>
              <w:t>A % OF SALARY</w:t>
            </w:r>
          </w:p>
        </w:tc>
      </w:t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8,077,000</w:t>
            </w:r>
          </w:p>
        </w:tc>
        <w:tc>
          <w:tcPr>
            <w:tcW w:w="24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8,884,700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14%</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9,288,550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9,692,400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28%</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10,096,250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35%</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10,500,100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42%</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11,307,800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56%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12,115,500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12,923,200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84%</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13,730,900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98%</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49.0%</w:t>
            </w:r>
          </w:p>
        </w:tc>
      </w:tr>
      <w:tr>
        <w:trPr>
          <w:trHeight w:val="170"/>
        </w:trPr>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14,538,600</w:t>
            </w:r>
          </w:p>
        </w:tc>
        <w:tc>
          <w:tcPr>
            <w:tcW w:w="24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100%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To be eligible for payment under the Plan, associates must be employed by DESIGNS, INC. as of the end of FY99; and employed on the date the payment is made.</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Those hired after the beginning of FY99 will receive a prorated payment based on their months of employment during FY99. Those who leave voluntarily between the fiscal year-end and the payment date will forfeit their right to any incentive payment. Those who involuntarily leave employment will be paid any prorated incentive due (payable on the incentive payment date). Anyone with a counseling, corrective or performance improvement plan will not be eligible for an incentive payment. For use in this plan, a current counseling, corrective or performance plan will be defined as one that was delivered within 120 days prior to the payment. Incentive payment is calculated on base salary paid during FY99. All decisions concerning this Plan are at the sole discretion of the Compensation Committee of the Board of Directors and/or their delegatees.</w:t>
      </w:r>
    </w:p>
    <w:p>
      <w:pPr>
        <w:sectPr>
          <w:pgSz w:w="11900" w:h="16838" w:orient="portrait"/>
          <w:cols w:equalWidth="0" w:num="1">
            <w:col w:w="10219"/>
          </w:cols>
          <w:pgMar w:left="240" w:top="305" w:right="1440" w:bottom="1440" w:gutter="0" w:footer="0" w:header="0"/>
        </w:sectPr>
      </w:pPr>
    </w:p>
    <w:bookmarkStart w:id="82" w:name="page83"/>
    <w:bookmarkEnd w:id="82"/>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AGREEMENT, effective as of December 10,1998, between Designs, Inc., a Delaware corporation (the "Company"), and James G. Groninger (the "Indemnitee").</w:t>
      </w:r>
    </w:p>
    <w:p>
      <w:pPr>
        <w:spacing w:after="0" w:line="175"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w:t>
      </w:r>
    </w:p>
    <w:p>
      <w:pPr>
        <w:sectPr>
          <w:pgSz w:w="11900" w:h="16838" w:orient="portrait"/>
          <w:cols w:equalWidth="0" w:num="1">
            <w:col w:w="10219"/>
          </w:cols>
          <w:pgMar w:left="240" w:top="136" w:right="1440" w:bottom="0" w:gutter="0" w:footer="0" w:header="0"/>
        </w:sectPr>
      </w:pPr>
    </w:p>
    <w:bookmarkStart w:id="83" w:name="page84"/>
    <w:bookmarkEnd w:id="83"/>
    <w:p>
      <w:pPr>
        <w:ind w:right="3439"/>
        <w:spacing w:after="0" w:line="235" w:lineRule="auto"/>
        <w:rPr>
          <w:sz w:val="20"/>
          <w:szCs w:val="20"/>
          <w:color w:val="auto"/>
        </w:rPr>
      </w:pPr>
      <w:r>
        <w:rPr>
          <w:rFonts w:ascii="Courier New" w:cs="Courier New" w:eastAsia="Courier New" w:hAnsi="Courier New"/>
          <w:sz w:val="15"/>
          <w:szCs w:val="15"/>
          <w:color w:val="auto"/>
        </w:rPr>
        <w:t>employee benefit plan, trust or other enterprise, or by reason of anything done or not done by Indemnitee in any such</w:t>
      </w:r>
    </w:p>
    <w:p>
      <w:pPr>
        <w:spacing w:after="0" w:line="34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1" w:right="1440" w:bottom="1440" w:gutter="0" w:footer="0" w:header="0"/>
        </w:sectPr>
      </w:pPr>
    </w:p>
    <w:bookmarkStart w:id="84" w:name="page85"/>
    <w:bookmarkEnd w:id="84"/>
    <w:p>
      <w:pPr>
        <w:jc w:val="both"/>
        <w:ind w:left="1050"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1050" w:right="3259" w:hanging="521"/>
        <w:spacing w:after="0" w:line="238" w:lineRule="auto"/>
        <w:tabs>
          <w:tab w:leader="none" w:pos="10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1050" w:right="3179" w:hanging="521"/>
        <w:spacing w:after="0" w:line="237" w:lineRule="auto"/>
        <w:tabs>
          <w:tab w:leader="none" w:pos="10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1050" w:right="3979" w:hanging="521"/>
        <w:spacing w:after="0" w:line="235" w:lineRule="auto"/>
        <w:tabs>
          <w:tab w:leader="none" w:pos="10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10" w:right="3179" w:firstLine="519"/>
        <w:spacing w:after="0" w:line="239" w:lineRule="auto"/>
        <w:tabs>
          <w:tab w:leader="none" w:pos="803"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 permitted to be indemnified under applicable law,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make an Expense Advance pursuant to Section 2(a) shall be subject to the condition that, if, when and to the extent that the Reviewing Party determines that Indemnitee would not be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85" w:name="page86"/>
    <w:bookmarkEnd w:id="85"/>
    <w:p>
      <w:pPr>
        <w:ind w:right="3179"/>
        <w:spacing w:after="0" w:line="256" w:lineRule="auto"/>
        <w:rPr>
          <w:sz w:val="20"/>
          <w:szCs w:val="20"/>
          <w:color w:val="auto"/>
        </w:rPr>
      </w:pPr>
      <w:r>
        <w:rPr>
          <w:rFonts w:ascii="Courier New" w:cs="Courier New" w:eastAsia="Courier New" w:hAnsi="Courier New"/>
          <w:sz w:val="14"/>
          <w:szCs w:val="14"/>
          <w:color w:val="auto"/>
        </w:rPr>
        <w:t>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7" w:lineRule="exact"/>
        <w:rPr>
          <w:sz w:val="20"/>
          <w:szCs w:val="20"/>
          <w:color w:val="auto"/>
        </w:rPr>
      </w:pPr>
    </w:p>
    <w:p>
      <w:pPr>
        <w:ind w:right="3179" w:firstLine="519"/>
        <w:spacing w:after="0" w:line="238" w:lineRule="auto"/>
        <w:tabs>
          <w:tab w:leader="none" w:pos="7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86" w:name="page87"/>
    <w:bookmarkEnd w:id="86"/>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87" w:name="page88"/>
    <w:bookmarkEnd w:id="87"/>
    <w:p>
      <w:pPr>
        <w:ind w:left="-519" w:right="3259" w:firstLine="519"/>
        <w:spacing w:after="0" w:line="237" w:lineRule="auto"/>
        <w:tabs>
          <w:tab w:leader="none" w:pos="27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88" w:name="page89"/>
    <w:bookmarkEnd w:id="88"/>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7th day of January, 1999.</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339"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SCOTT N. SEMEL, AS</w:t>
      </w:r>
    </w:p>
    <w:p>
      <w:pPr>
        <w:ind w:left="34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EXECUTIVE VICE PRESIDENT,</w:t>
      </w:r>
    </w:p>
    <w:p>
      <w:pPr>
        <w:ind w:left="3520"/>
        <w:spacing w:after="0" w:line="238" w:lineRule="auto"/>
        <w:rPr>
          <w:sz w:val="20"/>
          <w:szCs w:val="20"/>
          <w:color w:val="auto"/>
        </w:rPr>
      </w:pPr>
      <w:r>
        <w:rPr>
          <w:rFonts w:ascii="Courier New" w:cs="Courier New" w:eastAsia="Courier New" w:hAnsi="Courier New"/>
          <w:sz w:val="15"/>
          <w:szCs w:val="15"/>
          <w:color w:val="auto"/>
        </w:rPr>
        <w:t>GENERAL COUNSEL &amp;</w:t>
      </w:r>
    </w:p>
    <w:p>
      <w:pPr>
        <w:ind w:left="3520"/>
        <w:spacing w:after="0"/>
        <w:rPr>
          <w:sz w:val="20"/>
          <w:szCs w:val="20"/>
          <w:color w:val="auto"/>
        </w:rPr>
      </w:pPr>
      <w:r>
        <w:rPr>
          <w:rFonts w:ascii="Courier New" w:cs="Courier New" w:eastAsia="Courier New" w:hAnsi="Courier New"/>
          <w:sz w:val="15"/>
          <w:szCs w:val="15"/>
          <w:color w:val="auto"/>
        </w:rPr>
        <w:t>SECRETARY</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 JAMES G. GRONINGER</w:t>
      </w:r>
    </w:p>
    <w:p>
      <w:pPr>
        <w:ind w:left="326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James G. Groninger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89" w:name="page90"/>
    <w:bookmarkEnd w:id="89"/>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AGREEMENT, effective as of December 10,1998, between Designs, Inc., a Delaware corporation (the "Company"), and Bernard M. Manuel (the "Indemnitee").</w:t>
      </w:r>
    </w:p>
    <w:p>
      <w:pPr>
        <w:spacing w:after="0" w:line="175"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w:t>
      </w:r>
    </w:p>
    <w:p>
      <w:pPr>
        <w:sectPr>
          <w:pgSz w:w="11900" w:h="16838" w:orient="portrait"/>
          <w:cols w:equalWidth="0" w:num="1">
            <w:col w:w="10219"/>
          </w:cols>
          <w:pgMar w:left="240" w:top="136" w:right="1440" w:bottom="0" w:gutter="0" w:footer="0" w:header="0"/>
        </w:sectPr>
      </w:pPr>
    </w:p>
    <w:bookmarkStart w:id="90" w:name="page91"/>
    <w:bookmarkEnd w:id="90"/>
    <w:p>
      <w:pPr>
        <w:ind w:right="3439"/>
        <w:spacing w:after="0" w:line="235" w:lineRule="auto"/>
        <w:rPr>
          <w:sz w:val="20"/>
          <w:szCs w:val="20"/>
          <w:color w:val="auto"/>
        </w:rPr>
      </w:pPr>
      <w:r>
        <w:rPr>
          <w:rFonts w:ascii="Courier New" w:cs="Courier New" w:eastAsia="Courier New" w:hAnsi="Courier New"/>
          <w:sz w:val="15"/>
          <w:szCs w:val="15"/>
          <w:color w:val="auto"/>
        </w:rPr>
        <w:t>employee benefit plan, trust or other enterprise, or by reason of anything done or not done by Indemnitee in any such</w:t>
      </w:r>
    </w:p>
    <w:p>
      <w:pPr>
        <w:spacing w:after="0" w:line="34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1" w:right="1440" w:bottom="1440" w:gutter="0" w:footer="0" w:header="0"/>
        </w:sectPr>
      </w:pPr>
    </w:p>
    <w:bookmarkStart w:id="91" w:name="page92"/>
    <w:bookmarkEnd w:id="91"/>
    <w:p>
      <w:pPr>
        <w:jc w:val="both"/>
        <w:ind w:left="1050"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1050" w:right="3259" w:hanging="521"/>
        <w:spacing w:after="0" w:line="238"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1050" w:right="3179" w:hanging="521"/>
        <w:spacing w:after="0" w:line="237"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1050" w:right="4139" w:hanging="521"/>
        <w:spacing w:after="0" w:line="235" w:lineRule="auto"/>
        <w:tabs>
          <w:tab w:leader="none" w:pos="10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10" w:right="3179" w:firstLine="519"/>
        <w:spacing w:after="0" w:line="239" w:lineRule="auto"/>
        <w:tabs>
          <w:tab w:leader="none" w:pos="803"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 permitted to be indemnified under applicable law,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make an Expense Advance pursuant to Section 2(a) shall be subject to the condition that, if, when and to the extent that the Reviewing Party determines that Indemnitee would not be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92" w:name="page93"/>
    <w:bookmarkEnd w:id="92"/>
    <w:p>
      <w:pPr>
        <w:ind w:right="3179"/>
        <w:spacing w:after="0" w:line="256" w:lineRule="auto"/>
        <w:rPr>
          <w:sz w:val="20"/>
          <w:szCs w:val="20"/>
          <w:color w:val="auto"/>
        </w:rPr>
      </w:pPr>
      <w:r>
        <w:rPr>
          <w:rFonts w:ascii="Courier New" w:cs="Courier New" w:eastAsia="Courier New" w:hAnsi="Courier New"/>
          <w:sz w:val="14"/>
          <w:szCs w:val="14"/>
          <w:color w:val="auto"/>
        </w:rPr>
        <w:t>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7" w:lineRule="exact"/>
        <w:rPr>
          <w:sz w:val="20"/>
          <w:szCs w:val="20"/>
          <w:color w:val="auto"/>
        </w:rPr>
      </w:pPr>
    </w:p>
    <w:p>
      <w:pPr>
        <w:ind w:right="3179" w:firstLine="519"/>
        <w:spacing w:after="0" w:line="238" w:lineRule="auto"/>
        <w:tabs>
          <w:tab w:leader="none" w:pos="79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93" w:name="page94"/>
    <w:bookmarkEnd w:id="93"/>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94" w:name="page95"/>
    <w:bookmarkEnd w:id="94"/>
    <w:p>
      <w:pPr>
        <w:ind w:left="-519" w:right="3259" w:firstLine="519"/>
        <w:spacing w:after="0" w:line="237" w:lineRule="auto"/>
        <w:tabs>
          <w:tab w:leader="none" w:pos="27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95" w:name="page96"/>
    <w:bookmarkEnd w:id="95"/>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30th day of December, 1998.</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339"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SCOTT N. SEMEL, AS</w:t>
      </w:r>
    </w:p>
    <w:p>
      <w:pPr>
        <w:ind w:left="34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EXECUTIVE VICE PRESIDENT,</w:t>
      </w:r>
    </w:p>
    <w:p>
      <w:pPr>
        <w:ind w:left="3520"/>
        <w:spacing w:after="0" w:line="238" w:lineRule="auto"/>
        <w:rPr>
          <w:sz w:val="20"/>
          <w:szCs w:val="20"/>
          <w:color w:val="auto"/>
        </w:rPr>
      </w:pPr>
      <w:r>
        <w:rPr>
          <w:rFonts w:ascii="Courier New" w:cs="Courier New" w:eastAsia="Courier New" w:hAnsi="Courier New"/>
          <w:sz w:val="15"/>
          <w:szCs w:val="15"/>
          <w:color w:val="auto"/>
        </w:rPr>
        <w:t>GENERAL COUNSEL &amp;</w:t>
      </w:r>
    </w:p>
    <w:p>
      <w:pPr>
        <w:ind w:left="3520"/>
        <w:spacing w:after="0"/>
        <w:rPr>
          <w:sz w:val="20"/>
          <w:szCs w:val="20"/>
          <w:color w:val="auto"/>
        </w:rPr>
      </w:pPr>
      <w:r>
        <w:rPr>
          <w:rFonts w:ascii="Courier New" w:cs="Courier New" w:eastAsia="Courier New" w:hAnsi="Courier New"/>
          <w:sz w:val="15"/>
          <w:szCs w:val="15"/>
          <w:color w:val="auto"/>
        </w:rPr>
        <w:t>SECRETARY</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 BERNARD M. MANUEL</w:t>
      </w:r>
    </w:p>
    <w:p>
      <w:pPr>
        <w:ind w:left="316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Bernard M. Manuel</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96" w:name="page97"/>
    <w:bookmarkEnd w:id="96"/>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179" w:firstLine="1058"/>
        <w:spacing w:after="0" w:line="265" w:lineRule="auto"/>
        <w:rPr>
          <w:sz w:val="20"/>
          <w:szCs w:val="20"/>
          <w:color w:val="auto"/>
        </w:rPr>
      </w:pPr>
      <w:r>
        <w:rPr>
          <w:rFonts w:ascii="Courier New" w:cs="Courier New" w:eastAsia="Courier New" w:hAnsi="Courier New"/>
          <w:sz w:val="14"/>
          <w:szCs w:val="14"/>
          <w:color w:val="auto"/>
        </w:rPr>
        <w:t>AGREEMENT, effective as of December 10,1998, between Designs, Inc., a Delaware corporation (the "Company"), and Peter L. Thigpen (the "Indemnitee").</w:t>
      </w:r>
    </w:p>
    <w:p>
      <w:pPr>
        <w:spacing w:after="0" w:line="158"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8" w:lineRule="auto"/>
        <w:tabs>
          <w:tab w:leader="none" w:pos="10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 employee benefit plan, trust or other enterprise, or by reason of</w:t>
      </w:r>
    </w:p>
    <w:p>
      <w:pPr>
        <w:sectPr>
          <w:pgSz w:w="11900" w:h="16838" w:orient="portrait"/>
          <w:cols w:equalWidth="0" w:num="1">
            <w:col w:w="10219"/>
          </w:cols>
          <w:pgMar w:left="240" w:top="136" w:right="1440" w:bottom="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anything done or not done by Indemnitee in any such</w:t>
      </w:r>
    </w:p>
    <w:p>
      <w:pPr>
        <w:sectPr>
          <w:pgSz w:w="11900" w:h="16838" w:orient="portrait"/>
          <w:cols w:equalWidth="0" w:num="1">
            <w:col w:w="9179"/>
          </w:cols>
          <w:pgMar w:left="1280" w:top="141" w:right="1440" w:bottom="1440" w:gutter="0" w:footer="0" w:header="0"/>
        </w:sectPr>
      </w:pP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1" w:right="1440" w:bottom="1440" w:gutter="0" w:footer="0" w:header="0"/>
          <w:type w:val="continuous"/>
        </w:sectPr>
      </w:pPr>
    </w:p>
    <w:bookmarkStart w:id="98" w:name="page99"/>
    <w:bookmarkEnd w:id="98"/>
    <w:p>
      <w:pPr>
        <w:jc w:val="both"/>
        <w:ind w:left="521"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521" w:right="3259" w:hanging="521"/>
        <w:spacing w:after="0" w:line="238" w:lineRule="auto"/>
        <w:tabs>
          <w:tab w:leader="none" w:pos="52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521" w:right="3179" w:hanging="521"/>
        <w:spacing w:after="0" w:line="237" w:lineRule="auto"/>
        <w:tabs>
          <w:tab w:leader="none" w:pos="52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521" w:right="3979" w:hanging="521"/>
        <w:spacing w:after="0" w:line="235" w:lineRule="auto"/>
        <w:tabs>
          <w:tab w:leader="none" w:pos="52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519" w:right="3179" w:firstLine="519"/>
        <w:spacing w:after="0" w:line="239" w:lineRule="auto"/>
        <w:tabs>
          <w:tab w:leader="none" w:pos="27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519" w:right="3259" w:firstLine="1048"/>
        <w:spacing w:after="0" w:line="237" w:lineRule="auto"/>
        <w:tabs>
          <w:tab w:leader="none" w:pos="891"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00"/>
          </w:cols>
          <w:pgMar w:left="759" w:top="627" w:right="1440" w:bottom="1440" w:gutter="0" w:footer="0" w:header="0"/>
        </w:sectPr>
      </w:pPr>
    </w:p>
    <w:bookmarkStart w:id="99" w:name="page100"/>
    <w:bookmarkEnd w:id="99"/>
    <w:p>
      <w:pPr>
        <w:ind w:right="3179"/>
        <w:spacing w:after="0" w:line="256" w:lineRule="auto"/>
        <w:rPr>
          <w:sz w:val="20"/>
          <w:szCs w:val="20"/>
          <w:color w:val="auto"/>
        </w:rPr>
      </w:pPr>
      <w:r>
        <w:rPr>
          <w:rFonts w:ascii="Courier New" w:cs="Courier New" w:eastAsia="Courier New" w:hAnsi="Courier New"/>
          <w:sz w:val="14"/>
          <w:szCs w:val="14"/>
          <w:color w:val="auto"/>
        </w:rPr>
        <w:t>permitted to be indemnified under applicable law, and (ii) the obligation of the Company to make an Expense Advance pursuant to Section 2(a) shall be subject to the condition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8" w:lineRule="exact"/>
        <w:rPr>
          <w:sz w:val="20"/>
          <w:szCs w:val="20"/>
          <w:color w:val="auto"/>
        </w:rPr>
      </w:pPr>
    </w:p>
    <w:p>
      <w:pPr>
        <w:ind w:right="3179" w:firstLine="519"/>
        <w:spacing w:after="0" w:line="238" w:lineRule="auto"/>
        <w:tabs>
          <w:tab w:leader="none" w:pos="79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00" w:name="page101"/>
    <w:bookmarkEnd w:id="100"/>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01" w:name="page102"/>
    <w:bookmarkEnd w:id="101"/>
    <w:p>
      <w:pPr>
        <w:ind w:left="-519" w:right="3259" w:firstLine="519"/>
        <w:spacing w:after="0" w:line="237" w:lineRule="auto"/>
        <w:tabs>
          <w:tab w:leader="none" w:pos="274"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102" w:name="page103"/>
    <w:bookmarkEnd w:id="102"/>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30th day of December, 1998.</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339"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SCOTT N. SEMEL, AS</w:t>
      </w:r>
    </w:p>
    <w:p>
      <w:pPr>
        <w:ind w:left="342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EXECUTIVE VICE PRESIDENT,</w:t>
      </w:r>
    </w:p>
    <w:p>
      <w:pPr>
        <w:ind w:left="3600"/>
        <w:spacing w:after="0" w:line="238" w:lineRule="auto"/>
        <w:rPr>
          <w:sz w:val="20"/>
          <w:szCs w:val="20"/>
          <w:color w:val="auto"/>
        </w:rPr>
      </w:pPr>
      <w:r>
        <w:rPr>
          <w:rFonts w:ascii="Courier New" w:cs="Courier New" w:eastAsia="Courier New" w:hAnsi="Courier New"/>
          <w:sz w:val="15"/>
          <w:szCs w:val="15"/>
          <w:color w:val="auto"/>
        </w:rPr>
        <w:t>GENERAL COUNSEL &amp;</w:t>
      </w:r>
    </w:p>
    <w:p>
      <w:pPr>
        <w:ind w:left="3600"/>
        <w:spacing w:after="0"/>
        <w:rPr>
          <w:sz w:val="20"/>
          <w:szCs w:val="20"/>
          <w:color w:val="auto"/>
        </w:rPr>
      </w:pPr>
      <w:r>
        <w:rPr>
          <w:rFonts w:ascii="Courier New" w:cs="Courier New" w:eastAsia="Courier New" w:hAnsi="Courier New"/>
          <w:sz w:val="15"/>
          <w:szCs w:val="15"/>
          <w:color w:val="auto"/>
        </w:rPr>
        <w:t>SECRETARY</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PETER L. THIGPEN</w:t>
      </w:r>
    </w:p>
    <w:p>
      <w:pPr>
        <w:ind w:left="3160"/>
        <w:spacing w:after="0"/>
        <w:rPr>
          <w:sz w:val="20"/>
          <w:szCs w:val="20"/>
          <w:color w:val="auto"/>
        </w:rPr>
      </w:pPr>
      <w:r>
        <w:rPr>
          <w:rFonts w:ascii="Courier New" w:cs="Courier New" w:eastAsia="Courier New" w:hAnsi="Courier New"/>
          <w:sz w:val="15"/>
          <w:szCs w:val="15"/>
          <w:color w:val="auto"/>
        </w:rPr>
        <w:t>----------------------</w:t>
      </w:r>
    </w:p>
    <w:p>
      <w:pPr>
        <w:ind w:left="3160"/>
        <w:spacing w:after="0"/>
        <w:rPr>
          <w:sz w:val="20"/>
          <w:szCs w:val="20"/>
          <w:color w:val="auto"/>
        </w:rPr>
      </w:pPr>
      <w:r>
        <w:rPr>
          <w:rFonts w:ascii="Courier New" w:cs="Courier New" w:eastAsia="Courier New" w:hAnsi="Courier New"/>
          <w:sz w:val="15"/>
          <w:szCs w:val="15"/>
          <w:color w:val="auto"/>
        </w:rPr>
        <w:t>Peter L. Thigpen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03" w:name="page104"/>
    <w:bookmarkEnd w:id="103"/>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259" w:firstLine="1058"/>
        <w:spacing w:after="0" w:line="265" w:lineRule="auto"/>
        <w:rPr>
          <w:sz w:val="20"/>
          <w:szCs w:val="20"/>
          <w:color w:val="auto"/>
        </w:rPr>
      </w:pPr>
      <w:r>
        <w:rPr>
          <w:rFonts w:ascii="Courier New" w:cs="Courier New" w:eastAsia="Courier New" w:hAnsi="Courier New"/>
          <w:sz w:val="14"/>
          <w:szCs w:val="14"/>
          <w:color w:val="auto"/>
        </w:rPr>
        <w:t>AGREEMENT, effective as of December 10,1998, between Designs, Inc., a Delaware corporation (the "Company"), and Melvin Shapiro (the "Indemnitee").</w:t>
      </w:r>
    </w:p>
    <w:p>
      <w:pPr>
        <w:spacing w:after="0" w:line="158"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8" w:lineRule="auto"/>
        <w:tabs>
          <w:tab w:leader="none" w:pos="10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 employee benefit plan, trust or other enterprise, or by reason of</w:t>
      </w:r>
    </w:p>
    <w:p>
      <w:pPr>
        <w:sectPr>
          <w:pgSz w:w="11900" w:h="16838" w:orient="portrait"/>
          <w:cols w:equalWidth="0" w:num="1">
            <w:col w:w="10219"/>
          </w:cols>
          <w:pgMar w:left="240" w:top="136" w:right="1440" w:bottom="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anything done or not done by Indemnitee in any such</w:t>
      </w:r>
    </w:p>
    <w:p>
      <w:pPr>
        <w:sectPr>
          <w:pgSz w:w="11900" w:h="16838" w:orient="portrait"/>
          <w:cols w:equalWidth="0" w:num="1">
            <w:col w:w="9179"/>
          </w:cols>
          <w:pgMar w:left="1280" w:top="141" w:right="1440" w:bottom="1440" w:gutter="0" w:footer="0" w:header="0"/>
        </w:sectPr>
      </w:pP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1" w:right="1440" w:bottom="1440" w:gutter="0" w:footer="0" w:header="0"/>
          <w:type w:val="continuous"/>
        </w:sectPr>
      </w:pPr>
    </w:p>
    <w:bookmarkStart w:id="105" w:name="page106"/>
    <w:bookmarkEnd w:id="105"/>
    <w:p>
      <w:pPr>
        <w:jc w:val="both"/>
        <w:ind w:left="1050"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1050" w:right="3259" w:hanging="521"/>
        <w:spacing w:after="0" w:line="238" w:lineRule="auto"/>
        <w:tabs>
          <w:tab w:leader="none" w:pos="10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1050" w:right="3179" w:hanging="521"/>
        <w:spacing w:after="0" w:line="237" w:lineRule="auto"/>
        <w:tabs>
          <w:tab w:leader="none" w:pos="10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1050" w:right="3979" w:hanging="521"/>
        <w:spacing w:after="0" w:line="235" w:lineRule="auto"/>
        <w:tabs>
          <w:tab w:leader="none" w:pos="10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10" w:right="3179" w:firstLine="519"/>
        <w:spacing w:after="0" w:line="239" w:lineRule="auto"/>
        <w:tabs>
          <w:tab w:leader="none" w:pos="803"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 permitted to be indemnified under applicable law,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make an Expense Advance pursuant to Section 2(a) shall be subject to the condition that, if, when and to the extent that the Reviewing Party determines that Indemnitee would not be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106" w:name="page107"/>
    <w:bookmarkEnd w:id="106"/>
    <w:p>
      <w:pPr>
        <w:ind w:right="3179"/>
        <w:spacing w:after="0" w:line="256" w:lineRule="auto"/>
        <w:rPr>
          <w:sz w:val="20"/>
          <w:szCs w:val="20"/>
          <w:color w:val="auto"/>
        </w:rPr>
      </w:pPr>
      <w:r>
        <w:rPr>
          <w:rFonts w:ascii="Courier New" w:cs="Courier New" w:eastAsia="Courier New" w:hAnsi="Courier New"/>
          <w:sz w:val="14"/>
          <w:szCs w:val="14"/>
          <w:color w:val="auto"/>
        </w:rPr>
        <w:t>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7" w:lineRule="exact"/>
        <w:rPr>
          <w:sz w:val="20"/>
          <w:szCs w:val="20"/>
          <w:color w:val="auto"/>
        </w:rPr>
      </w:pPr>
    </w:p>
    <w:p>
      <w:pPr>
        <w:ind w:right="3179" w:firstLine="519"/>
        <w:spacing w:after="0" w:line="238" w:lineRule="auto"/>
        <w:tabs>
          <w:tab w:leader="none" w:pos="79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07" w:name="page108"/>
    <w:bookmarkEnd w:id="107"/>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08" w:name="page109"/>
    <w:bookmarkEnd w:id="108"/>
    <w:p>
      <w:pPr>
        <w:ind w:left="-519" w:right="3259" w:firstLine="519"/>
        <w:spacing w:after="0" w:line="237" w:lineRule="auto"/>
        <w:tabs>
          <w:tab w:leader="none" w:pos="27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109" w:name="page110"/>
    <w:bookmarkEnd w:id="109"/>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29th day of December, 1998.</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200" w:lineRule="exact"/>
        <w:rPr>
          <w:sz w:val="20"/>
          <w:szCs w:val="20"/>
          <w:color w:val="auto"/>
        </w:rPr>
      </w:pPr>
    </w:p>
    <w:p>
      <w:pPr>
        <w:spacing w:after="0" w:line="308"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SCOTT N. SEMEL, AS</w:t>
      </w:r>
    </w:p>
    <w:p>
      <w:pPr>
        <w:ind w:left="34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EXECUTIVE VICE PRESIDENT,</w:t>
      </w:r>
    </w:p>
    <w:p>
      <w:pPr>
        <w:ind w:left="3520"/>
        <w:spacing w:after="0" w:line="238" w:lineRule="auto"/>
        <w:rPr>
          <w:sz w:val="20"/>
          <w:szCs w:val="20"/>
          <w:color w:val="auto"/>
        </w:rPr>
      </w:pPr>
      <w:r>
        <w:rPr>
          <w:rFonts w:ascii="Courier New" w:cs="Courier New" w:eastAsia="Courier New" w:hAnsi="Courier New"/>
          <w:sz w:val="15"/>
          <w:szCs w:val="15"/>
          <w:color w:val="auto"/>
        </w:rPr>
        <w:t>GENERAL COUNSEL &amp;</w:t>
      </w:r>
    </w:p>
    <w:p>
      <w:pPr>
        <w:ind w:left="3520"/>
        <w:spacing w:after="0"/>
        <w:rPr>
          <w:sz w:val="20"/>
          <w:szCs w:val="20"/>
          <w:color w:val="auto"/>
        </w:rPr>
      </w:pPr>
      <w:r>
        <w:rPr>
          <w:rFonts w:ascii="Courier New" w:cs="Courier New" w:eastAsia="Courier New" w:hAnsi="Courier New"/>
          <w:sz w:val="15"/>
          <w:szCs w:val="15"/>
          <w:color w:val="auto"/>
        </w:rPr>
        <w:t>SECRETARY</w:t>
      </w:r>
    </w:p>
    <w:p>
      <w:pPr>
        <w:spacing w:after="0" w:line="338"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 MELVIN SHAPIRO</w:t>
      </w:r>
    </w:p>
    <w:p>
      <w:pPr>
        <w:ind w:left="3160"/>
        <w:spacing w:after="0"/>
        <w:rPr>
          <w:sz w:val="20"/>
          <w:szCs w:val="20"/>
          <w:color w:val="auto"/>
        </w:rPr>
      </w:pPr>
      <w:r>
        <w:rPr>
          <w:rFonts w:ascii="Courier New" w:cs="Courier New" w:eastAsia="Courier New" w:hAnsi="Courier New"/>
          <w:sz w:val="15"/>
          <w:szCs w:val="15"/>
          <w:color w:val="auto"/>
        </w:rPr>
        <w:t>--------------------</w:t>
      </w:r>
    </w:p>
    <w:p>
      <w:pPr>
        <w:ind w:left="3160"/>
        <w:spacing w:after="0"/>
        <w:rPr>
          <w:sz w:val="20"/>
          <w:szCs w:val="20"/>
          <w:color w:val="auto"/>
        </w:rPr>
      </w:pPr>
      <w:r>
        <w:rPr>
          <w:rFonts w:ascii="Courier New" w:cs="Courier New" w:eastAsia="Courier New" w:hAnsi="Courier New"/>
          <w:sz w:val="15"/>
          <w:szCs w:val="15"/>
          <w:color w:val="auto"/>
        </w:rPr>
        <w:t>Melvin Shapiro</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10" w:name="page111"/>
    <w:bookmarkEnd w:id="110"/>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179" w:firstLine="1058"/>
        <w:spacing w:after="0" w:line="265" w:lineRule="auto"/>
        <w:rPr>
          <w:sz w:val="20"/>
          <w:szCs w:val="20"/>
          <w:color w:val="auto"/>
        </w:rPr>
      </w:pPr>
      <w:r>
        <w:rPr>
          <w:rFonts w:ascii="Courier New" w:cs="Courier New" w:eastAsia="Courier New" w:hAnsi="Courier New"/>
          <w:sz w:val="14"/>
          <w:szCs w:val="14"/>
          <w:color w:val="auto"/>
        </w:rPr>
        <w:t>AGREEMENT, effective as of December 10,1998, between Designs, Inc., a Delaware corporation (the "Company"), and Joel H. Reichman (the "Indemnitee").</w:t>
      </w:r>
    </w:p>
    <w:p>
      <w:pPr>
        <w:spacing w:after="0" w:line="158"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8" w:lineRule="auto"/>
        <w:tabs>
          <w:tab w:leader="none" w:pos="104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 employee benefit plan, trust or other enterprise, or by reason of</w:t>
      </w:r>
    </w:p>
    <w:p>
      <w:pPr>
        <w:sectPr>
          <w:pgSz w:w="11900" w:h="16838" w:orient="portrait"/>
          <w:cols w:equalWidth="0" w:num="1">
            <w:col w:w="10219"/>
          </w:cols>
          <w:pgMar w:left="240" w:top="136" w:right="1440" w:bottom="0" w:gutter="0" w:footer="0" w:header="0"/>
        </w:sectPr>
      </w:pPr>
    </w:p>
    <w:bookmarkStart w:id="111" w:name="page112"/>
    <w:bookmarkEnd w:id="111"/>
    <w:p>
      <w:pPr>
        <w:spacing w:after="0"/>
        <w:rPr>
          <w:sz w:val="20"/>
          <w:szCs w:val="20"/>
          <w:color w:val="auto"/>
        </w:rPr>
      </w:pPr>
      <w:r>
        <w:rPr>
          <w:rFonts w:ascii="Courier New" w:cs="Courier New" w:eastAsia="Courier New" w:hAnsi="Courier New"/>
          <w:sz w:val="14"/>
          <w:szCs w:val="14"/>
          <w:color w:val="auto"/>
        </w:rPr>
        <w:t>anything done or not done by Indemnitee in any such</w:t>
      </w:r>
    </w:p>
    <w:p>
      <w:pPr>
        <w:sectPr>
          <w:pgSz w:w="11900" w:h="16838" w:orient="portrait"/>
          <w:cols w:equalWidth="0" w:num="1">
            <w:col w:w="9179"/>
          </w:cols>
          <w:pgMar w:left="1280" w:top="141" w:right="1440" w:bottom="1440" w:gutter="0" w:footer="0" w:header="0"/>
        </w:sectPr>
      </w:pP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1" w:right="1440" w:bottom="1440" w:gutter="0" w:footer="0" w:header="0"/>
          <w:type w:val="continuous"/>
        </w:sectPr>
      </w:pPr>
    </w:p>
    <w:bookmarkStart w:id="112" w:name="page113"/>
    <w:bookmarkEnd w:id="112"/>
    <w:p>
      <w:pPr>
        <w:jc w:val="both"/>
        <w:ind w:left="1050"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1050" w:right="3259" w:hanging="521"/>
        <w:spacing w:after="0" w:line="238" w:lineRule="auto"/>
        <w:tabs>
          <w:tab w:leader="none" w:pos="10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1050" w:right="3179" w:hanging="521"/>
        <w:spacing w:after="0" w:line="237" w:lineRule="auto"/>
        <w:tabs>
          <w:tab w:leader="none" w:pos="10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1050" w:right="3979" w:hanging="521"/>
        <w:spacing w:after="0" w:line="235" w:lineRule="auto"/>
        <w:tabs>
          <w:tab w:leader="none" w:pos="10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10" w:right="3179" w:firstLine="519"/>
        <w:spacing w:after="0" w:line="239" w:lineRule="auto"/>
        <w:tabs>
          <w:tab w:leader="none" w:pos="803"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 permitted to be indemnified under applicable law,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make an Expense Advance pursuant to Section 2(a) shall be subject to the condition that, if, when and to the extent that the Reviewing Party determines that Indemnitee would not be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113" w:name="page114"/>
    <w:bookmarkEnd w:id="113"/>
    <w:p>
      <w:pPr>
        <w:ind w:right="3179"/>
        <w:spacing w:after="0" w:line="256" w:lineRule="auto"/>
        <w:rPr>
          <w:sz w:val="20"/>
          <w:szCs w:val="20"/>
          <w:color w:val="auto"/>
        </w:rPr>
      </w:pPr>
      <w:r>
        <w:rPr>
          <w:rFonts w:ascii="Courier New" w:cs="Courier New" w:eastAsia="Courier New" w:hAnsi="Courier New"/>
          <w:sz w:val="14"/>
          <w:szCs w:val="14"/>
          <w:color w:val="auto"/>
        </w:rPr>
        <w:t>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7" w:lineRule="exact"/>
        <w:rPr>
          <w:sz w:val="20"/>
          <w:szCs w:val="20"/>
          <w:color w:val="auto"/>
        </w:rPr>
      </w:pPr>
    </w:p>
    <w:p>
      <w:pPr>
        <w:ind w:right="3179" w:firstLine="519"/>
        <w:spacing w:after="0" w:line="238" w:lineRule="auto"/>
        <w:tabs>
          <w:tab w:leader="none" w:pos="79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14" w:name="page115"/>
    <w:bookmarkEnd w:id="114"/>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15" w:name="page116"/>
    <w:bookmarkEnd w:id="115"/>
    <w:p>
      <w:pPr>
        <w:ind w:left="-519" w:right="3259" w:firstLine="519"/>
        <w:spacing w:after="0" w:line="237" w:lineRule="auto"/>
        <w:tabs>
          <w:tab w:leader="none" w:pos="27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116" w:name="page117"/>
    <w:bookmarkEnd w:id="116"/>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30th day of December, 1998.</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339"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ANTHONY E. HUBBARD</w:t>
      </w:r>
    </w:p>
    <w:p>
      <w:pPr>
        <w:ind w:left="3420"/>
        <w:spacing w:after="0"/>
        <w:rPr>
          <w:sz w:val="20"/>
          <w:szCs w:val="20"/>
          <w:color w:val="auto"/>
        </w:rPr>
      </w:pPr>
      <w:r>
        <w:rPr>
          <w:rFonts w:ascii="Courier New" w:cs="Courier New" w:eastAsia="Courier New" w:hAnsi="Courier New"/>
          <w:sz w:val="15"/>
          <w:szCs w:val="15"/>
          <w:color w:val="auto"/>
        </w:rPr>
        <w:t>-----------------------</w:t>
      </w: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Name:</w:t>
        <w:tab/>
        <w:t>Anthony E. Hubbard</w:t>
      </w:r>
    </w:p>
    <w:p>
      <w:pPr>
        <w:ind w:left="3160"/>
        <w:spacing w:after="0" w:line="238" w:lineRule="auto"/>
        <w:rPr>
          <w:sz w:val="20"/>
          <w:szCs w:val="20"/>
          <w:color w:val="auto"/>
        </w:rPr>
      </w:pPr>
      <w:r>
        <w:rPr>
          <w:rFonts w:ascii="Courier New" w:cs="Courier New" w:eastAsia="Courier New" w:hAnsi="Courier New"/>
          <w:sz w:val="15"/>
          <w:szCs w:val="15"/>
          <w:color w:val="auto"/>
        </w:rPr>
        <w:t>Title: Assistant Secretary</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 JOEL H. REICHMAN</w:t>
      </w:r>
    </w:p>
    <w:p>
      <w:pPr>
        <w:ind w:left="3160"/>
        <w:spacing w:after="0"/>
        <w:rPr>
          <w:sz w:val="20"/>
          <w:szCs w:val="20"/>
          <w:color w:val="auto"/>
        </w:rPr>
      </w:pPr>
      <w:r>
        <w:rPr>
          <w:rFonts w:ascii="Courier New" w:cs="Courier New" w:eastAsia="Courier New" w:hAnsi="Courier New"/>
          <w:sz w:val="15"/>
          <w:szCs w:val="15"/>
          <w:color w:val="auto"/>
        </w:rPr>
        <w:t>-----------------------</w:t>
      </w:r>
    </w:p>
    <w:p>
      <w:pPr>
        <w:ind w:left="3600"/>
        <w:spacing w:after="0"/>
        <w:rPr>
          <w:sz w:val="20"/>
          <w:szCs w:val="20"/>
          <w:color w:val="auto"/>
        </w:rPr>
      </w:pPr>
      <w:r>
        <w:rPr>
          <w:rFonts w:ascii="Courier New" w:cs="Courier New" w:eastAsia="Courier New" w:hAnsi="Courier New"/>
          <w:sz w:val="15"/>
          <w:szCs w:val="15"/>
          <w:color w:val="auto"/>
        </w:rPr>
        <w:t>Joel H. Reichman</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17" w:name="page118"/>
    <w:bookmarkEnd w:id="117"/>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259" w:firstLine="1058"/>
        <w:spacing w:after="0" w:line="265" w:lineRule="auto"/>
        <w:rPr>
          <w:sz w:val="20"/>
          <w:szCs w:val="20"/>
          <w:color w:val="auto"/>
        </w:rPr>
      </w:pPr>
      <w:r>
        <w:rPr>
          <w:rFonts w:ascii="Courier New" w:cs="Courier New" w:eastAsia="Courier New" w:hAnsi="Courier New"/>
          <w:sz w:val="14"/>
          <w:szCs w:val="14"/>
          <w:color w:val="auto"/>
        </w:rPr>
        <w:t>AGREEMENT, effective as of December 10,1998, between Designs, Inc., a Delaware corporation (the "Company"), and Scott N. Semel (the "Indemnitee").</w:t>
      </w:r>
    </w:p>
    <w:p>
      <w:pPr>
        <w:spacing w:after="0" w:line="158"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8" w:lineRule="auto"/>
        <w:tabs>
          <w:tab w:leader="none" w:pos="10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 employee benefit plan, trust or other enterprise, or by reason of</w:t>
      </w:r>
    </w:p>
    <w:p>
      <w:pPr>
        <w:sectPr>
          <w:pgSz w:w="11900" w:h="16838" w:orient="portrait"/>
          <w:cols w:equalWidth="0" w:num="1">
            <w:col w:w="10219"/>
          </w:cols>
          <w:pgMar w:left="240" w:top="136" w:right="1440" w:bottom="0" w:gutter="0" w:footer="0" w:header="0"/>
        </w:sectPr>
      </w:pPr>
    </w:p>
    <w:bookmarkStart w:id="118" w:name="page119"/>
    <w:bookmarkEnd w:id="118"/>
    <w:p>
      <w:pPr>
        <w:spacing w:after="0"/>
        <w:rPr>
          <w:sz w:val="20"/>
          <w:szCs w:val="20"/>
          <w:color w:val="auto"/>
        </w:rPr>
      </w:pPr>
      <w:r>
        <w:rPr>
          <w:rFonts w:ascii="Courier New" w:cs="Courier New" w:eastAsia="Courier New" w:hAnsi="Courier New"/>
          <w:sz w:val="14"/>
          <w:szCs w:val="14"/>
          <w:color w:val="auto"/>
        </w:rPr>
        <w:t>anything done or not done by Indemnitee in any such</w:t>
      </w:r>
    </w:p>
    <w:p>
      <w:pPr>
        <w:sectPr>
          <w:pgSz w:w="11900" w:h="16838" w:orient="portrait"/>
          <w:cols w:equalWidth="0" w:num="1">
            <w:col w:w="9179"/>
          </w:cols>
          <w:pgMar w:left="1280" w:top="141" w:right="1440" w:bottom="1440" w:gutter="0" w:footer="0" w:header="0"/>
        </w:sectPr>
      </w:pPr>
    </w:p>
    <w:p>
      <w:pPr>
        <w:spacing w:after="0" w:line="344"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1" w:right="1440" w:bottom="1440" w:gutter="0" w:footer="0" w:header="0"/>
          <w:type w:val="continuous"/>
        </w:sectPr>
      </w:pPr>
    </w:p>
    <w:bookmarkStart w:id="119" w:name="page120"/>
    <w:bookmarkEnd w:id="119"/>
    <w:p>
      <w:pPr>
        <w:jc w:val="both"/>
        <w:ind w:left="1050"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1050" w:right="3259" w:hanging="521"/>
        <w:spacing w:after="0" w:line="238" w:lineRule="auto"/>
        <w:tabs>
          <w:tab w:leader="none" w:pos="105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1050" w:right="3179" w:hanging="521"/>
        <w:spacing w:after="0" w:line="237" w:lineRule="auto"/>
        <w:tabs>
          <w:tab w:leader="none" w:pos="105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1050" w:right="3979" w:hanging="521"/>
        <w:spacing w:after="0" w:line="235" w:lineRule="auto"/>
        <w:tabs>
          <w:tab w:leader="none" w:pos="105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10" w:right="3179" w:firstLine="519"/>
        <w:spacing w:after="0" w:line="239" w:lineRule="auto"/>
        <w:tabs>
          <w:tab w:leader="none" w:pos="803"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 permitted to be indemnified under applicable law,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make an Expense Advance pursuant to Section 2(a) shall be subject to the condition that, if, when and to the extent that the Reviewing Party determines that Indemnitee would not be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120" w:name="page121"/>
    <w:bookmarkEnd w:id="120"/>
    <w:p>
      <w:pPr>
        <w:ind w:right="3179"/>
        <w:spacing w:after="0" w:line="256" w:lineRule="auto"/>
        <w:rPr>
          <w:sz w:val="20"/>
          <w:szCs w:val="20"/>
          <w:color w:val="auto"/>
        </w:rPr>
      </w:pPr>
      <w:r>
        <w:rPr>
          <w:rFonts w:ascii="Courier New" w:cs="Courier New" w:eastAsia="Courier New" w:hAnsi="Courier New"/>
          <w:sz w:val="14"/>
          <w:szCs w:val="14"/>
          <w:color w:val="auto"/>
        </w:rPr>
        <w:t>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7" w:lineRule="exact"/>
        <w:rPr>
          <w:sz w:val="20"/>
          <w:szCs w:val="20"/>
          <w:color w:val="auto"/>
        </w:rPr>
      </w:pPr>
    </w:p>
    <w:p>
      <w:pPr>
        <w:ind w:right="3179" w:firstLine="519"/>
        <w:spacing w:after="0" w:line="238" w:lineRule="auto"/>
        <w:tabs>
          <w:tab w:leader="none" w:pos="79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21" w:name="page122"/>
    <w:bookmarkEnd w:id="121"/>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22" w:name="page123"/>
    <w:bookmarkEnd w:id="122"/>
    <w:p>
      <w:pPr>
        <w:ind w:left="-519" w:right="3259" w:firstLine="519"/>
        <w:spacing w:after="0" w:line="237" w:lineRule="auto"/>
        <w:tabs>
          <w:tab w:leader="none" w:pos="274"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123" w:name="page124"/>
    <w:bookmarkEnd w:id="123"/>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28th day of December, 1998.</w:t>
      </w:r>
    </w:p>
    <w:p>
      <w:pPr>
        <w:spacing w:after="0" w:line="3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339"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ANTHONY E. HUBBARD</w:t>
      </w:r>
    </w:p>
    <w:p>
      <w:pPr>
        <w:ind w:left="3420"/>
        <w:spacing w:after="0"/>
        <w:rPr>
          <w:sz w:val="20"/>
          <w:szCs w:val="20"/>
          <w:color w:val="auto"/>
        </w:rPr>
      </w:pPr>
      <w:r>
        <w:rPr>
          <w:rFonts w:ascii="Courier New" w:cs="Courier New" w:eastAsia="Courier New" w:hAnsi="Courier New"/>
          <w:sz w:val="15"/>
          <w:szCs w:val="15"/>
          <w:color w:val="auto"/>
        </w:rPr>
        <w:t>-----------------------</w:t>
      </w: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Name:</w:t>
        <w:tab/>
        <w:t>Anthony E. Hubbard</w:t>
      </w:r>
    </w:p>
    <w:p>
      <w:pPr>
        <w:ind w:left="3160"/>
        <w:spacing w:after="0" w:line="238" w:lineRule="auto"/>
        <w:rPr>
          <w:sz w:val="20"/>
          <w:szCs w:val="20"/>
          <w:color w:val="auto"/>
        </w:rPr>
      </w:pPr>
      <w:r>
        <w:rPr>
          <w:rFonts w:ascii="Courier New" w:cs="Courier New" w:eastAsia="Courier New" w:hAnsi="Courier New"/>
          <w:sz w:val="15"/>
          <w:szCs w:val="15"/>
          <w:color w:val="auto"/>
        </w:rPr>
        <w:t>Title: Assistant Secretary</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 SCOTT N. SEMEL</w:t>
      </w:r>
    </w:p>
    <w:p>
      <w:pPr>
        <w:ind w:left="316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Scott N. Semel</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24" w:name="page125"/>
    <w:bookmarkEnd w:id="124"/>
    <w:p>
      <w:pPr>
        <w:ind w:left="2460"/>
        <w:spacing w:after="0"/>
        <w:rPr>
          <w:sz w:val="20"/>
          <w:szCs w:val="20"/>
          <w:color w:val="auto"/>
        </w:rPr>
      </w:pPr>
      <w:r>
        <w:rPr>
          <w:rFonts w:ascii="Courier New" w:cs="Courier New" w:eastAsia="Courier New" w:hAnsi="Courier New"/>
          <w:sz w:val="15"/>
          <w:szCs w:val="15"/>
          <w:color w:val="auto"/>
        </w:rPr>
        <w:t>INDEMNIFICATION AGREEMENT</w:t>
      </w:r>
    </w:p>
    <w:p>
      <w:pPr>
        <w:spacing w:after="0" w:line="175" w:lineRule="exact"/>
        <w:rPr>
          <w:sz w:val="20"/>
          <w:szCs w:val="20"/>
          <w:color w:val="auto"/>
        </w:rPr>
      </w:pPr>
    </w:p>
    <w:p>
      <w:pPr>
        <w:ind w:right="3259" w:firstLine="1058"/>
        <w:spacing w:after="0" w:line="237" w:lineRule="auto"/>
        <w:rPr>
          <w:sz w:val="20"/>
          <w:szCs w:val="20"/>
          <w:color w:val="auto"/>
        </w:rPr>
      </w:pPr>
      <w:r>
        <w:rPr>
          <w:rFonts w:ascii="Courier New" w:cs="Courier New" w:eastAsia="Courier New" w:hAnsi="Courier New"/>
          <w:sz w:val="15"/>
          <w:szCs w:val="15"/>
          <w:color w:val="auto"/>
        </w:rPr>
        <w:t>AGREEMENT, effective as of December 10,1998, between Designs, Inc., a Delaware corporation (the "Company"), and Carolyn R. Faulkner (the "Indemnitee").</w:t>
      </w:r>
    </w:p>
    <w:p>
      <w:pPr>
        <w:spacing w:after="0" w:line="175" w:lineRule="exact"/>
        <w:rPr>
          <w:sz w:val="20"/>
          <w:szCs w:val="20"/>
          <w:color w:val="auto"/>
        </w:rPr>
      </w:pPr>
    </w:p>
    <w:p>
      <w:pPr>
        <w:ind w:right="3539" w:firstLine="1058"/>
        <w:spacing w:after="0" w:line="235" w:lineRule="auto"/>
        <w:rPr>
          <w:sz w:val="20"/>
          <w:szCs w:val="20"/>
          <w:color w:val="auto"/>
        </w:rPr>
      </w:pPr>
      <w:r>
        <w:rPr>
          <w:rFonts w:ascii="Courier New" w:cs="Courier New" w:eastAsia="Courier New" w:hAnsi="Courier New"/>
          <w:sz w:val="15"/>
          <w:szCs w:val="15"/>
          <w:color w:val="auto"/>
        </w:rPr>
        <w:t>WHEREAS, it is essential to the Company to retain and attract as directors and officers the most capable persons available;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WHEREAS, Indemnitee is a director or officer of the Company;</w:t>
      </w:r>
    </w:p>
    <w:p>
      <w:pPr>
        <w:spacing w:after="0" w:line="175" w:lineRule="exact"/>
        <w:rPr>
          <w:sz w:val="20"/>
          <w:szCs w:val="20"/>
          <w:color w:val="auto"/>
        </w:rPr>
      </w:pPr>
    </w:p>
    <w:p>
      <w:pPr>
        <w:ind w:right="3539" w:firstLine="1058"/>
        <w:spacing w:after="0" w:line="237" w:lineRule="auto"/>
        <w:rPr>
          <w:sz w:val="20"/>
          <w:szCs w:val="20"/>
          <w:color w:val="auto"/>
        </w:rPr>
      </w:pPr>
      <w:r>
        <w:rPr>
          <w:rFonts w:ascii="Courier New" w:cs="Courier New" w:eastAsia="Courier New" w:hAnsi="Courier New"/>
          <w:sz w:val="15"/>
          <w:szCs w:val="15"/>
          <w:color w:val="auto"/>
        </w:rPr>
        <w:t>WHEREAS, both the Company and Indemnitee recognize the increased risk of litigation and other claims being asserted against directors and officers of public companies in today's environment;</w:t>
      </w:r>
    </w:p>
    <w:p>
      <w:pPr>
        <w:spacing w:after="0" w:line="175" w:lineRule="exact"/>
        <w:rPr>
          <w:sz w:val="20"/>
          <w:szCs w:val="20"/>
          <w:color w:val="auto"/>
        </w:rPr>
      </w:pPr>
    </w:p>
    <w:p>
      <w:pPr>
        <w:jc w:val="both"/>
        <w:ind w:right="3259" w:firstLine="1058"/>
        <w:spacing w:after="0" w:line="259" w:lineRule="auto"/>
        <w:rPr>
          <w:sz w:val="20"/>
          <w:szCs w:val="20"/>
          <w:color w:val="auto"/>
        </w:rPr>
      </w:pPr>
      <w:r>
        <w:rPr>
          <w:rFonts w:ascii="Courier New" w:cs="Courier New" w:eastAsia="Courier New" w:hAnsi="Courier New"/>
          <w:sz w:val="14"/>
          <w:szCs w:val="14"/>
          <w:color w:val="auto"/>
        </w:rPr>
        <w:t>WHEREAS, the By-laws of the Company permit the Company to indemnify and advance expenses to its directors and officers to the full extent permitted by law and the Indemnitee has been serving and continues to serve as a director or officer of the Company in part in reliance on such By-laws;</w:t>
      </w:r>
    </w:p>
    <w:p>
      <w:pPr>
        <w:spacing w:after="0" w:line="163" w:lineRule="exact"/>
        <w:rPr>
          <w:sz w:val="20"/>
          <w:szCs w:val="20"/>
          <w:color w:val="auto"/>
        </w:rPr>
      </w:pPr>
    </w:p>
    <w:p>
      <w:pPr>
        <w:ind w:right="3179" w:firstLine="1058"/>
        <w:spacing w:after="0" w:line="257" w:lineRule="auto"/>
        <w:rPr>
          <w:sz w:val="20"/>
          <w:szCs w:val="20"/>
          <w:color w:val="auto"/>
        </w:rPr>
      </w:pPr>
      <w:r>
        <w:rPr>
          <w:rFonts w:ascii="Courier New" w:cs="Courier New" w:eastAsia="Courier New" w:hAnsi="Courier New"/>
          <w:sz w:val="14"/>
          <w:szCs w:val="14"/>
          <w:color w:val="auto"/>
        </w:rPr>
        <w:t>WHEREAS, in recognition of Indemnitee's need for substantial protection against personal liability in order to enhance Indemnitee's continued service to the Company in an effective manner, and Indemnitee's reliance on the aforesaid By-laws, and in part to provide Indemnitee with specific contractual assurance that the protection permitted by such By-laws will be available to Indemnitee (regardless of, among other things, any amendment to or revocation of such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65" w:lineRule="exact"/>
        <w:rPr>
          <w:sz w:val="20"/>
          <w:szCs w:val="20"/>
          <w:color w:val="auto"/>
        </w:rPr>
      </w:pPr>
    </w:p>
    <w:p>
      <w:pPr>
        <w:ind w:right="3179" w:firstLine="1058"/>
        <w:spacing w:after="0" w:line="260" w:lineRule="auto"/>
        <w:rPr>
          <w:sz w:val="20"/>
          <w:szCs w:val="20"/>
          <w:color w:val="auto"/>
        </w:rPr>
      </w:pPr>
      <w:r>
        <w:rPr>
          <w:rFonts w:ascii="Courier New" w:cs="Courier New" w:eastAsia="Courier New" w:hAnsi="Courier New"/>
          <w:sz w:val="14"/>
          <w:szCs w:val="14"/>
          <w:color w:val="auto"/>
        </w:rPr>
        <w:t>NOW, THEREFORE, in consideration of the premises and of Indemnitee continuing to serve the Company directly or, at its request, another enterprise, and intending to be legally bound hereby, the parties hereto agree as follows:</w:t>
      </w:r>
    </w:p>
    <w:p>
      <w:pPr>
        <w:spacing w:after="0" w:line="15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1. Certain Definitions:</w:t>
      </w:r>
    </w:p>
    <w:p>
      <w:pPr>
        <w:spacing w:after="0" w:line="175" w:lineRule="exact"/>
        <w:rPr>
          <w:sz w:val="20"/>
          <w:szCs w:val="20"/>
          <w:color w:val="auto"/>
        </w:rPr>
      </w:pPr>
    </w:p>
    <w:p>
      <w:pPr>
        <w:ind w:left="1040" w:right="3179" w:hanging="521"/>
        <w:spacing w:after="0" w:line="237" w:lineRule="auto"/>
        <w:tabs>
          <w:tab w:leader="none" w:pos="10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91" w:lineRule="exact"/>
        <w:rPr>
          <w:sz w:val="20"/>
          <w:szCs w:val="20"/>
          <w:color w:val="auto"/>
        </w:rPr>
      </w:pPr>
    </w:p>
    <w:p>
      <w:pPr>
        <w:ind w:left="1040" w:right="3179"/>
        <w:spacing w:after="0" w:line="256" w:lineRule="auto"/>
        <w:rPr>
          <w:sz w:val="20"/>
          <w:szCs w:val="20"/>
          <w:color w:val="auto"/>
        </w:rPr>
      </w:pPr>
      <w:r>
        <w:rPr>
          <w:rFonts w:ascii="Courier New" w:cs="Courier New" w:eastAsia="Courier New" w:hAnsi="Courier New"/>
          <w:sz w:val="14"/>
          <w:szCs w:val="14"/>
          <w:color w:val="auto"/>
        </w:rPr>
        <w:t>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15% or more of the total voting power represented by the Company's then outstanding Voting Securities, or</w:t>
      </w:r>
    </w:p>
    <w:p>
      <w:pPr>
        <w:spacing w:after="0" w:line="2" w:lineRule="exact"/>
        <w:rPr>
          <w:sz w:val="20"/>
          <w:szCs w:val="20"/>
          <w:color w:val="auto"/>
        </w:rPr>
      </w:pPr>
    </w:p>
    <w:p>
      <w:pPr>
        <w:ind w:left="1040" w:right="3179" w:firstLine="8"/>
        <w:spacing w:after="0" w:line="256" w:lineRule="auto"/>
        <w:tabs>
          <w:tab w:leader="none" w:pos="1481"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period of two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the Company's assets.</w:t>
      </w:r>
    </w:p>
    <w:p>
      <w:pPr>
        <w:spacing w:after="0" w:line="345" w:lineRule="exact"/>
        <w:rPr>
          <w:rFonts w:ascii="Courier New" w:cs="Courier New" w:eastAsia="Courier New" w:hAnsi="Courier New"/>
          <w:sz w:val="14"/>
          <w:szCs w:val="14"/>
          <w:color w:val="auto"/>
        </w:rPr>
      </w:pPr>
    </w:p>
    <w:p>
      <w:pPr>
        <w:ind w:left="1040" w:right="3179" w:hanging="521"/>
        <w:spacing w:after="0" w:line="238" w:lineRule="auto"/>
        <w:tabs>
          <w:tab w:leader="none" w:pos="10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or proceeding, or any inquiry or investigation that Indemnitee in good faith believes might lead to the institution of any such action, suit or proceeding, whether instituted by the Company or any other party and, whether civil, criminal, administrative, investigative or other.</w:t>
      </w:r>
    </w:p>
    <w:p>
      <w:pPr>
        <w:spacing w:after="0" w:line="175" w:lineRule="exact"/>
        <w:rPr>
          <w:rFonts w:ascii="Courier New" w:cs="Courier New" w:eastAsia="Courier New" w:hAnsi="Courier New"/>
          <w:sz w:val="15"/>
          <w:szCs w:val="15"/>
          <w:color w:val="auto"/>
        </w:rPr>
      </w:pPr>
    </w:p>
    <w:p>
      <w:pPr>
        <w:ind w:left="1040" w:right="3259" w:hanging="521"/>
        <w:spacing w:after="0" w:line="237" w:lineRule="auto"/>
        <w:tabs>
          <w:tab w:leader="none" w:pos="10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w:t>
      </w:r>
    </w:p>
    <w:p>
      <w:pPr>
        <w:spacing w:after="0" w:line="178" w:lineRule="exact"/>
        <w:rPr>
          <w:rFonts w:ascii="Courier New" w:cs="Courier New" w:eastAsia="Courier New" w:hAnsi="Courier New"/>
          <w:sz w:val="15"/>
          <w:szCs w:val="15"/>
          <w:color w:val="auto"/>
        </w:rPr>
      </w:pPr>
    </w:p>
    <w:p>
      <w:pPr>
        <w:ind w:left="1040" w:right="3179" w:hanging="521"/>
        <w:spacing w:after="0" w:line="237" w:lineRule="auto"/>
        <w:tabs>
          <w:tab w:leader="none" w:pos="10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Indemnifiable Event: any event or occurrence related to the fact that Indemnitee is or was a director, officer, employee, agent or fiduciary of the Company, or is or was serving at the request of the Company as a director, officer, employee, trustee, agent or fiduciary of another corporation, partnership, joint venture,</w:t>
      </w:r>
    </w:p>
    <w:p>
      <w:pPr>
        <w:sectPr>
          <w:pgSz w:w="11900" w:h="16838" w:orient="portrait"/>
          <w:cols w:equalWidth="0" w:num="1">
            <w:col w:w="10219"/>
          </w:cols>
          <w:pgMar w:left="240" w:top="136" w:right="1440" w:bottom="0" w:gutter="0" w:footer="0" w:header="0"/>
        </w:sectPr>
      </w:pPr>
    </w:p>
    <w:bookmarkStart w:id="125" w:name="page126"/>
    <w:bookmarkEnd w:id="125"/>
    <w:p>
      <w:pPr>
        <w:ind w:right="3439"/>
        <w:spacing w:after="0" w:line="235" w:lineRule="auto"/>
        <w:rPr>
          <w:sz w:val="20"/>
          <w:szCs w:val="20"/>
          <w:color w:val="auto"/>
        </w:rPr>
      </w:pPr>
      <w:r>
        <w:rPr>
          <w:rFonts w:ascii="Courier New" w:cs="Courier New" w:eastAsia="Courier New" w:hAnsi="Courier New"/>
          <w:sz w:val="15"/>
          <w:szCs w:val="15"/>
          <w:color w:val="auto"/>
        </w:rPr>
        <w:t>employee benefit plan, trust or other enterprise, or by reason of anything done or not done by Indemnitee in any such</w:t>
      </w:r>
    </w:p>
    <w:p>
      <w:pPr>
        <w:spacing w:after="0" w:line="340"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179"/>
          </w:cols>
          <w:pgMar w:left="1280" w:top="142" w:right="1440" w:bottom="1440" w:gutter="0" w:footer="0" w:header="0"/>
        </w:sectPr>
      </w:pPr>
    </w:p>
    <w:bookmarkStart w:id="126" w:name="page127"/>
    <w:bookmarkEnd w:id="126"/>
    <w:p>
      <w:pPr>
        <w:jc w:val="both"/>
        <w:ind w:left="1050" w:right="3359"/>
        <w:spacing w:after="0" w:line="237" w:lineRule="auto"/>
        <w:rPr>
          <w:sz w:val="20"/>
          <w:szCs w:val="20"/>
          <w:color w:val="auto"/>
        </w:rPr>
      </w:pPr>
      <w:r>
        <w:rPr>
          <w:rFonts w:ascii="Courier New" w:cs="Courier New" w:eastAsia="Courier New" w:hAnsi="Courier New"/>
          <w:sz w:val="15"/>
          <w:szCs w:val="15"/>
          <w:color w:val="auto"/>
        </w:rPr>
        <w:t>capacity, including without limitation any action taken or omitted to be taken by Indemnitee in connection with or arising out of the consent solicitation of Jewelcor Management, Inc.</w:t>
      </w:r>
    </w:p>
    <w:p>
      <w:pPr>
        <w:spacing w:after="0" w:line="175" w:lineRule="exact"/>
        <w:rPr>
          <w:sz w:val="20"/>
          <w:szCs w:val="20"/>
          <w:color w:val="auto"/>
        </w:rPr>
      </w:pPr>
    </w:p>
    <w:p>
      <w:pPr>
        <w:ind w:left="1050" w:right="3259" w:hanging="521"/>
        <w:spacing w:after="0" w:line="238" w:lineRule="auto"/>
        <w:tabs>
          <w:tab w:leader="none" w:pos="10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Legal Counsel: an attorney or firm of attorneys, selected in accordance with the provisions of Section 3, who shall not have otherwise performed services for the Company or Indemnitee within the last five years (other than with respect to matters concerning the rights of Indemnitee under this Agreement, or of other indemnitees under similar indemnity agreements).</w:t>
      </w:r>
    </w:p>
    <w:p>
      <w:pPr>
        <w:spacing w:after="0" w:line="175" w:lineRule="exact"/>
        <w:rPr>
          <w:rFonts w:ascii="Courier New" w:cs="Courier New" w:eastAsia="Courier New" w:hAnsi="Courier New"/>
          <w:sz w:val="15"/>
          <w:szCs w:val="15"/>
          <w:color w:val="auto"/>
        </w:rPr>
      </w:pPr>
    </w:p>
    <w:p>
      <w:pPr>
        <w:ind w:left="1050" w:right="3179" w:hanging="521"/>
        <w:spacing w:after="0" w:line="237" w:lineRule="auto"/>
        <w:tabs>
          <w:tab w:leader="none" w:pos="10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any appropriate person or body consisting of a member or members of the Company's Board of Directors or any other person or body appointed by the Board who is not a party to the particular Claim for which Indemnitee is seeking indemnification, or Independent Legal Counsel.</w:t>
      </w:r>
    </w:p>
    <w:p>
      <w:pPr>
        <w:spacing w:after="0" w:line="178" w:lineRule="exact"/>
        <w:rPr>
          <w:rFonts w:ascii="Courier New" w:cs="Courier New" w:eastAsia="Courier New" w:hAnsi="Courier New"/>
          <w:sz w:val="15"/>
          <w:szCs w:val="15"/>
          <w:color w:val="auto"/>
        </w:rPr>
      </w:pPr>
    </w:p>
    <w:p>
      <w:pPr>
        <w:ind w:left="1050" w:right="3979" w:hanging="521"/>
        <w:spacing w:after="0" w:line="235" w:lineRule="auto"/>
        <w:tabs>
          <w:tab w:leader="none" w:pos="105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6" w:lineRule="exact"/>
        <w:rPr>
          <w:sz w:val="20"/>
          <w:szCs w:val="20"/>
          <w:color w:val="auto"/>
        </w:rPr>
      </w:pPr>
    </w:p>
    <w:p>
      <w:pPr>
        <w:ind w:left="10" w:right="3179" w:firstLine="519"/>
        <w:spacing w:after="0" w:line="239" w:lineRule="auto"/>
        <w:tabs>
          <w:tab w:leader="none" w:pos="803"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Indemnification Arrangement. (a) 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the Company shall advance (within two business days of such request) any and all Expenses to Indemnitee (an "Expense Advance"). Notwithstanding anything in this Agreement to the contrary, Indemnitee shall not be entitled to indemnification pursuant to this Agreement in connection with any Claim initiated by Indemnitee or anyone acting in concert with the Indemnitee (other than a Claim seeking to enforce Indemnitee's rights under this Agreement) unless the Board of Directors has authorized or consented to the initiation of such Claim.</w:t>
      </w:r>
    </w:p>
    <w:p>
      <w:pPr>
        <w:spacing w:after="0" w:line="174" w:lineRule="exact"/>
        <w:rPr>
          <w:rFonts w:ascii="Courier New" w:cs="Courier New" w:eastAsia="Courier New" w:hAnsi="Courier New"/>
          <w:sz w:val="15"/>
          <w:szCs w:val="15"/>
          <w:color w:val="auto"/>
        </w:rPr>
      </w:pPr>
    </w:p>
    <w:p>
      <w:pPr>
        <w:ind w:left="10" w:right="3259" w:firstLine="1048"/>
        <w:spacing w:after="0" w:line="256" w:lineRule="auto"/>
        <w:tabs>
          <w:tab w:leader="none" w:pos="1420" w:val="left"/>
        </w:tabs>
        <w:numPr>
          <w:ilvl w:val="2"/>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 the obligations of the Company under Section 2(a) shall be subject to the condition that the Reviewing Party shall not have determined (in a written opinion, in any case in which the Independent Legal Counsel referred to in Section 3 hereof is involved) that Indemnitee would not be permitted to be indemnified under applicable law, and</w:t>
      </w:r>
    </w:p>
    <w:p>
      <w:pPr>
        <w:spacing w:after="0" w:line="1" w:lineRule="exact"/>
        <w:rPr>
          <w:rFonts w:ascii="Courier New" w:cs="Courier New" w:eastAsia="Courier New" w:hAnsi="Courier New"/>
          <w:sz w:val="14"/>
          <w:szCs w:val="14"/>
          <w:color w:val="auto"/>
        </w:rPr>
      </w:pPr>
    </w:p>
    <w:p>
      <w:pPr>
        <w:ind w:left="10" w:right="3259" w:hanging="10"/>
        <w:spacing w:after="0" w:line="237" w:lineRule="auto"/>
        <w:tabs>
          <w:tab w:leader="none" w:pos="45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Company to make an Expense Advance pursuant to Section 2(a) shall be subject to the condition that, if, when and to the extent that the Reviewing Party determines that Indemnitee would not be</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127" w:name="page128"/>
    <w:bookmarkEnd w:id="127"/>
    <w:p>
      <w:pPr>
        <w:ind w:right="3179"/>
        <w:spacing w:after="0" w:line="256" w:lineRule="auto"/>
        <w:rPr>
          <w:sz w:val="20"/>
          <w:szCs w:val="20"/>
          <w:color w:val="auto"/>
        </w:rPr>
      </w:pPr>
      <w:r>
        <w:rPr>
          <w:rFonts w:ascii="Courier New" w:cs="Courier New" w:eastAsia="Courier New" w:hAnsi="Courier New"/>
          <w:sz w:val="14"/>
          <w:szCs w:val="14"/>
          <w:color w:val="auto"/>
        </w:rPr>
        <w:t>permitted to be so indemnified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(other than a Change in Control which has been approved by a majority of the Company's Board of Directors who were directors immediately prior to such Change in Control), the Reviewing Party shall be the Independent Legal Counsel referred to in Section 3 hereof.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States of Massachusetts or Delaware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Any determination by the Reviewing Party otherwise shall be conclusive and binding on the Company and Indemnitee.</w:t>
      </w:r>
    </w:p>
    <w:p>
      <w:pPr>
        <w:spacing w:after="0" w:line="347" w:lineRule="exact"/>
        <w:rPr>
          <w:sz w:val="20"/>
          <w:szCs w:val="20"/>
          <w:color w:val="auto"/>
        </w:rPr>
      </w:pPr>
    </w:p>
    <w:p>
      <w:pPr>
        <w:ind w:right="3179" w:firstLine="519"/>
        <w:spacing w:after="0" w:line="238" w:lineRule="auto"/>
        <w:tabs>
          <w:tab w:leader="none" w:pos="79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The Company agrees that if there is a Change in Control of the Company (other than a Change in Control which has been approved by a majority of the Company's Board of Directors who were directors immediately prior to such Change in Control) then with respect to all matters thereafter arising concerning the rights of Indemnitee to indemnity payments and Expense Advances under this Agreement or any other agreement or Company By-law now or hereafter in effect relating to Claims for Indemnifiable Events, the Company shall seek legal advice only from Independent Legal Counsel selected by Indemnitee and approved by the Company (which approval shall not be unreasonably withheld). Such counsel, among other things, shall render its written opinion to the Company and Indemnitee as to whether and to what extent the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85" w:lineRule="exact"/>
        <w:rPr>
          <w:rFonts w:ascii="Courier New" w:cs="Courier New" w:eastAsia="Courier New" w:hAnsi="Courier New"/>
          <w:sz w:val="15"/>
          <w:szCs w:val="15"/>
          <w:color w:val="auto"/>
        </w:rPr>
      </w:pPr>
    </w:p>
    <w:p>
      <w:pPr>
        <w:ind w:right="3439" w:firstLine="519"/>
        <w:spacing w:after="0" w:line="238" w:lineRule="auto"/>
        <w:tabs>
          <w:tab w:leader="none" w:pos="79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for Additional Expenses. The Company shall indemnify Indemnitee against any and all expenses (including attorneys' fees) and, if requested by Indemnitee, shall (within two business days of such request) advance such expenses to Indemnitee, which are incurred by Indemnitee in connection with any action brought by Indemnitee for (i) indemnification or advance payment of Expenses by the Company under</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128" w:name="page129"/>
    <w:bookmarkEnd w:id="128"/>
    <w:p>
      <w:pPr>
        <w:ind w:right="3179"/>
        <w:spacing w:after="0" w:line="238" w:lineRule="auto"/>
        <w:rPr>
          <w:sz w:val="20"/>
          <w:szCs w:val="20"/>
          <w:color w:val="auto"/>
        </w:rPr>
      </w:pPr>
      <w:r>
        <w:rPr>
          <w:rFonts w:ascii="Courier New" w:cs="Courier New" w:eastAsia="Courier New" w:hAnsi="Courier New"/>
          <w:sz w:val="15"/>
          <w:szCs w:val="15"/>
          <w:color w:val="auto"/>
        </w:rPr>
        <w:t>this Agreement or any other agreement or Company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6" w:lineRule="exact"/>
        <w:rPr>
          <w:sz w:val="20"/>
          <w:szCs w:val="20"/>
          <w:color w:val="auto"/>
        </w:rPr>
      </w:pPr>
    </w:p>
    <w:p>
      <w:pPr>
        <w:ind w:right="3179" w:firstLine="519"/>
        <w:spacing w:after="0" w:line="238" w:lineRule="auto"/>
        <w:tabs>
          <w:tab w:leader="none" w:pos="79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 Indemnity, Etc. If Indemnitee is entitled under any provision of this Agreement to indemnification by the Company for some or a portion of the Expenses, judgments, fines, penalties and amounts paid in settlement of a Claim but not, however, for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w:t>
      </w:r>
    </w:p>
    <w:p>
      <w:pPr>
        <w:spacing w:after="0" w:line="180" w:lineRule="exact"/>
        <w:rPr>
          <w:rFonts w:ascii="Courier New" w:cs="Courier New" w:eastAsia="Courier New" w:hAnsi="Courier New"/>
          <w:sz w:val="15"/>
          <w:szCs w:val="15"/>
          <w:color w:val="auto"/>
        </w:rPr>
      </w:pPr>
    </w:p>
    <w:p>
      <w:pPr>
        <w:ind w:right="3259" w:firstLine="519"/>
        <w:spacing w:after="0" w:line="237" w:lineRule="auto"/>
        <w:tabs>
          <w:tab w:leader="none" w:pos="79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Burden of Proof. In connection with any determination by the Reviewing Party or otherwise as to whether Indemnitee is entitled to be indemnified hereunder the burden of proof shall be on the Company to establish that Indemnitee is not so entitled.</w:t>
      </w:r>
    </w:p>
    <w:p>
      <w:pPr>
        <w:spacing w:after="0" w:line="176"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Presumptions. For purposes of this Agreement, the termination of any claim,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neither the failure of the Reviewing Party to have made a determination as to whether Indemnitee has met any particular standard of conduct or had any particular belief, nor an actual determination by the Reviewing Party that Indemnitee has not met such standard of conduct or did not have such belief, prior to the commencement of legal proceedings by Indemnitee to secure a judicial determination that Indemnitee should be indemnified under applicable law shall be a defense to Indemnitee's claim or create a presumption that Indemnitee has not met any particular standard of conduct or did not have any particular belief.</w:t>
      </w:r>
    </w:p>
    <w:p>
      <w:pPr>
        <w:spacing w:after="0" w:line="184" w:lineRule="exact"/>
        <w:rPr>
          <w:rFonts w:ascii="Courier New" w:cs="Courier New" w:eastAsia="Courier New" w:hAnsi="Courier New"/>
          <w:sz w:val="15"/>
          <w:szCs w:val="15"/>
          <w:color w:val="auto"/>
        </w:rPr>
      </w:pPr>
    </w:p>
    <w:p>
      <w:pPr>
        <w:ind w:right="3179" w:firstLine="519"/>
        <w:spacing w:after="0" w:line="238" w:lineRule="auto"/>
        <w:tabs>
          <w:tab w:leader="none" w:pos="79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Etc. The rights of the Indemnitee hereunder shall be in addition to any other rights Indemnitee may have under the Company's By-laws or the Delaware General Corporation Law or otherwise. To the extent that a change in the Delaware General Corporation Law (whether by statute or judicial decision) permits greater indemnification by agreement than would be afforded currently under the Company's By-laws and this Agreement, it is the intent of the parties hereto that Indemnitee shall enjoy by this Agreement the greater benefits so afforded by such change.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sectPr>
      </w:pPr>
    </w:p>
    <w:bookmarkStart w:id="129" w:name="page130"/>
    <w:bookmarkEnd w:id="129"/>
    <w:p>
      <w:pPr>
        <w:ind w:left="-519" w:right="3259" w:firstLine="519"/>
        <w:spacing w:after="0" w:line="237" w:lineRule="auto"/>
        <w:tabs>
          <w:tab w:leader="none" w:pos="27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Insurance.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Limitations.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8"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Etc.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Courier New" w:cs="Courier New" w:eastAsia="Courier New" w:hAnsi="Courier New"/>
          <w:sz w:val="15"/>
          <w:szCs w:val="15"/>
          <w:color w:val="auto"/>
        </w:rPr>
      </w:pPr>
    </w:p>
    <w:p>
      <w:pPr>
        <w:ind w:left="-519" w:right="3179" w:firstLine="519"/>
        <w:spacing w:after="0" w:line="237" w:lineRule="auto"/>
        <w:tabs>
          <w:tab w:leader="none" w:pos="3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Duplication of Payments. The Company shall not be liable under this Agreement to make any payment in connection with any Claim made against Indemnitee to the extent Indemnitee has otherwise actually received payment (under any insurance policy, By-law or otherwise) of the amounts otherwise indemnifiable hereunder.</w:t>
      </w:r>
    </w:p>
    <w:p>
      <w:pPr>
        <w:spacing w:after="0" w:line="178" w:lineRule="exact"/>
        <w:rPr>
          <w:rFonts w:ascii="Courier New" w:cs="Courier New" w:eastAsia="Courier New" w:hAnsi="Courier New"/>
          <w:sz w:val="15"/>
          <w:szCs w:val="15"/>
          <w:color w:val="auto"/>
        </w:rPr>
      </w:pPr>
    </w:p>
    <w:p>
      <w:pPr>
        <w:ind w:left="-519" w:right="3179" w:firstLine="519"/>
        <w:spacing w:after="0" w:line="238" w:lineRule="auto"/>
        <w:tabs>
          <w:tab w:leader="none" w:pos="3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Etc.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This Agreement shall continue in effect regardless of whether Indemnitee continues to serve as an officer or director of the Company or of any other enterprise at the Company's request.</w:t>
      </w:r>
    </w:p>
    <w:p>
      <w:pPr>
        <w:spacing w:after="0" w:line="177" w:lineRule="exact"/>
        <w:rPr>
          <w:rFonts w:ascii="Courier New" w:cs="Courier New" w:eastAsia="Courier New" w:hAnsi="Courier New"/>
          <w:sz w:val="15"/>
          <w:szCs w:val="15"/>
          <w:color w:val="auto"/>
        </w:rPr>
      </w:pPr>
    </w:p>
    <w:p>
      <w:pPr>
        <w:ind w:left="-519" w:right="3259" w:firstLine="519"/>
        <w:spacing w:after="0" w:line="237" w:lineRule="auto"/>
        <w:tabs>
          <w:tab w:leader="none" w:pos="36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w:t>
      </w:r>
    </w:p>
    <w:p>
      <w:pPr>
        <w:spacing w:after="0" w:line="342" w:lineRule="exact"/>
        <w:rPr>
          <w:sz w:val="20"/>
          <w:szCs w:val="20"/>
          <w:color w:val="auto"/>
        </w:rPr>
      </w:pPr>
    </w:p>
    <w:p>
      <w:pPr>
        <w:ind w:left="2901"/>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00"/>
          </w:cols>
          <w:pgMar w:left="759" w:top="627" w:right="1440" w:bottom="1440" w:gutter="0" w:footer="0" w:header="0"/>
        </w:sectPr>
      </w:pPr>
    </w:p>
    <w:bookmarkStart w:id="130" w:name="page131"/>
    <w:bookmarkEnd w:id="130"/>
    <w:p>
      <w:pPr>
        <w:jc w:val="both"/>
        <w:ind w:right="3439"/>
        <w:spacing w:after="0" w:line="237" w:lineRule="auto"/>
        <w:rPr>
          <w:sz w:val="20"/>
          <w:szCs w:val="20"/>
          <w:color w:val="auto"/>
        </w:rPr>
      </w:pPr>
      <w:r>
        <w:rPr>
          <w:rFonts w:ascii="Courier New" w:cs="Courier New" w:eastAsia="Courier New" w:hAnsi="Courier New"/>
          <w:sz w:val="15"/>
          <w:szCs w:val="15"/>
          <w:color w:val="auto"/>
        </w:rPr>
        <w:t>provision in every other respect and of the remaining provisions hereof shall not be in any way impaired and shall remain enforceable to the fullest extent permitted by law.</w:t>
      </w:r>
    </w:p>
    <w:p>
      <w:pPr>
        <w:spacing w:after="0" w:line="175" w:lineRule="exact"/>
        <w:rPr>
          <w:sz w:val="20"/>
          <w:szCs w:val="20"/>
          <w:color w:val="auto"/>
        </w:rPr>
      </w:pPr>
    </w:p>
    <w:p>
      <w:pPr>
        <w:ind w:right="3359" w:firstLine="519"/>
        <w:spacing w:after="0" w:line="237" w:lineRule="auto"/>
        <w:tabs>
          <w:tab w:leader="none" w:pos="88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and construed and enforced in accordance with the laws of the State of Delaware applicable to contracts made and to be performed in such state without giving effect to the principles of conflicts of laws.</w:t>
      </w:r>
    </w:p>
    <w:p>
      <w:pPr>
        <w:spacing w:after="0" w:line="176" w:lineRule="exact"/>
        <w:rPr>
          <w:sz w:val="20"/>
          <w:szCs w:val="20"/>
          <w:color w:val="auto"/>
        </w:rPr>
      </w:pPr>
    </w:p>
    <w:p>
      <w:pPr>
        <w:ind w:right="3259" w:firstLine="1058"/>
        <w:spacing w:after="0" w:line="235" w:lineRule="auto"/>
        <w:rPr>
          <w:sz w:val="20"/>
          <w:szCs w:val="20"/>
          <w:color w:val="auto"/>
        </w:rPr>
      </w:pPr>
      <w:r>
        <w:rPr>
          <w:rFonts w:ascii="Courier New" w:cs="Courier New" w:eastAsia="Courier New" w:hAnsi="Courier New"/>
          <w:sz w:val="15"/>
          <w:szCs w:val="15"/>
          <w:color w:val="auto"/>
        </w:rPr>
        <w:t>IN WITNESS WHEREOF, the parties hereto have executed this Agreement this 30th day of December, 1998.</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DESIGNS, INC.</w:t>
      </w:r>
    </w:p>
    <w:p>
      <w:pPr>
        <w:spacing w:after="0" w:line="339" w:lineRule="exact"/>
        <w:rPr>
          <w:sz w:val="20"/>
          <w:szCs w:val="20"/>
          <w:color w:val="auto"/>
        </w:rPr>
      </w:pPr>
    </w:p>
    <w:p>
      <w:pPr>
        <w:ind w:left="3160"/>
        <w:spacing w:after="0"/>
        <w:tabs>
          <w:tab w:leader="none" w:pos="35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SCOTT N. SEMEL, AS</w:t>
      </w:r>
    </w:p>
    <w:p>
      <w:pPr>
        <w:ind w:left="3420"/>
        <w:spacing w:after="0"/>
        <w:rPr>
          <w:sz w:val="20"/>
          <w:szCs w:val="20"/>
          <w:color w:val="auto"/>
        </w:rPr>
      </w:pPr>
      <w:r>
        <w:rPr>
          <w:rFonts w:ascii="Courier New" w:cs="Courier New" w:eastAsia="Courier New" w:hAnsi="Courier New"/>
          <w:sz w:val="15"/>
          <w:szCs w:val="15"/>
          <w:color w:val="auto"/>
        </w:rPr>
        <w:t>-------------------</w:t>
      </w:r>
    </w:p>
    <w:p>
      <w:pPr>
        <w:ind w:left="3520"/>
        <w:spacing w:after="0"/>
        <w:rPr>
          <w:sz w:val="20"/>
          <w:szCs w:val="20"/>
          <w:color w:val="auto"/>
        </w:rPr>
      </w:pPr>
      <w:r>
        <w:rPr>
          <w:rFonts w:ascii="Courier New" w:cs="Courier New" w:eastAsia="Courier New" w:hAnsi="Courier New"/>
          <w:sz w:val="15"/>
          <w:szCs w:val="15"/>
          <w:color w:val="auto"/>
        </w:rPr>
        <w:t>EXECUTIVE VICE PRESIDENT,</w:t>
      </w:r>
    </w:p>
    <w:p>
      <w:pPr>
        <w:ind w:left="3520"/>
        <w:spacing w:after="0" w:line="238" w:lineRule="auto"/>
        <w:rPr>
          <w:sz w:val="20"/>
          <w:szCs w:val="20"/>
          <w:color w:val="auto"/>
        </w:rPr>
      </w:pPr>
      <w:r>
        <w:rPr>
          <w:rFonts w:ascii="Courier New" w:cs="Courier New" w:eastAsia="Courier New" w:hAnsi="Courier New"/>
          <w:sz w:val="15"/>
          <w:szCs w:val="15"/>
          <w:color w:val="auto"/>
        </w:rPr>
        <w:t>GENERAL COUNSEL &amp;</w:t>
      </w:r>
    </w:p>
    <w:p>
      <w:pPr>
        <w:ind w:left="3520"/>
        <w:spacing w:after="0"/>
        <w:rPr>
          <w:sz w:val="20"/>
          <w:szCs w:val="20"/>
          <w:color w:val="auto"/>
        </w:rPr>
      </w:pPr>
      <w:r>
        <w:rPr>
          <w:rFonts w:ascii="Courier New" w:cs="Courier New" w:eastAsia="Courier New" w:hAnsi="Courier New"/>
          <w:sz w:val="15"/>
          <w:szCs w:val="15"/>
          <w:color w:val="auto"/>
        </w:rPr>
        <w:t>SECRETARY</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 CAROLYN R. FAULKNER</w:t>
      </w:r>
    </w:p>
    <w:p>
      <w:pPr>
        <w:ind w:left="3160"/>
        <w:spacing w:after="0"/>
        <w:rPr>
          <w:sz w:val="20"/>
          <w:szCs w:val="20"/>
          <w:color w:val="auto"/>
        </w:rPr>
      </w:pPr>
      <w:r>
        <w:rPr>
          <w:rFonts w:ascii="Courier New" w:cs="Courier New" w:eastAsia="Courier New" w:hAnsi="Courier New"/>
          <w:sz w:val="15"/>
          <w:szCs w:val="15"/>
          <w:color w:val="auto"/>
        </w:rPr>
        <w:t>---------------------------</w:t>
      </w:r>
    </w:p>
    <w:p>
      <w:pPr>
        <w:ind w:left="3420"/>
        <w:spacing w:after="0"/>
        <w:rPr>
          <w:sz w:val="20"/>
          <w:szCs w:val="20"/>
          <w:color w:val="auto"/>
        </w:rPr>
      </w:pPr>
      <w:r>
        <w:rPr>
          <w:rFonts w:ascii="Courier New" w:cs="Courier New" w:eastAsia="Courier New" w:hAnsi="Courier New"/>
          <w:sz w:val="15"/>
          <w:szCs w:val="15"/>
          <w:color w:val="auto"/>
        </w:rPr>
        <w:t>Carolyn R. Faulkner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EX-11</w:t>
      </w:r>
    </w:p>
    <w:p>
      <w:pPr>
        <w:spacing w:after="0"/>
        <w:rPr>
          <w:sz w:val="20"/>
          <w:szCs w:val="20"/>
          <w:color w:val="auto"/>
        </w:rPr>
      </w:pPr>
      <w:r>
        <w:rPr>
          <w:rFonts w:ascii="Courier New" w:cs="Courier New" w:eastAsia="Courier New" w:hAnsi="Courier New"/>
          <w:sz w:val="15"/>
          <w:szCs w:val="15"/>
          <w:color w:val="auto"/>
        </w:rPr>
        <w:t>EARNINGS PER SHARE</w:t>
      </w:r>
    </w:p>
    <w:p>
      <w:pPr>
        <w:spacing w:after="0" w:line="169"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Exhibit 11.</w:t>
      </w:r>
      <w:r>
        <w:rPr>
          <w:sz w:val="20"/>
          <w:szCs w:val="20"/>
          <w:color w:val="auto"/>
        </w:rPr>
        <w:tab/>
      </w:r>
      <w:r>
        <w:rPr>
          <w:rFonts w:ascii="Courier New" w:cs="Courier New" w:eastAsia="Courier New" w:hAnsi="Courier New"/>
          <w:sz w:val="14"/>
          <w:szCs w:val="14"/>
          <w:color w:val="auto"/>
        </w:rPr>
        <w:t>Statement Re: Computation of Per Share Earnings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Years Ending</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January 30, 1999</w:t>
            </w:r>
          </w:p>
        </w:tc>
        <w:tc>
          <w:tcPr>
            <w:tcW w:w="27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January 31, 1998</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February 1, 1997</w:t>
            </w:r>
          </w:p>
        </w:tc>
      </w:tr>
      <w:tr>
        <w:trPr>
          <w:trHeight w:val="170"/>
        </w:trPr>
        <w:tc>
          <w:tcPr>
            <w:tcW w:w="4980" w:type="dxa"/>
            <w:vAlign w:val="bottom"/>
          </w:tcPr>
          <w:p>
            <w:pPr>
              <w:spacing w:after="0"/>
              <w:rPr>
                <w:sz w:val="14"/>
                <w:szCs w:val="14"/>
                <w:color w:val="auto"/>
              </w:rPr>
            </w:pPr>
          </w:p>
        </w:tc>
        <w:tc>
          <w:tcPr>
            <w:tcW w:w="64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2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except per share data)</w:t>
            </w:r>
          </w:p>
        </w:tc>
        <w:tc>
          <w:tcPr>
            <w:tcW w:w="600" w:type="dxa"/>
            <w:vAlign w:val="bottom"/>
          </w:tcPr>
          <w:p>
            <w:pPr>
              <w:spacing w:after="0"/>
              <w:rPr>
                <w:sz w:val="14"/>
                <w:szCs w:val="14"/>
                <w:color w:val="auto"/>
              </w:rPr>
            </w:pP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Basic EPS Computation</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Numerator: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(18,541)</w:t>
            </w:r>
          </w:p>
        </w:tc>
        <w:tc>
          <w:tcPr>
            <w:tcW w:w="128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(29,063)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6,264</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Denominator: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15,810</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15,649</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15,755</w:t>
            </w:r>
          </w:p>
        </w:tc>
      </w:tr>
      <w:tr>
        <w:trPr>
          <w:trHeight w:val="170"/>
        </w:trPr>
        <w:tc>
          <w:tcPr>
            <w:tcW w:w="498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ind w:left="2020"/>
              <w:spacing w:after="0"/>
              <w:rPr>
                <w:sz w:val="20"/>
                <w:szCs w:val="20"/>
                <w:color w:val="auto"/>
              </w:rPr>
            </w:pPr>
            <w:r>
              <w:rPr>
                <w:rFonts w:ascii="Courier New" w:cs="Courier New" w:eastAsia="Courier New" w:hAnsi="Courier New"/>
                <w:sz w:val="15"/>
                <w:szCs w:val="15"/>
                <w:color w:val="auto"/>
              </w:rPr>
              <w:t>Basic EPS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c>
          <w:tcPr>
            <w:tcW w:w="12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r>
      <w:tr>
        <w:trPr>
          <w:trHeight w:val="170"/>
        </w:trPr>
        <w:tc>
          <w:tcPr>
            <w:tcW w:w="498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Diluted EPS Computation</w:t>
            </w: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Numerator: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w:t>
            </w:r>
          </w:p>
        </w:tc>
        <w:tc>
          <w:tcPr>
            <w:tcW w:w="2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(18,541)</w:t>
            </w:r>
          </w:p>
        </w:tc>
        <w:tc>
          <w:tcPr>
            <w:tcW w:w="128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(29,063)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6,264</w:t>
            </w:r>
          </w:p>
        </w:tc>
      </w:tr>
      <w:tr>
        <w:trPr>
          <w:trHeight w:val="170"/>
        </w:trPr>
        <w:tc>
          <w:tcPr>
            <w:tcW w:w="4980" w:type="dxa"/>
            <w:vAlign w:val="bottom"/>
          </w:tcPr>
          <w:p>
            <w:pPr>
              <w:ind w:left="160"/>
              <w:spacing w:after="0"/>
              <w:rPr>
                <w:sz w:val="20"/>
                <w:szCs w:val="20"/>
                <w:color w:val="auto"/>
              </w:rPr>
            </w:pPr>
            <w:r>
              <w:rPr>
                <w:rFonts w:ascii="Courier New" w:cs="Courier New" w:eastAsia="Courier New" w:hAnsi="Courier New"/>
                <w:sz w:val="15"/>
                <w:szCs w:val="15"/>
                <w:color w:val="auto"/>
              </w:rPr>
              <w:t>Denominator:</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1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15,810</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15,649</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15,755</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Stock Options, excluding anti-dilutive options</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ind w:left="700"/>
              <w:spacing w:after="0"/>
              <w:rPr>
                <w:sz w:val="20"/>
                <w:szCs w:val="20"/>
                <w:color w:val="auto"/>
              </w:rPr>
            </w:pPr>
            <w:r>
              <w:rPr>
                <w:rFonts w:ascii="Courier New" w:cs="Courier New" w:eastAsia="Courier New" w:hAnsi="Courier New"/>
                <w:sz w:val="15"/>
                <w:szCs w:val="15"/>
                <w:color w:val="auto"/>
              </w:rPr>
              <w:t>of 80 and 34 shares for January 30, 1999</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980" w:type="dxa"/>
            <w:vAlign w:val="bottom"/>
          </w:tcPr>
          <w:p>
            <w:pPr>
              <w:ind w:left="700"/>
              <w:spacing w:after="0"/>
              <w:rPr>
                <w:sz w:val="20"/>
                <w:szCs w:val="20"/>
                <w:color w:val="auto"/>
              </w:rPr>
            </w:pPr>
            <w:r>
              <w:rPr>
                <w:rFonts w:ascii="Courier New" w:cs="Courier New" w:eastAsia="Courier New" w:hAnsi="Courier New"/>
                <w:sz w:val="15"/>
                <w:szCs w:val="15"/>
                <w:color w:val="auto"/>
              </w:rPr>
              <w:t>and January 31, 1998, respectively</w:t>
            </w:r>
          </w:p>
        </w:tc>
        <w:tc>
          <w:tcPr>
            <w:tcW w:w="1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498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Total Shares</w:t>
            </w:r>
          </w:p>
        </w:tc>
        <w:tc>
          <w:tcPr>
            <w:tcW w:w="13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15,810</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15,649</w:t>
            </w:r>
          </w:p>
        </w:tc>
        <w:tc>
          <w:tcPr>
            <w:tcW w:w="1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15,833</w:t>
            </w:r>
          </w:p>
        </w:tc>
      </w:tr>
      <w:tr>
        <w:trPr>
          <w:trHeight w:val="170"/>
        </w:trPr>
        <w:tc>
          <w:tcPr>
            <w:tcW w:w="498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ind w:left="2020"/>
              <w:spacing w:after="0"/>
              <w:rPr>
                <w:sz w:val="20"/>
                <w:szCs w:val="20"/>
                <w:color w:val="auto"/>
              </w:rPr>
            </w:pPr>
            <w:r>
              <w:rPr>
                <w:rFonts w:ascii="Courier New" w:cs="Courier New" w:eastAsia="Courier New" w:hAnsi="Courier New"/>
                <w:sz w:val="15"/>
                <w:szCs w:val="15"/>
                <w:color w:val="auto"/>
              </w:rPr>
              <w:t>Diluted EPS</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w:t>
            </w:r>
          </w:p>
        </w:tc>
        <w:tc>
          <w:tcPr>
            <w:tcW w:w="128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0.40</w:t>
            </w:r>
          </w:p>
        </w:tc>
      </w:tr>
      <w:tr>
        <w:trPr>
          <w:trHeight w:val="170"/>
        </w:trPr>
        <w:tc>
          <w:tcPr>
            <w:tcW w:w="4980" w:type="dxa"/>
            <w:vAlign w:val="bottom"/>
          </w:tcPr>
          <w:p>
            <w:pPr>
              <w:spacing w:after="0"/>
              <w:rPr>
                <w:sz w:val="14"/>
                <w:szCs w:val="14"/>
                <w:color w:val="auto"/>
              </w:rPr>
            </w:pPr>
          </w:p>
        </w:tc>
        <w:tc>
          <w:tcPr>
            <w:tcW w:w="2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40"/>
          </w:cols>
          <w:pgMar w:left="240" w:top="136" w:right="219" w:bottom="1440" w:gutter="0" w:footer="0" w:header="0"/>
        </w:sectPr>
      </w:pPr>
    </w:p>
    <w:bookmarkStart w:id="132" w:name="page133"/>
    <w:bookmarkEnd w:id="132"/>
    <w:p>
      <w:pPr>
        <w:jc w:val="right"/>
        <w:ind w:right="3179"/>
        <w:spacing w:after="0"/>
        <w:rPr>
          <w:sz w:val="20"/>
          <w:szCs w:val="20"/>
          <w:color w:val="auto"/>
        </w:rPr>
      </w:pPr>
      <w:r>
        <w:rPr>
          <w:rFonts w:ascii="Courier New" w:cs="Courier New" w:eastAsia="Courier New" w:hAnsi="Courier New"/>
          <w:sz w:val="15"/>
          <w:szCs w:val="15"/>
          <w:color w:val="auto"/>
        </w:rPr>
        <w:t>Exhibit 21</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Subsidiaries of the Registrant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Securities Corporation</w:t>
      </w:r>
    </w:p>
    <w:p>
      <w:pPr>
        <w:spacing w:after="0"/>
        <w:rPr>
          <w:sz w:val="20"/>
          <w:szCs w:val="20"/>
          <w:color w:val="auto"/>
        </w:rPr>
      </w:pPr>
      <w:r>
        <w:rPr>
          <w:rFonts w:ascii="Courier New" w:cs="Courier New" w:eastAsia="Courier New" w:hAnsi="Courier New"/>
          <w:sz w:val="15"/>
          <w:szCs w:val="15"/>
          <w:color w:val="auto"/>
        </w:rPr>
        <w:t>(a Massachusetts securities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JV Corp.</w:t>
      </w: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Designs Acquisition Corp.</w:t>
      </w:r>
    </w:p>
    <w:p>
      <w:pPr>
        <w:spacing w:after="0"/>
        <w:rPr>
          <w:sz w:val="20"/>
          <w:szCs w:val="20"/>
          <w:color w:val="auto"/>
        </w:rPr>
      </w:pPr>
      <w:r>
        <w:rPr>
          <w:rFonts w:ascii="Courier New" w:cs="Courier New" w:eastAsia="Courier New" w:hAnsi="Courier New"/>
          <w:sz w:val="15"/>
          <w:szCs w:val="15"/>
          <w:color w:val="auto"/>
        </w:rPr>
        <w:t>(a Delaware corporation)</w:t>
      </w:r>
    </w:p>
    <w:p>
      <w:pPr>
        <w:sectPr>
          <w:pgSz w:w="11900" w:h="16838" w:orient="portrait"/>
          <w:cols w:equalWidth="0" w:num="1">
            <w:col w:w="10219"/>
          </w:cols>
          <w:pgMar w:left="240" w:top="305"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our report dated March 16, 1999, included in this Form 10-K, into registration statements previously filed by Designs, Inc. on Form S-8 (File No. 33-22957, File No. 33-32690, File No. 33-32687 and File No. 33-52892).</w:t>
      </w:r>
    </w:p>
    <w:p>
      <w:pPr>
        <w:sectPr>
          <w:pgSz w:w="11900" w:h="16838" w:orient="portrait"/>
          <w:cols w:equalWidth="0" w:num="1">
            <w:col w:w="10219"/>
          </w:cols>
          <w:pgMar w:left="240" w:top="305"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1999</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ARTHUR ANDERSEN LLP</w:t>
      </w:r>
    </w:p>
    <w:p>
      <w:pPr>
        <w:sectPr>
          <w:pgSz w:w="11900" w:h="16838" w:orient="portrait"/>
          <w:cols w:equalWidth="0" w:num="2">
            <w:col w:w="4040" w:space="720"/>
            <w:col w:w="5459"/>
          </w:cols>
          <w:pgMar w:left="240" w:top="305" w:right="1440" w:bottom="1440" w:gutter="0" w:footer="0" w:header="0"/>
          <w:type w:val="continuous"/>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on Form S-8 (Nos. 33-22957, 33-32690, 33-32687 and 33-52892) of Designs, Inc. of our report dated March 17, 1998 except as to the segment information for the two years in the period ended January 31, 1998 presented in Note N, for which the date is April 29, 1999, relating to the consolidated financial statements which appear in this Form 10-K.</w:t>
      </w:r>
    </w:p>
    <w:p>
      <w:pPr>
        <w:sectPr>
          <w:pgSz w:w="11900" w:h="16838" w:orient="portrait"/>
          <w:cols w:equalWidth="0" w:num="1">
            <w:col w:w="10219"/>
          </w:cols>
          <w:pgMar w:left="240" w:top="305"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29,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ectPr>
          <w:pgSz w:w="11900" w:h="16838" w:orient="portrait"/>
          <w:cols w:equalWidth="0" w:num="2">
            <w:col w:w="3240" w:space="720"/>
            <w:col w:w="6259"/>
          </w:cols>
          <w:pgMar w:left="240" w:top="305" w:right="1440" w:bottom="1440" w:gutter="0" w:footer="0" w:header="0"/>
          <w:type w:val="continuous"/>
        </w:sectPr>
      </w:pPr>
    </w:p>
    <w:bookmarkStart w:id="135" w:name="page136"/>
    <w:bookmarkEnd w:id="135"/>
    <w:p>
      <w:pPr>
        <w:ind w:left="64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12-MOS</w:t>
      </w:r>
    </w:p>
    <w:p>
      <w:pPr>
        <w:ind w:left="1340"/>
        <w:spacing w:after="0"/>
        <w:rPr>
          <w:sz w:val="20"/>
          <w:szCs w:val="20"/>
          <w:color w:val="auto"/>
        </w:rPr>
      </w:pPr>
      <w:r>
        <w:rPr>
          <w:rFonts w:ascii="Courier New" w:cs="Courier New" w:eastAsia="Courier New" w:hAnsi="Courier New"/>
          <w:sz w:val="15"/>
          <w:szCs w:val="15"/>
          <w:color w:val="auto"/>
        </w:rPr>
        <w:t>JAN-30-1999</w:t>
      </w:r>
    </w:p>
    <w:p>
      <w:pPr>
        <w:ind w:left="1620"/>
        <w:spacing w:after="0"/>
        <w:rPr>
          <w:sz w:val="20"/>
          <w:szCs w:val="20"/>
          <w:color w:val="auto"/>
        </w:rPr>
      </w:pPr>
      <w:r>
        <w:rPr>
          <w:rFonts w:ascii="Courier New" w:cs="Courier New" w:eastAsia="Courier New" w:hAnsi="Courier New"/>
          <w:sz w:val="15"/>
          <w:szCs w:val="15"/>
          <w:color w:val="auto"/>
        </w:rPr>
        <w:t>FEB-01-1998</w:t>
      </w:r>
    </w:p>
    <w:p>
      <w:pPr>
        <w:ind w:left="1780"/>
        <w:spacing w:after="0" w:line="238" w:lineRule="auto"/>
        <w:rPr>
          <w:sz w:val="20"/>
          <w:szCs w:val="20"/>
          <w:color w:val="auto"/>
        </w:rPr>
      </w:pPr>
      <w:r>
        <w:rPr>
          <w:rFonts w:ascii="Courier New" w:cs="Courier New" w:eastAsia="Courier New" w:hAnsi="Courier New"/>
          <w:sz w:val="15"/>
          <w:szCs w:val="15"/>
          <w:color w:val="auto"/>
        </w:rPr>
        <w:t>JAN-30-1999</w:t>
      </w:r>
    </w:p>
    <w:p>
      <w:pPr>
        <w:ind w:left="3020"/>
        <w:spacing w:after="0"/>
        <w:rPr>
          <w:sz w:val="20"/>
          <w:szCs w:val="20"/>
          <w:color w:val="auto"/>
        </w:rPr>
      </w:pPr>
      <w:r>
        <w:rPr>
          <w:rFonts w:ascii="Courier New" w:cs="Courier New" w:eastAsia="Courier New" w:hAnsi="Courier New"/>
          <w:sz w:val="15"/>
          <w:szCs w:val="15"/>
          <w:color w:val="auto"/>
        </w:rPr>
        <w:t>153</w:t>
      </w:r>
    </w:p>
    <w:p>
      <w:pPr>
        <w:ind w:left="2660"/>
        <w:spacing w:after="0"/>
        <w:rPr>
          <w:sz w:val="20"/>
          <w:szCs w:val="20"/>
          <w:color w:val="auto"/>
        </w:rPr>
      </w:pPr>
      <w:r>
        <w:rPr>
          <w:rFonts w:ascii="Courier New" w:cs="Courier New" w:eastAsia="Courier New" w:hAnsi="Courier New"/>
          <w:sz w:val="15"/>
          <w:szCs w:val="15"/>
          <w:color w:val="auto"/>
        </w:rPr>
        <w:t>0</w:t>
      </w:r>
    </w:p>
    <w:p>
      <w:pPr>
        <w:ind w:left="2400"/>
        <w:spacing w:after="0" w:line="238" w:lineRule="auto"/>
        <w:rPr>
          <w:sz w:val="20"/>
          <w:szCs w:val="20"/>
          <w:color w:val="auto"/>
        </w:rPr>
      </w:pPr>
      <w:r>
        <w:rPr>
          <w:rFonts w:ascii="Courier New" w:cs="Courier New" w:eastAsia="Courier New" w:hAnsi="Courier New"/>
          <w:sz w:val="15"/>
          <w:szCs w:val="15"/>
          <w:color w:val="auto"/>
        </w:rPr>
        <w:t>178</w:t>
      </w:r>
    </w:p>
    <w:p>
      <w:pPr>
        <w:ind w:left="2660"/>
        <w:spacing w:after="0"/>
        <w:rPr>
          <w:sz w:val="20"/>
          <w:szCs w:val="20"/>
          <w:color w:val="auto"/>
        </w:rPr>
      </w:pPr>
      <w:r>
        <w:rPr>
          <w:rFonts w:ascii="Courier New" w:cs="Courier New" w:eastAsia="Courier New" w:hAnsi="Courier New"/>
          <w:sz w:val="15"/>
          <w:szCs w:val="15"/>
          <w:color w:val="auto"/>
        </w:rPr>
        <w:t>0</w:t>
      </w:r>
    </w:p>
    <w:p>
      <w:pPr>
        <w:ind w:left="2320"/>
        <w:spacing w:after="0"/>
        <w:rPr>
          <w:sz w:val="20"/>
          <w:szCs w:val="20"/>
          <w:color w:val="auto"/>
        </w:rPr>
      </w:pPr>
      <w:r>
        <w:rPr>
          <w:rFonts w:ascii="Courier New" w:cs="Courier New" w:eastAsia="Courier New" w:hAnsi="Courier New"/>
          <w:sz w:val="15"/>
          <w:szCs w:val="15"/>
          <w:color w:val="auto"/>
        </w:rPr>
        <w:t>57,925</w:t>
      </w:r>
    </w:p>
    <w:p>
      <w:pPr>
        <w:ind w:left="1880"/>
        <w:spacing w:after="0"/>
        <w:rPr>
          <w:sz w:val="20"/>
          <w:szCs w:val="20"/>
          <w:color w:val="auto"/>
        </w:rPr>
      </w:pPr>
      <w:r>
        <w:rPr>
          <w:rFonts w:ascii="Courier New" w:cs="Courier New" w:eastAsia="Courier New" w:hAnsi="Courier New"/>
          <w:sz w:val="15"/>
          <w:szCs w:val="15"/>
          <w:color w:val="auto"/>
        </w:rPr>
        <w:t>59,439</w:t>
      </w:r>
    </w:p>
    <w:p>
      <w:pPr>
        <w:ind w:left="2760"/>
        <w:spacing w:after="0" w:line="238" w:lineRule="auto"/>
        <w:rPr>
          <w:sz w:val="20"/>
          <w:szCs w:val="20"/>
          <w:color w:val="auto"/>
        </w:rPr>
      </w:pPr>
      <w:r>
        <w:rPr>
          <w:rFonts w:ascii="Courier New" w:cs="Courier New" w:eastAsia="Courier New" w:hAnsi="Courier New"/>
          <w:sz w:val="15"/>
          <w:szCs w:val="15"/>
          <w:color w:val="auto"/>
        </w:rPr>
        <w:t>43,905</w:t>
      </w:r>
    </w:p>
    <w:p>
      <w:pPr>
        <w:ind w:left="2060"/>
        <w:spacing w:after="0"/>
        <w:rPr>
          <w:sz w:val="20"/>
          <w:szCs w:val="20"/>
          <w:color w:val="auto"/>
        </w:rPr>
      </w:pPr>
      <w:r>
        <w:rPr>
          <w:rFonts w:ascii="Courier New" w:cs="Courier New" w:eastAsia="Courier New" w:hAnsi="Courier New"/>
          <w:sz w:val="15"/>
          <w:szCs w:val="15"/>
          <w:color w:val="auto"/>
        </w:rPr>
        <w:t>26,117</w:t>
      </w:r>
    </w:p>
    <w:p>
      <w:pPr>
        <w:ind w:left="2060"/>
        <w:spacing w:after="0"/>
        <w:rPr>
          <w:sz w:val="20"/>
          <w:szCs w:val="20"/>
          <w:color w:val="auto"/>
        </w:rPr>
      </w:pPr>
      <w:r>
        <w:rPr>
          <w:rFonts w:ascii="Courier New" w:cs="Courier New" w:eastAsia="Courier New" w:hAnsi="Courier New"/>
          <w:sz w:val="15"/>
          <w:szCs w:val="15"/>
          <w:color w:val="auto"/>
        </w:rPr>
        <w:t>99,317</w:t>
      </w:r>
    </w:p>
    <w:p>
      <w:pPr>
        <w:ind w:left="1440"/>
        <w:spacing w:after="0" w:line="238" w:lineRule="auto"/>
        <w:rPr>
          <w:sz w:val="20"/>
          <w:szCs w:val="20"/>
          <w:color w:val="auto"/>
        </w:rPr>
      </w:pPr>
      <w:r>
        <w:rPr>
          <w:rFonts w:ascii="Courier New" w:cs="Courier New" w:eastAsia="Courier New" w:hAnsi="Courier New"/>
          <w:sz w:val="15"/>
          <w:szCs w:val="15"/>
          <w:color w:val="auto"/>
        </w:rPr>
        <w:t>35,361</w:t>
      </w:r>
    </w:p>
    <w:p>
      <w:pPr>
        <w:ind w:left="3100"/>
        <w:spacing w:after="0"/>
        <w:rPr>
          <w:sz w:val="20"/>
          <w:szCs w:val="20"/>
          <w:color w:val="auto"/>
        </w:rPr>
      </w:pPr>
      <w:r>
        <w:rPr>
          <w:rFonts w:ascii="Courier New" w:cs="Courier New" w:eastAsia="Courier New" w:hAnsi="Courier New"/>
          <w:sz w:val="15"/>
          <w:szCs w:val="15"/>
          <w:color w:val="auto"/>
        </w:rPr>
        <w:t>0</w:t>
      </w:r>
    </w:p>
    <w:p>
      <w:pPr>
        <w:ind w:left="1880"/>
        <w:spacing w:after="0"/>
        <w:rPr>
          <w:sz w:val="20"/>
          <w:szCs w:val="20"/>
          <w:color w:val="auto"/>
        </w:rPr>
      </w:pPr>
      <w:r>
        <w:rPr>
          <w:rFonts w:ascii="Courier New" w:cs="Courier New" w:eastAsia="Courier New" w:hAnsi="Courier New"/>
          <w:sz w:val="15"/>
          <w:szCs w:val="15"/>
          <w:color w:val="auto"/>
        </w:rPr>
        <w:t>0</w:t>
      </w:r>
    </w:p>
    <w:p>
      <w:pPr>
        <w:ind w:left="2760"/>
        <w:spacing w:after="0"/>
        <w:rPr>
          <w:sz w:val="20"/>
          <w:szCs w:val="20"/>
          <w:color w:val="auto"/>
        </w:rPr>
      </w:pPr>
      <w:r>
        <w:rPr>
          <w:rFonts w:ascii="Courier New" w:cs="Courier New" w:eastAsia="Courier New" w:hAnsi="Courier New"/>
          <w:sz w:val="15"/>
          <w:szCs w:val="15"/>
          <w:color w:val="auto"/>
        </w:rPr>
        <w:t>0</w:t>
      </w:r>
    </w:p>
    <w:p>
      <w:pPr>
        <w:ind w:left="2840"/>
        <w:spacing w:after="0" w:line="238" w:lineRule="auto"/>
        <w:rPr>
          <w:sz w:val="20"/>
          <w:szCs w:val="20"/>
          <w:color w:val="auto"/>
        </w:rPr>
      </w:pPr>
      <w:r>
        <w:rPr>
          <w:rFonts w:ascii="Courier New" w:cs="Courier New" w:eastAsia="Courier New" w:hAnsi="Courier New"/>
          <w:sz w:val="15"/>
          <w:szCs w:val="15"/>
          <w:color w:val="auto"/>
        </w:rPr>
        <w:t>160</w:t>
      </w:r>
    </w:p>
    <w:p>
      <w:pPr>
        <w:ind w:left="2400"/>
        <w:spacing w:after="0"/>
        <w:rPr>
          <w:sz w:val="20"/>
          <w:szCs w:val="20"/>
          <w:color w:val="auto"/>
        </w:rPr>
      </w:pPr>
      <w:r>
        <w:rPr>
          <w:rFonts w:ascii="Courier New" w:cs="Courier New" w:eastAsia="Courier New" w:hAnsi="Courier New"/>
          <w:sz w:val="15"/>
          <w:szCs w:val="15"/>
          <w:color w:val="auto"/>
        </w:rPr>
        <w:t>63,794</w:t>
      </w:r>
    </w:p>
    <w:p>
      <w:pPr>
        <w:ind w:left="820"/>
        <w:spacing w:after="0"/>
        <w:rPr>
          <w:sz w:val="20"/>
          <w:szCs w:val="20"/>
          <w:color w:val="auto"/>
        </w:rPr>
      </w:pPr>
      <w:r>
        <w:rPr>
          <w:rFonts w:ascii="Courier New" w:cs="Courier New" w:eastAsia="Courier New" w:hAnsi="Courier New"/>
          <w:sz w:val="15"/>
          <w:szCs w:val="15"/>
          <w:color w:val="auto"/>
        </w:rPr>
        <w:t>99,317</w:t>
      </w:r>
    </w:p>
    <w:p>
      <w:pPr>
        <w:ind w:left="2580"/>
        <w:spacing w:after="0" w:line="238" w:lineRule="auto"/>
        <w:rPr>
          <w:sz w:val="20"/>
          <w:szCs w:val="20"/>
          <w:color w:val="auto"/>
        </w:rPr>
      </w:pPr>
      <w:r>
        <w:rPr>
          <w:rFonts w:ascii="Courier New" w:cs="Courier New" w:eastAsia="Courier New" w:hAnsi="Courier New"/>
          <w:sz w:val="15"/>
          <w:szCs w:val="15"/>
          <w:color w:val="auto"/>
        </w:rPr>
        <w:t>201,634</w:t>
      </w:r>
    </w:p>
    <w:p>
      <w:pPr>
        <w:ind w:left="1780"/>
        <w:spacing w:after="0"/>
        <w:rPr>
          <w:sz w:val="20"/>
          <w:szCs w:val="20"/>
          <w:color w:val="auto"/>
        </w:rPr>
      </w:pPr>
      <w:r>
        <w:rPr>
          <w:rFonts w:ascii="Courier New" w:cs="Courier New" w:eastAsia="Courier New" w:hAnsi="Courier New"/>
          <w:sz w:val="15"/>
          <w:szCs w:val="15"/>
          <w:color w:val="auto"/>
        </w:rPr>
        <w:t>201,634</w:t>
      </w:r>
    </w:p>
    <w:p>
      <w:pPr>
        <w:jc w:val="right"/>
        <w:ind w:right="5639"/>
        <w:spacing w:after="0"/>
        <w:rPr>
          <w:sz w:val="20"/>
          <w:szCs w:val="20"/>
          <w:color w:val="auto"/>
        </w:rPr>
      </w:pPr>
      <w:r>
        <w:rPr>
          <w:rFonts w:ascii="Courier New" w:cs="Courier New" w:eastAsia="Courier New" w:hAnsi="Courier New"/>
          <w:sz w:val="15"/>
          <w:szCs w:val="15"/>
          <w:color w:val="auto"/>
        </w:rPr>
        <w:t>159,385</w:t>
      </w:r>
    </w:p>
    <w:p>
      <w:pPr>
        <w:ind w:left="2060"/>
        <w:spacing w:after="0"/>
        <w:rPr>
          <w:sz w:val="20"/>
          <w:szCs w:val="20"/>
          <w:color w:val="auto"/>
        </w:rPr>
      </w:pPr>
      <w:r>
        <w:rPr>
          <w:rFonts w:ascii="Courier New" w:cs="Courier New" w:eastAsia="Courier New" w:hAnsi="Courier New"/>
          <w:sz w:val="15"/>
          <w:szCs w:val="15"/>
          <w:color w:val="auto"/>
        </w:rPr>
        <w:t>159,385</w:t>
      </w:r>
    </w:p>
    <w:p>
      <w:pPr>
        <w:ind w:left="1880"/>
        <w:spacing w:after="0" w:line="238" w:lineRule="auto"/>
        <w:rPr>
          <w:sz w:val="20"/>
          <w:szCs w:val="20"/>
          <w:color w:val="auto"/>
        </w:rPr>
      </w:pPr>
      <w:r>
        <w:rPr>
          <w:rFonts w:ascii="Courier New" w:cs="Courier New" w:eastAsia="Courier New" w:hAnsi="Courier New"/>
          <w:sz w:val="15"/>
          <w:szCs w:val="15"/>
          <w:color w:val="auto"/>
        </w:rPr>
        <w:t>72,635</w:t>
      </w:r>
    </w:p>
    <w:p>
      <w:pPr>
        <w:ind w:left="2320"/>
        <w:spacing w:after="0"/>
        <w:rPr>
          <w:sz w:val="20"/>
          <w:szCs w:val="20"/>
          <w:color w:val="auto"/>
        </w:rPr>
      </w:pPr>
      <w:r>
        <w:rPr>
          <w:rFonts w:ascii="Courier New" w:cs="Courier New" w:eastAsia="Courier New" w:hAnsi="Courier New"/>
          <w:sz w:val="15"/>
          <w:szCs w:val="15"/>
          <w:color w:val="auto"/>
        </w:rPr>
        <w:t>0</w:t>
      </w:r>
    </w:p>
    <w:p>
      <w:pPr>
        <w:ind w:left="1960"/>
        <w:spacing w:after="0"/>
        <w:rPr>
          <w:sz w:val="20"/>
          <w:szCs w:val="20"/>
          <w:color w:val="auto"/>
        </w:rPr>
      </w:pPr>
      <w:r>
        <w:rPr>
          <w:rFonts w:ascii="Courier New" w:cs="Courier New" w:eastAsia="Courier New" w:hAnsi="Courier New"/>
          <w:sz w:val="15"/>
          <w:szCs w:val="15"/>
          <w:color w:val="auto"/>
        </w:rPr>
        <w:t>697</w:t>
      </w:r>
    </w:p>
    <w:p>
      <w:pPr>
        <w:ind w:left="1880"/>
        <w:spacing w:after="0" w:line="238" w:lineRule="auto"/>
        <w:rPr>
          <w:sz w:val="20"/>
          <w:szCs w:val="20"/>
          <w:color w:val="auto"/>
        </w:rPr>
      </w:pPr>
      <w:r>
        <w:rPr>
          <w:rFonts w:ascii="Courier New" w:cs="Courier New" w:eastAsia="Courier New" w:hAnsi="Courier New"/>
          <w:sz w:val="15"/>
          <w:szCs w:val="15"/>
          <w:color w:val="auto"/>
        </w:rPr>
        <w:t>(29,269)</w:t>
      </w:r>
    </w:p>
    <w:p>
      <w:pPr>
        <w:ind w:left="2140"/>
        <w:spacing w:after="0"/>
        <w:rPr>
          <w:sz w:val="20"/>
          <w:szCs w:val="20"/>
          <w:color w:val="auto"/>
        </w:rPr>
      </w:pPr>
      <w:r>
        <w:rPr>
          <w:rFonts w:ascii="Courier New" w:cs="Courier New" w:eastAsia="Courier New" w:hAnsi="Courier New"/>
          <w:sz w:val="15"/>
          <w:szCs w:val="15"/>
          <w:color w:val="auto"/>
        </w:rPr>
        <w:t>(10,728)</w:t>
      </w:r>
    </w:p>
    <w:p>
      <w:pPr>
        <w:ind w:left="1520"/>
        <w:spacing w:after="0"/>
        <w:rPr>
          <w:sz w:val="20"/>
          <w:szCs w:val="20"/>
          <w:color w:val="auto"/>
        </w:rPr>
      </w:pPr>
      <w:r>
        <w:rPr>
          <w:rFonts w:ascii="Courier New" w:cs="Courier New" w:eastAsia="Courier New" w:hAnsi="Courier New"/>
          <w:sz w:val="15"/>
          <w:szCs w:val="15"/>
          <w:color w:val="auto"/>
        </w:rPr>
        <w:t>(18,541)</w:t>
      </w:r>
    </w:p>
    <w:p>
      <w:pPr>
        <w:ind w:left="2500"/>
        <w:spacing w:after="0" w:line="238" w:lineRule="auto"/>
        <w:rPr>
          <w:sz w:val="20"/>
          <w:szCs w:val="20"/>
          <w:color w:val="auto"/>
        </w:rPr>
      </w:pPr>
      <w:r>
        <w:rPr>
          <w:rFonts w:ascii="Courier New" w:cs="Courier New" w:eastAsia="Courier New" w:hAnsi="Courier New"/>
          <w:sz w:val="15"/>
          <w:szCs w:val="15"/>
          <w:color w:val="auto"/>
        </w:rPr>
        <w:t>0</w:t>
      </w:r>
    </w:p>
    <w:p>
      <w:pPr>
        <w:ind w:left="2400"/>
        <w:spacing w:after="0"/>
        <w:rPr>
          <w:sz w:val="20"/>
          <w:szCs w:val="20"/>
          <w:color w:val="auto"/>
        </w:rPr>
      </w:pPr>
      <w:r>
        <w:rPr>
          <w:rFonts w:ascii="Courier New" w:cs="Courier New" w:eastAsia="Courier New" w:hAnsi="Courier New"/>
          <w:sz w:val="15"/>
          <w:szCs w:val="15"/>
          <w:color w:val="auto"/>
        </w:rPr>
        <w:t>0</w:t>
      </w:r>
    </w:p>
    <w:p>
      <w:pPr>
        <w:ind w:left="2940"/>
        <w:spacing w:after="0"/>
        <w:rPr>
          <w:sz w:val="20"/>
          <w:szCs w:val="20"/>
          <w:color w:val="auto"/>
        </w:rPr>
      </w:pPr>
      <w:r>
        <w:rPr>
          <w:rFonts w:ascii="Courier New" w:cs="Courier New" w:eastAsia="Courier New" w:hAnsi="Courier New"/>
          <w:sz w:val="15"/>
          <w:szCs w:val="15"/>
          <w:color w:val="auto"/>
        </w:rPr>
        <w:t>0</w:t>
      </w:r>
    </w:p>
    <w:p>
      <w:pPr>
        <w:jc w:val="center"/>
        <w:ind w:right="4019"/>
        <w:spacing w:after="0"/>
        <w:rPr>
          <w:sz w:val="20"/>
          <w:szCs w:val="20"/>
          <w:color w:val="auto"/>
        </w:rPr>
      </w:pPr>
      <w:r>
        <w:rPr>
          <w:rFonts w:ascii="Courier New" w:cs="Courier New" w:eastAsia="Courier New" w:hAnsi="Courier New"/>
          <w:sz w:val="15"/>
          <w:szCs w:val="15"/>
          <w:color w:val="auto"/>
        </w:rPr>
        <w:t>(18,541)</w:t>
      </w:r>
    </w:p>
    <w:p>
      <w:pPr>
        <w:jc w:val="center"/>
        <w:ind w:right="4019"/>
        <w:spacing w:after="0" w:line="238" w:lineRule="auto"/>
        <w:rPr>
          <w:sz w:val="20"/>
          <w:szCs w:val="20"/>
          <w:color w:val="auto"/>
        </w:rPr>
      </w:pPr>
      <w:r>
        <w:rPr>
          <w:rFonts w:ascii="Courier New" w:cs="Courier New" w:eastAsia="Courier New" w:hAnsi="Courier New"/>
          <w:sz w:val="15"/>
          <w:szCs w:val="15"/>
          <w:color w:val="auto"/>
        </w:rPr>
        <w:t>(1.17)</w:t>
      </w:r>
    </w:p>
    <w:p>
      <w:pPr>
        <w:jc w:val="center"/>
        <w:ind w:right="4019"/>
        <w:spacing w:after="0"/>
        <w:rPr>
          <w:sz w:val="20"/>
          <w:szCs w:val="20"/>
          <w:color w:val="auto"/>
        </w:rPr>
      </w:pPr>
      <w:r>
        <w:rPr>
          <w:rFonts w:ascii="Courier New" w:cs="Courier New" w:eastAsia="Courier New" w:hAnsi="Courier New"/>
          <w:sz w:val="15"/>
          <w:szCs w:val="15"/>
          <w:color w:val="auto"/>
        </w:rPr>
        <w:t>(1.17)</w:t>
      </w:r>
    </w:p>
    <w:sectPr>
      <w:pgSz w:w="11900" w:h="16838" w:orient="portrait"/>
      <w:cols w:equalWidth="0" w:num="1">
        <w:col w:w="9019"/>
      </w:cols>
      <w:pgMar w:left="1440" w:top="6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upperLetter"/>
      <w:start w:val="9"/>
    </w:lvl>
  </w:abstractNum>
  <w:abstractNum w:abstractNumId="7">
    <w:nsid w:val="12E685FB"/>
    <w:multiLevelType w:val="hybridMultilevel"/>
    <w:lvl w:ilvl="0">
      <w:lvlJc w:val="left"/>
      <w:lvlText w:val="%1."/>
      <w:numFmt w:val="upperLetter"/>
      <w:start w:val="35"/>
    </w:lvl>
  </w:abstractNum>
  <w:abstractNum w:abstractNumId="8">
    <w:nsid w:val="70C6A529"/>
    <w:multiLevelType w:val="hybridMultilevel"/>
    <w:lvl w:ilvl="0">
      <w:lvlJc w:val="left"/>
      <w:lvlText w:val="%1."/>
      <w:numFmt w:val="upperLetter"/>
      <w:start w:val="61"/>
    </w:lvl>
  </w:abstractNum>
  <w:abstractNum w:abstractNumId="9">
    <w:nsid w:val="520EEDD1"/>
    <w:multiLevelType w:val="hybridMultilevel"/>
    <w:lvl w:ilvl="0">
      <w:lvlJc w:val="left"/>
      <w:lvlText w:val="(%1)"/>
      <w:numFmt w:val="decimal"/>
      <w:start w:val="1"/>
    </w:lvl>
  </w:abstractNum>
  <w:abstractNum w:abstractNumId="10">
    <w:nsid w:val="374A3FE6"/>
    <w:multiLevelType w:val="hybridMultilevel"/>
    <w:lvl w:ilvl="0">
      <w:lvlJc w:val="left"/>
      <w:lvlText w:val="(%1)"/>
      <w:numFmt w:val="lowerRoman"/>
      <w:start w:val="6"/>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11"/>
    </w:lvl>
  </w:abstractNum>
  <w:abstractNum w:abstractNumId="13">
    <w:nsid w:val="649BB77C"/>
    <w:multiLevelType w:val="hybridMultilevel"/>
    <w:lvl w:ilvl="0">
      <w:lvlJc w:val="left"/>
      <w:lvlText w:val="%1"/>
      <w:numFmt w:val="decimal"/>
      <w:start w:val="21"/>
    </w:lvl>
  </w:abstractNum>
  <w:abstractNum w:abstractNumId="14">
    <w:nsid w:val="275AC794"/>
    <w:multiLevelType w:val="hybridMultilevel"/>
    <w:lvl w:ilvl="0">
      <w:lvlJc w:val="left"/>
      <w:lvlText w:val="%1"/>
      <w:numFmt w:val="decimal"/>
      <w:start w:val="27"/>
    </w:lvl>
  </w:abstractNum>
  <w:abstractNum w:abstractNumId="15">
    <w:nsid w:val="39386575"/>
    <w:multiLevelType w:val="hybridMultilevel"/>
    <w:lvl w:ilvl="0">
      <w:lvlJc w:val="left"/>
      <w:lvlText w:val="%1"/>
      <w:numFmt w:val="decimal"/>
      <w:start w:val="99"/>
    </w:lvl>
  </w:abstractNum>
  <w:abstractNum w:abstractNumId="16">
    <w:nsid w:val="1CF10FD8"/>
    <w:multiLevelType w:val="hybridMultilevel"/>
    <w:lvl w:ilvl="0">
      <w:lvlJc w:val="left"/>
      <w:lvlText w:val="(%1)"/>
      <w:numFmt w:val="lowerLetter"/>
      <w:start w:val="2"/>
    </w:lvl>
  </w:abstractNum>
  <w:abstractNum w:abstractNumId="17">
    <w:nsid w:val="180115BE"/>
    <w:multiLevelType w:val="hybridMultilevel"/>
    <w:lvl w:ilvl="0">
      <w:lvlJc w:val="left"/>
      <w:lvlText w:val="o"/>
      <w:numFmt w:val="bullet"/>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1)"/>
      <w:numFmt w:val="decimal"/>
      <w:start w:val="1"/>
    </w:lvl>
  </w:abstractNum>
  <w:abstractNum w:abstractNumId="20">
    <w:nsid w:val="354FE9F9"/>
    <w:multiLevelType w:val="hybridMultilevel"/>
    <w:lvl w:ilvl="0">
      <w:lvlJc w:val="left"/>
      <w:lvlText w:val="(%1)"/>
      <w:numFmt w:val="decimal"/>
      <w:start w:val="781"/>
    </w:lvl>
  </w:abstractNum>
  <w:abstractNum w:abstractNumId="21">
    <w:nsid w:val="15B5AF5C"/>
    <w:multiLevelType w:val="hybridMultilevel"/>
    <w:lvl w:ilvl="0">
      <w:lvlJc w:val="left"/>
      <w:lvlText w:val="(%1)"/>
      <w:numFmt w:val="decimal"/>
      <w:start w:val="781"/>
    </w:lvl>
  </w:abstractNum>
  <w:abstractNum w:abstractNumId="22">
    <w:nsid w:val="741226BB"/>
    <w:multiLevelType w:val="hybridMultilevel"/>
    <w:lvl w:ilvl="0">
      <w:lvlJc w:val="left"/>
      <w:lvlText w:val="(%1)"/>
      <w:numFmt w:val="lowerLetter"/>
      <w:start w:val="1"/>
    </w:lvl>
    <w:lvl w:ilvl="1">
      <w:lvlJc w:val="left"/>
      <w:lvlText w:val="(%2)"/>
      <w:numFmt w:val="decimal"/>
      <w:start w:val="1"/>
    </w:lvl>
  </w:abstractNum>
  <w:abstractNum w:abstractNumId="23">
    <w:nsid w:val="D34B6A8"/>
    <w:multiLevelType w:val="hybridMultilevel"/>
    <w:lvl w:ilvl="0">
      <w:lvlJc w:val="left"/>
      <w:lvlText w:val="(%1)"/>
      <w:numFmt w:val="lowerRoman"/>
      <w:start w:val="4"/>
    </w:lvl>
  </w:abstractNum>
  <w:abstractNum w:abstractNumId="24">
    <w:nsid w:val="10233C99"/>
    <w:multiLevelType w:val="hybridMultilevel"/>
    <w:lvl w:ilvl="0">
      <w:lvlJc w:val="left"/>
      <w:lvlText w:val="(%1)"/>
      <w:numFmt w:val="lowerRoman"/>
      <w:start w:val="2"/>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3"/>
    </w:lvl>
  </w:abstractNum>
  <w:abstractNum w:abstractNumId="27">
    <w:nsid w:val="7E0C57B1"/>
    <w:multiLevelType w:val="hybridMultilevel"/>
    <w:lvl w:ilvl="0">
      <w:lvlJc w:val="left"/>
      <w:lvlText w:val="o"/>
      <w:numFmt w:val="bullet"/>
      <w:start w:val="1"/>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1"/>
    </w:lvl>
    <w:lvl w:ilvl="1">
      <w:lvlJc w:val="left"/>
      <w:lvlText w:val="(%2)"/>
      <w:numFmt w:val="lowerLetter"/>
      <w:start w:val="35"/>
    </w:lvl>
  </w:abstractNum>
  <w:abstractNum w:abstractNumId="30">
    <w:nsid w:val="310C50B3"/>
    <w:multiLevelType w:val="hybridMultilevel"/>
    <w:lvl w:ilvl="0">
      <w:lvlJc w:val="left"/>
      <w:lvlText w:val="(%1)"/>
      <w:numFmt w:val="lowerLetter"/>
      <w:start w:val="2"/>
    </w:lvl>
    <w:lvl w:ilvl="1">
      <w:lvlJc w:val="left"/>
      <w:lvlText w:val="%2"/>
      <w:numFmt w:val="lowerLetter"/>
      <w:start w:val="1"/>
    </w:lvl>
  </w:abstractNum>
  <w:abstractNum w:abstractNumId="31">
    <w:nsid w:val="5FF87E05"/>
    <w:multiLevelType w:val="hybridMultilevel"/>
    <w:lvl w:ilvl="0">
      <w:lvlJc w:val="left"/>
      <w:lvlText w:val="(%1)"/>
      <w:numFmt w:val="lowerLetter"/>
      <w:start w:val="5"/>
    </w:lvl>
  </w:abstractNum>
  <w:abstractNum w:abstractNumId="32">
    <w:nsid w:val="2F305DE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abstractNum>
  <w:abstractNum w:abstractNumId="33">
    <w:nsid w:val="25A70BF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4">
    <w:nsid w:val="1DBABF00"/>
    <w:multiLevelType w:val="hybridMultilevel"/>
    <w:lvl w:ilvl="0">
      <w:lvlJc w:val="left"/>
      <w:lvlText w:val="%1."/>
      <w:numFmt w:val="decimal"/>
      <w:start w:val="3"/>
    </w:lvl>
  </w:abstractNum>
  <w:abstractNum w:abstractNumId="35">
    <w:nsid w:val="4AD084E9"/>
    <w:multiLevelType w:val="hybridMultilevel"/>
    <w:lvl w:ilvl="0">
      <w:lvlJc w:val="left"/>
      <w:lvlText w:val="%1."/>
      <w:numFmt w:val="decimal"/>
      <w:start w:val="5"/>
    </w:lvl>
  </w:abstractNum>
  <w:abstractNum w:abstractNumId="36">
    <w:nsid w:val="1F48EAA1"/>
    <w:multiLevelType w:val="hybridMultilevel"/>
    <w:lvl w:ilvl="0">
      <w:lvlJc w:val="left"/>
      <w:lvlText w:val="%1."/>
      <w:numFmt w:val="decimal"/>
      <w:start w:val="9"/>
    </w:lvl>
  </w:abstractNum>
  <w:abstractNum w:abstractNumId="37">
    <w:nsid w:val="1381823A"/>
    <w:multiLevelType w:val="hybridMultilevel"/>
    <w:lvl w:ilvl="0">
      <w:lvlJc w:val="left"/>
      <w:lvlText w:val="%1."/>
      <w:numFmt w:val="decimal"/>
      <w:start w:val="16"/>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lowerLetter"/>
      <w:start w:val="1"/>
    </w:lvl>
    <w:lvl w:ilvl="1">
      <w:lvlJc w:val="left"/>
      <w:lvlText w:val="(%2)"/>
      <w:numFmt w:val="lowerLetter"/>
      <w:start w:val="35"/>
    </w:lvl>
  </w:abstractNum>
  <w:abstractNum w:abstractNumId="40">
    <w:nsid w:val="6590700B"/>
    <w:multiLevelType w:val="hybridMultilevel"/>
    <w:lvl w:ilvl="0">
      <w:lvlJc w:val="left"/>
      <w:lvlText w:val="(%1)"/>
      <w:numFmt w:val="lowerLetter"/>
      <w:start w:val="2"/>
    </w:lvl>
    <w:lvl w:ilvl="1">
      <w:lvlJc w:val="left"/>
      <w:lvlText w:val="%2"/>
      <w:numFmt w:val="lowerLetter"/>
      <w:start w:val="1"/>
    </w:lvl>
  </w:abstractNum>
  <w:abstractNum w:abstractNumId="41">
    <w:nsid w:val="15014ACB"/>
    <w:multiLevelType w:val="hybridMultilevel"/>
    <w:lvl w:ilvl="0">
      <w:lvlJc w:val="left"/>
      <w:lvlText w:val="(%1)"/>
      <w:numFmt w:val="lowerLetter"/>
      <w:start w:val="5"/>
    </w:lvl>
  </w:abstractNum>
  <w:abstractNum w:abstractNumId="42">
    <w:nsid w:val="5F5E7FD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abstractNum>
  <w:abstractNum w:abstractNumId="43">
    <w:nsid w:val="98A314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4">
    <w:nsid w:val="799D0247"/>
    <w:multiLevelType w:val="hybridMultilevel"/>
    <w:lvl w:ilvl="0">
      <w:lvlJc w:val="left"/>
      <w:lvlText w:val="%1."/>
      <w:numFmt w:val="decimal"/>
      <w:start w:val="3"/>
    </w:lvl>
  </w:abstractNum>
  <w:abstractNum w:abstractNumId="45">
    <w:nsid w:val="6B94764"/>
    <w:multiLevelType w:val="hybridMultilevel"/>
    <w:lvl w:ilvl="0">
      <w:lvlJc w:val="left"/>
      <w:lvlText w:val="%1."/>
      <w:numFmt w:val="decimal"/>
      <w:start w:val="5"/>
    </w:lvl>
  </w:abstractNum>
  <w:abstractNum w:abstractNumId="46">
    <w:nsid w:val="42C296BD"/>
    <w:multiLevelType w:val="hybridMultilevel"/>
    <w:lvl w:ilvl="0">
      <w:lvlJc w:val="left"/>
      <w:lvlText w:val="%1."/>
      <w:numFmt w:val="decimal"/>
      <w:start w:val="9"/>
    </w:lvl>
  </w:abstractNum>
  <w:abstractNum w:abstractNumId="47">
    <w:nsid w:val="168E121F"/>
    <w:multiLevelType w:val="hybridMultilevel"/>
    <w:lvl w:ilvl="0">
      <w:lvlJc w:val="left"/>
      <w:lvlText w:val="%1."/>
      <w:numFmt w:val="decimal"/>
      <w:start w:val="16"/>
    </w:lvl>
  </w:abstractNum>
  <w:abstractNum w:abstractNumId="48">
    <w:nsid w:val="1EBA5D23"/>
    <w:multiLevelType w:val="hybridMultilevel"/>
    <w:lvl w:ilvl="0">
      <w:lvlJc w:val="left"/>
      <w:lvlText w:val="(%1)"/>
      <w:numFmt w:val="lowerLetter"/>
      <w:start w:val="1"/>
    </w:lvl>
  </w:abstractNum>
  <w:abstractNum w:abstractNumId="49">
    <w:nsid w:val="661E3F1E"/>
    <w:multiLevelType w:val="hybridMultilevel"/>
    <w:lvl w:ilvl="0">
      <w:lvlJc w:val="left"/>
      <w:lvlText w:val="%1"/>
      <w:numFmt w:val="lowerLetter"/>
      <w:start w:val="1"/>
    </w:lvl>
    <w:lvl w:ilvl="1">
      <w:lvlJc w:val="left"/>
      <w:lvlText w:val="(%2)"/>
      <w:numFmt w:val="lowerLetter"/>
      <w:start w:val="35"/>
    </w:lvl>
  </w:abstractNum>
  <w:abstractNum w:abstractNumId="50">
    <w:nsid w:val="5DC79EA8"/>
    <w:multiLevelType w:val="hybridMultilevel"/>
    <w:lvl w:ilvl="0">
      <w:lvlJc w:val="left"/>
      <w:lvlText w:val="(%1)"/>
      <w:numFmt w:val="lowerLetter"/>
      <w:start w:val="2"/>
    </w:lvl>
    <w:lvl w:ilvl="1">
      <w:lvlJc w:val="left"/>
      <w:lvlText w:val="%2"/>
      <w:numFmt w:val="lowerLetter"/>
      <w:start w:val="1"/>
    </w:lvl>
  </w:abstractNum>
  <w:abstractNum w:abstractNumId="51">
    <w:nsid w:val="540A471C"/>
    <w:multiLevelType w:val="hybridMultilevel"/>
    <w:lvl w:ilvl="0">
      <w:lvlJc w:val="left"/>
      <w:lvlText w:val="(%1)"/>
      <w:numFmt w:val="lowerLetter"/>
      <w:start w:val="5"/>
    </w:lvl>
  </w:abstractNum>
  <w:abstractNum w:abstractNumId="52">
    <w:nsid w:val="7BD3EE7B"/>
    <w:multiLevelType w:val="hybridMultilevel"/>
    <w:lvl w:ilvl="0">
      <w:lvlJc w:val="left"/>
      <w:lvlText w:val="%1."/>
      <w:numFmt w:val="decimal"/>
      <w:start w:val="2"/>
    </w:lvl>
    <w:lvl w:ilvl="1">
      <w:lvlJc w:val="left"/>
      <w:lvlText w:val="(%2)"/>
      <w:numFmt w:val="lowerLetter"/>
      <w:start w:val="2"/>
    </w:lvl>
  </w:abstractNum>
  <w:abstractNum w:abstractNumId="53">
    <w:nsid w:val="51D9C564"/>
    <w:multiLevelType w:val="hybridMultilevel"/>
    <w:lvl w:ilvl="0">
      <w:lvlJc w:val="left"/>
      <w:lvlText w:val="%1."/>
      <w:numFmt w:val="decimal"/>
      <w:start w:val="3"/>
    </w:lvl>
  </w:abstractNum>
  <w:abstractNum w:abstractNumId="54">
    <w:nsid w:val="613EFDC5"/>
    <w:multiLevelType w:val="hybridMultilevel"/>
    <w:lvl w:ilvl="0">
      <w:lvlJc w:val="left"/>
      <w:lvlText w:val="%1."/>
      <w:numFmt w:val="decimal"/>
      <w:start w:val="5"/>
    </w:lvl>
  </w:abstractNum>
  <w:abstractNum w:abstractNumId="55">
    <w:nsid w:val="BF72B14"/>
    <w:multiLevelType w:val="hybridMultilevel"/>
    <w:lvl w:ilvl="0">
      <w:lvlJc w:val="left"/>
      <w:lvlText w:val="%1."/>
      <w:numFmt w:val="decimal"/>
      <w:start w:val="9"/>
    </w:lvl>
  </w:abstractNum>
  <w:abstractNum w:abstractNumId="56">
    <w:nsid w:val="11447B73"/>
    <w:multiLevelType w:val="hybridMultilevel"/>
    <w:lvl w:ilvl="0">
      <w:lvlJc w:val="left"/>
      <w:lvlText w:val="%1."/>
      <w:numFmt w:val="decimal"/>
      <w:start w:val="16"/>
    </w:lvl>
  </w:abstractNum>
  <w:abstractNum w:abstractNumId="57">
    <w:nsid w:val="42963E5A"/>
    <w:multiLevelType w:val="hybridMultilevel"/>
    <w:lvl w:ilvl="0">
      <w:lvlJc w:val="left"/>
      <w:lvlText w:val="(%1)"/>
      <w:numFmt w:val="lowerLetter"/>
      <w:start w:val="1"/>
    </w:lvl>
  </w:abstractNum>
  <w:abstractNum w:abstractNumId="58">
    <w:nsid w:val="A0382C5"/>
    <w:multiLevelType w:val="hybridMultilevel"/>
    <w:lvl w:ilvl="0">
      <w:lvlJc w:val="left"/>
      <w:lvlText w:val="%1"/>
      <w:numFmt w:val="lowerLetter"/>
      <w:start w:val="1"/>
    </w:lvl>
    <w:lvl w:ilvl="1">
      <w:lvlJc w:val="left"/>
      <w:lvlText w:val="(%2)"/>
      <w:numFmt w:val="lowerLetter"/>
      <w:start w:val="35"/>
    </w:lvl>
  </w:abstractNum>
  <w:abstractNum w:abstractNumId="59">
    <w:nsid w:val="8F2B15E"/>
    <w:multiLevelType w:val="hybridMultilevel"/>
    <w:lvl w:ilvl="0">
      <w:lvlJc w:val="left"/>
      <w:lvlText w:val="(%1)"/>
      <w:numFmt w:val="lowerLetter"/>
      <w:start w:val="2"/>
    </w:lvl>
    <w:lvl w:ilvl="1">
      <w:lvlJc w:val="left"/>
      <w:lvlText w:val="%2"/>
      <w:numFmt w:val="lowerLetter"/>
      <w:start w:val="1"/>
    </w:lvl>
  </w:abstractNum>
  <w:abstractNum w:abstractNumId="60">
    <w:nsid w:val="1A32234B"/>
    <w:multiLevelType w:val="hybridMultilevel"/>
    <w:lvl w:ilvl="0">
      <w:lvlJc w:val="left"/>
      <w:lvlText w:val="(%1)"/>
      <w:numFmt w:val="lowerLetter"/>
      <w:start w:val="5"/>
    </w:lvl>
  </w:abstractNum>
  <w:abstractNum w:abstractNumId="61">
    <w:nsid w:val="3B0FD37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abstractNum>
  <w:abstractNum w:abstractNumId="62">
    <w:nsid w:val="68EB2F6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63">
    <w:nsid w:val="4962813B"/>
    <w:multiLevelType w:val="hybridMultilevel"/>
    <w:lvl w:ilvl="0">
      <w:lvlJc w:val="left"/>
      <w:lvlText w:val="%1."/>
      <w:numFmt w:val="decimal"/>
      <w:start w:val="3"/>
    </w:lvl>
  </w:abstractNum>
  <w:abstractNum w:abstractNumId="64">
    <w:nsid w:val="60B6DF70"/>
    <w:multiLevelType w:val="hybridMultilevel"/>
    <w:lvl w:ilvl="0">
      <w:lvlJc w:val="left"/>
      <w:lvlText w:val="%1."/>
      <w:numFmt w:val="decimal"/>
      <w:start w:val="5"/>
    </w:lvl>
  </w:abstractNum>
  <w:abstractNum w:abstractNumId="65">
    <w:nsid w:val="6A5EE64"/>
    <w:multiLevelType w:val="hybridMultilevel"/>
    <w:lvl w:ilvl="0">
      <w:lvlJc w:val="left"/>
      <w:lvlText w:val="%1."/>
      <w:numFmt w:val="decimal"/>
      <w:start w:val="9"/>
    </w:lvl>
  </w:abstractNum>
  <w:abstractNum w:abstractNumId="66">
    <w:nsid w:val="14330624"/>
    <w:multiLevelType w:val="hybridMultilevel"/>
    <w:lvl w:ilvl="0">
      <w:lvlJc w:val="left"/>
      <w:lvlText w:val="%1."/>
      <w:numFmt w:val="decimal"/>
      <w:start w:val="16"/>
    </w:lvl>
  </w:abstractNum>
  <w:abstractNum w:abstractNumId="67">
    <w:nsid w:val="7FFFCA11"/>
    <w:multiLevelType w:val="hybridMultilevel"/>
    <w:lvl w:ilvl="0">
      <w:lvlJc w:val="left"/>
      <w:lvlText w:val="(%1)"/>
      <w:numFmt w:val="lowerLetter"/>
      <w:start w:val="1"/>
    </w:lvl>
  </w:abstractNum>
  <w:abstractNum w:abstractNumId="68">
    <w:nsid w:val="1A27709E"/>
    <w:multiLevelType w:val="hybridMultilevel"/>
    <w:lvl w:ilvl="0">
      <w:lvlJc w:val="left"/>
      <w:lvlText w:val="%1"/>
      <w:numFmt w:val="lowerLetter"/>
      <w:start w:val="1"/>
    </w:lvl>
    <w:lvl w:ilvl="1">
      <w:lvlJc w:val="left"/>
      <w:lvlText w:val="(%2)"/>
      <w:numFmt w:val="lowerLetter"/>
      <w:start w:val="35"/>
    </w:lvl>
  </w:abstractNum>
  <w:abstractNum w:abstractNumId="69">
    <w:nsid w:val="71EA1109"/>
    <w:multiLevelType w:val="hybridMultilevel"/>
    <w:lvl w:ilvl="0">
      <w:lvlJc w:val="left"/>
      <w:lvlText w:val="(%1)"/>
      <w:numFmt w:val="lowerLetter"/>
      <w:start w:val="2"/>
    </w:lvl>
    <w:lvl w:ilvl="1">
      <w:lvlJc w:val="left"/>
      <w:lvlText w:val="%2"/>
      <w:numFmt w:val="lowerLetter"/>
      <w:start w:val="1"/>
    </w:lvl>
  </w:abstractNum>
  <w:abstractNum w:abstractNumId="70">
    <w:nsid w:val="100F59DC"/>
    <w:multiLevelType w:val="hybridMultilevel"/>
    <w:lvl w:ilvl="0">
      <w:lvlJc w:val="left"/>
      <w:lvlText w:val="(%1)"/>
      <w:numFmt w:val="lowerLetter"/>
      <w:start w:val="5"/>
    </w:lvl>
  </w:abstractNum>
  <w:abstractNum w:abstractNumId="71">
    <w:nsid w:val="7FB7E0A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abstractNum>
  <w:abstractNum w:abstractNumId="72">
    <w:nsid w:val="6EB5BD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73">
    <w:nsid w:val="6F6DD9AC"/>
    <w:multiLevelType w:val="hybridMultilevel"/>
    <w:lvl w:ilvl="0">
      <w:lvlJc w:val="left"/>
      <w:lvlText w:val="%1."/>
      <w:numFmt w:val="decimal"/>
      <w:start w:val="3"/>
    </w:lvl>
  </w:abstractNum>
  <w:abstractNum w:abstractNumId="74">
    <w:nsid w:val="94211F2"/>
    <w:multiLevelType w:val="hybridMultilevel"/>
    <w:lvl w:ilvl="0">
      <w:lvlJc w:val="left"/>
      <w:lvlText w:val="%1."/>
      <w:numFmt w:val="decimal"/>
      <w:start w:val="5"/>
    </w:lvl>
  </w:abstractNum>
  <w:abstractNum w:abstractNumId="75">
    <w:nsid w:val="885E1B"/>
    <w:multiLevelType w:val="hybridMultilevel"/>
    <w:lvl w:ilvl="0">
      <w:lvlJc w:val="left"/>
      <w:lvlText w:val="%1."/>
      <w:numFmt w:val="decimal"/>
      <w:start w:val="9"/>
    </w:lvl>
  </w:abstractNum>
  <w:abstractNum w:abstractNumId="76">
    <w:nsid w:val="76272110"/>
    <w:multiLevelType w:val="hybridMultilevel"/>
    <w:lvl w:ilvl="0">
      <w:lvlJc w:val="left"/>
      <w:lvlText w:val="%1."/>
      <w:numFmt w:val="decimal"/>
      <w:start w:val="16"/>
    </w:lvl>
  </w:abstractNum>
  <w:abstractNum w:abstractNumId="77">
    <w:nsid w:val="4C04A8AF"/>
    <w:multiLevelType w:val="hybridMultilevel"/>
    <w:lvl w:ilvl="0">
      <w:lvlJc w:val="left"/>
      <w:lvlText w:val="(%1)"/>
      <w:numFmt w:val="lowerLetter"/>
      <w:start w:val="1"/>
    </w:lvl>
  </w:abstractNum>
  <w:abstractNum w:abstractNumId="78">
    <w:nsid w:val="1716703B"/>
    <w:multiLevelType w:val="hybridMultilevel"/>
    <w:lvl w:ilvl="0">
      <w:lvlJc w:val="left"/>
      <w:lvlText w:val="%1"/>
      <w:numFmt w:val="lowerLetter"/>
      <w:start w:val="1"/>
    </w:lvl>
    <w:lvl w:ilvl="1">
      <w:lvlJc w:val="left"/>
      <w:lvlText w:val="(%2)"/>
      <w:numFmt w:val="lowerLetter"/>
      <w:start w:val="35"/>
    </w:lvl>
  </w:abstractNum>
  <w:abstractNum w:abstractNumId="79">
    <w:nsid w:val="14E17E33"/>
    <w:multiLevelType w:val="hybridMultilevel"/>
    <w:lvl w:ilvl="0">
      <w:lvlJc w:val="left"/>
      <w:lvlText w:val="(%1)"/>
      <w:numFmt w:val="lowerLetter"/>
      <w:start w:val="2"/>
    </w:lvl>
    <w:lvl w:ilvl="1">
      <w:lvlJc w:val="left"/>
      <w:lvlText w:val="%2"/>
      <w:numFmt w:val="lowerLetter"/>
      <w:start w:val="1"/>
    </w:lvl>
  </w:abstractNum>
  <w:abstractNum w:abstractNumId="80">
    <w:nsid w:val="3222E7CD"/>
    <w:multiLevelType w:val="hybridMultilevel"/>
    <w:lvl w:ilvl="0">
      <w:lvlJc w:val="left"/>
      <w:lvlText w:val="(%1)"/>
      <w:numFmt w:val="lowerLetter"/>
      <w:start w:val="5"/>
    </w:lvl>
  </w:abstractNum>
  <w:abstractNum w:abstractNumId="81">
    <w:nsid w:val="74DE0EE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abstractNum>
  <w:abstractNum w:abstractNumId="82">
    <w:nsid w:val="68EBC55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83">
    <w:nsid w:val="2DF6D648"/>
    <w:multiLevelType w:val="hybridMultilevel"/>
    <w:lvl w:ilvl="0">
      <w:lvlJc w:val="left"/>
      <w:lvlText w:val="%1."/>
      <w:numFmt w:val="decimal"/>
      <w:start w:val="3"/>
    </w:lvl>
  </w:abstractNum>
  <w:abstractNum w:abstractNumId="84">
    <w:nsid w:val="46B7D447"/>
    <w:multiLevelType w:val="hybridMultilevel"/>
    <w:lvl w:ilvl="0">
      <w:lvlJc w:val="left"/>
      <w:lvlText w:val="%1."/>
      <w:numFmt w:val="decimal"/>
      <w:start w:val="5"/>
    </w:lvl>
  </w:abstractNum>
  <w:abstractNum w:abstractNumId="85">
    <w:nsid w:val="4A2AC315"/>
    <w:multiLevelType w:val="hybridMultilevel"/>
    <w:lvl w:ilvl="0">
      <w:lvlJc w:val="left"/>
      <w:lvlText w:val="%1."/>
      <w:numFmt w:val="decimal"/>
      <w:start w:val="9"/>
    </w:lvl>
  </w:abstractNum>
  <w:abstractNum w:abstractNumId="86">
    <w:nsid w:val="39EE015C"/>
    <w:multiLevelType w:val="hybridMultilevel"/>
    <w:lvl w:ilvl="0">
      <w:lvlJc w:val="left"/>
      <w:lvlText w:val="%1."/>
      <w:numFmt w:val="decimal"/>
      <w:start w:val="16"/>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lowerLetter"/>
      <w:start w:val="1"/>
    </w:lvl>
    <w:lvl w:ilvl="1">
      <w:lvlJc w:val="left"/>
      <w:lvlText w:val="(%2)"/>
      <w:numFmt w:val="lowerLetter"/>
      <w:start w:val="35"/>
    </w:lvl>
  </w:abstractNum>
  <w:abstractNum w:abstractNumId="89">
    <w:nsid w:val="43F18422"/>
    <w:multiLevelType w:val="hybridMultilevel"/>
    <w:lvl w:ilvl="0">
      <w:lvlJc w:val="left"/>
      <w:lvlText w:val="(%1)"/>
      <w:numFmt w:val="lowerLetter"/>
      <w:start w:val="2"/>
    </w:lvl>
    <w:lvl w:ilvl="1">
      <w:lvlJc w:val="left"/>
      <w:lvlText w:val="%2"/>
      <w:numFmt w:val="lowerLetter"/>
      <w:start w:val="1"/>
    </w:lvl>
  </w:abstractNum>
  <w:abstractNum w:abstractNumId="90">
    <w:nsid w:val="60EF0119"/>
    <w:multiLevelType w:val="hybridMultilevel"/>
    <w:lvl w:ilvl="0">
      <w:lvlJc w:val="left"/>
      <w:lvlText w:val="(%1)"/>
      <w:numFmt w:val="lowerLetter"/>
      <w:start w:val="5"/>
    </w:lvl>
  </w:abstractNum>
  <w:abstractNum w:abstractNumId="91">
    <w:nsid w:val="26F324B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
    </w:lvl>
  </w:abstractNum>
  <w:abstractNum w:abstractNumId="92">
    <w:nsid w:val="7F01579B"/>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93">
    <w:nsid w:val="49DA307D"/>
    <w:multiLevelType w:val="hybridMultilevel"/>
    <w:lvl w:ilvl="0">
      <w:lvlJc w:val="left"/>
      <w:lvlText w:val="%1."/>
      <w:numFmt w:val="decimal"/>
      <w:start w:val="3"/>
    </w:lvl>
  </w:abstractNum>
  <w:abstractNum w:abstractNumId="94">
    <w:nsid w:val="7055A5F5"/>
    <w:multiLevelType w:val="hybridMultilevel"/>
    <w:lvl w:ilvl="0">
      <w:lvlJc w:val="left"/>
      <w:lvlText w:val="%1."/>
      <w:numFmt w:val="decimal"/>
      <w:start w:val="5"/>
    </w:lvl>
  </w:abstractNum>
  <w:abstractNum w:abstractNumId="95">
    <w:nsid w:val="5FB8370B"/>
    <w:multiLevelType w:val="hybridMultilevel"/>
    <w:lvl w:ilvl="0">
      <w:lvlJc w:val="left"/>
      <w:lvlText w:val="%1."/>
      <w:numFmt w:val="decimal"/>
      <w:start w:val="9"/>
    </w:lvl>
  </w:abstractNum>
  <w:abstractNum w:abstractNumId="96">
    <w:nsid w:val="50801EE1"/>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2019-12-20T06:54:51Z</dcterms:created>
  <dcterms:modified xsi:type="dcterms:W3CDTF">2019-12-20T06:54:51Z</dcterms:modified>
</cp:coreProperties>
</file>