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9"/>
        <w:spacing w:after="0"/>
        <w:rPr>
          <w:sz w:val="20"/>
          <w:szCs w:val="20"/>
          <w:color w:val="auto"/>
        </w:rPr>
      </w:pPr>
      <w:r>
        <w:rPr>
          <w:rFonts w:ascii="Courier New" w:cs="Courier New" w:eastAsia="Courier New" w:hAnsi="Courier New"/>
          <w:sz w:val="18"/>
          <w:szCs w:val="18"/>
          <w:color w:val="auto"/>
        </w:rPr>
        <w:t>SCHEDULE 14A INFORMATION</w:t>
      </w:r>
    </w:p>
    <w:p>
      <w:pPr>
        <w:spacing w:after="0" w:line="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6"/>
          <w:szCs w:val="16"/>
          <w:color w:val="auto"/>
        </w:rPr>
        <w:t>REQUIRED IN PROXY STATEMENT PURSUANT TO SECTION 14(A) OF</w:t>
      </w:r>
    </w:p>
    <w:p>
      <w:pPr>
        <w:spacing w:after="0" w:line="1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649"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the Registrant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640" w:space="320"/>
            <w:col w:w="7259"/>
          </w:cols>
          <w:pgMar w:left="240" w:top="649"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x }</w:t>
      </w:r>
    </w:p>
    <w:p>
      <w:pPr>
        <w:sectPr>
          <w:pgSz w:w="11900" w:h="16838" w:orient="portrait"/>
          <w:cols w:equalWidth="0" w:num="1">
            <w:col w:w="10219"/>
          </w:cols>
          <w:pgMar w:left="240" w:top="649" w:right="1440"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6" w:lineRule="exact"/>
        <w:rPr>
          <w:sz w:val="24"/>
          <w:szCs w:val="24"/>
          <w:color w:val="auto"/>
        </w:rPr>
      </w:pPr>
    </w:p>
    <w:p>
      <w:pPr>
        <w:ind w:left="860" w:right="1779" w:hanging="843"/>
        <w:spacing w:after="0" w:line="235"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202"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Definitive Additional Materials</w:t>
      </w:r>
    </w:p>
    <w:p>
      <w:pPr>
        <w:sectPr>
          <w:pgSz w:w="11900" w:h="16838" w:orient="portrait"/>
          <w:cols w:equalWidth="0" w:num="1">
            <w:col w:w="10219"/>
          </w:cols>
          <w:pgMar w:left="240" w:top="649" w:right="1440" w:bottom="1440" w:gutter="0" w:footer="0" w:header="0"/>
          <w:type w:val="continuous"/>
        </w:sectPr>
      </w:pPr>
    </w:p>
    <w:p>
      <w:pPr>
        <w:spacing w:after="0" w:line="201" w:lineRule="exact"/>
        <w:rPr>
          <w:sz w:val="24"/>
          <w:szCs w:val="24"/>
          <w:color w:val="auto"/>
        </w:rPr>
      </w:pPr>
    </w:p>
    <w:p>
      <w:pPr>
        <w:spacing w:after="0"/>
        <w:tabs>
          <w:tab w:leader="none" w:pos="400" w:val="left"/>
          <w:tab w:leader="none" w:pos="84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Soliciting Material Pursuant to</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240.14a-11(c) or Section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240.</w:t>
      </w:r>
    </w:p>
    <w:p>
      <w:pPr>
        <w:spacing w:after="0" w:line="17" w:lineRule="exact"/>
        <w:rPr>
          <w:sz w:val="24"/>
          <w:szCs w:val="24"/>
          <w:color w:val="auto"/>
        </w:rPr>
      </w:pPr>
    </w:p>
    <w:p>
      <w:pPr>
        <w:sectPr>
          <w:pgSz w:w="11900" w:h="16838" w:orient="portrait"/>
          <w:cols w:equalWidth="0" w:num="4">
            <w:col w:w="4120" w:space="200"/>
            <w:col w:w="740" w:space="220"/>
            <w:col w:w="2520" w:space="220"/>
            <w:col w:w="2199"/>
          </w:cols>
          <w:pgMar w:left="240" w:top="649" w:right="1440" w:bottom="1440" w:gutter="0" w:footer="0" w:header="0"/>
          <w:type w:val="continuous"/>
        </w:sectPr>
      </w:pPr>
    </w:p>
    <w:p>
      <w:pPr>
        <w:ind w:left="860"/>
        <w:spacing w:after="0" w:line="238" w:lineRule="auto"/>
        <w:rPr>
          <w:sz w:val="20"/>
          <w:szCs w:val="20"/>
          <w:color w:val="auto"/>
        </w:rPr>
      </w:pPr>
      <w:r>
        <w:rPr>
          <w:rFonts w:ascii="Courier New" w:cs="Courier New" w:eastAsia="Courier New" w:hAnsi="Courier New"/>
          <w:sz w:val="18"/>
          <w:szCs w:val="18"/>
          <w:color w:val="auto"/>
        </w:rPr>
        <w:t>14a-12</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2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JEWELCOR MANAGEMENT, INC.</w:t>
      </w:r>
    </w:p>
    <w:p>
      <w:pPr>
        <w:sectPr>
          <w:pgSz w:w="11900" w:h="16838" w:orient="portrait"/>
          <w:cols w:equalWidth="0" w:num="1">
            <w:col w:w="10219"/>
          </w:cols>
          <w:pgMar w:left="240" w:top="649" w:right="1440" w:bottom="1440" w:gutter="0" w:footer="0" w:header="0"/>
          <w:type w:val="continuous"/>
        </w:sectPr>
      </w:pP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5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January 22, 1999</w:t>
      </w: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Jacqueline Quigley (561) 447-4713</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Jewelcor Management, Inc. Makes a Proposal to Purchase All Outstanding</w:t>
      </w:r>
    </w:p>
    <w:p>
      <w:pPr>
        <w:jc w:val="center"/>
        <w:ind w:right="1659"/>
        <w:spacing w:after="0" w:line="238" w:lineRule="auto"/>
        <w:rPr>
          <w:sz w:val="20"/>
          <w:szCs w:val="20"/>
          <w:color w:val="auto"/>
        </w:rPr>
      </w:pPr>
      <w:r>
        <w:rPr>
          <w:rFonts w:ascii="Courier New" w:cs="Courier New" w:eastAsia="Courier New" w:hAnsi="Courier New"/>
          <w:sz w:val="18"/>
          <w:szCs w:val="18"/>
          <w:color w:val="auto"/>
        </w:rPr>
        <w:t>Shares of Common Stock of Designs, Inc.</w:t>
      </w:r>
    </w:p>
    <w:p>
      <w:pPr>
        <w:spacing w:after="0" w:line="207" w:lineRule="exact"/>
        <w:rPr>
          <w:sz w:val="24"/>
          <w:szCs w:val="24"/>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Wilkes-Barre, Pennsylvania...Jewelcor Management, Inc. (JMI) announced today that it has made a proposal to purchase all of the outstanding shares of Common Stock of Designs, Inc. (NASDAQ-DESI) at a price of $3.00 per share.</w:t>
      </w:r>
    </w:p>
    <w:p>
      <w:pPr>
        <w:spacing w:after="0" w:line="209"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a letter to Joel Reichman, President and CEO of Designs, Inc. Seymour Holtzman, President of JMI, stated, "We have great concerns as to how the sale of the company is proceeding. It is well over a month since the process began, and there does not appear to be any significant activity in that regard."</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proposal which was sent to Designs, Inc. was made without the receipt of any non-public information or the benefit of conducting financial and legal due diligence on non-public information. If such due diligence were to demonstrate additional value beyond that demonstrated by JMI's review of publicly available documents, it would be prepared to consider increasing the $3.00 per share proposal.</w:t>
      </w:r>
    </w:p>
    <w:p>
      <w:pPr>
        <w:spacing w:after="0" w:line="210"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JMI expects to use third party financing, and thus its proposal is subject to obtaining such financing.</w:t>
      </w:r>
    </w:p>
    <w:p>
      <w:pPr>
        <w:spacing w:after="0" w:line="208"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Notwithstanding recent circumstances regarding JMI's consent solicitation, Holtzman stated that the company should welcome this proposal. "I hope to be able to work with the company expeditiously to further this process for the benefit of all shareholders."</w:t>
      </w:r>
    </w:p>
    <w:sectPr>
      <w:pgSz w:w="11900" w:h="16838" w:orient="portrait"/>
      <w:cols w:equalWidth="0" w:num="1">
        <w:col w:w="10219"/>
      </w:cols>
      <w:pgMar w:left="240" w:top="64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2019-12-20T01:06:48Z</dcterms:created>
  <dcterms:modified xsi:type="dcterms:W3CDTF">2019-12-20T01:06:48Z</dcterms:modified>
</cp:coreProperties>
</file>