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29,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159385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940" w:type="dxa"/>
            <w:vAlign w:val="bottom"/>
          </w:tcPr>
          <w:p>
            <w:pPr>
              <w:jc w:val="center"/>
              <w:ind w:right="261"/>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4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9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700" w:type="dxa"/>
            <w:vAlign w:val="bottom"/>
          </w:tcPr>
          <w:p>
            <w:pPr>
              <w:jc w:val="center"/>
              <w:ind w:left="3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261"/>
              <w:spacing w:after="0"/>
              <w:rPr>
                <w:sz w:val="20"/>
                <w:szCs w:val="20"/>
                <w:color w:val="auto"/>
              </w:rPr>
            </w:pPr>
            <w:r>
              <w:rPr>
                <w:rFonts w:ascii="Arial" w:cs="Arial" w:eastAsia="Arial" w:hAnsi="Arial"/>
                <w:sz w:val="14"/>
                <w:szCs w:val="14"/>
                <w:b w:val="1"/>
                <w:bCs w:val="1"/>
                <w:color w:val="auto"/>
                <w:w w:val="94"/>
              </w:rPr>
              <w:t>incorporation or organization)</w:t>
            </w:r>
          </w:p>
        </w:tc>
        <w:tc>
          <w:tcPr>
            <w:tcW w:w="4700" w:type="dxa"/>
            <w:vAlign w:val="bottom"/>
          </w:tcPr>
          <w:p>
            <w:pPr>
              <w:jc w:val="center"/>
              <w:ind w:left="3501"/>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2940" w:type="dxa"/>
            <w:vAlign w:val="bottom"/>
          </w:tcPr>
          <w:p>
            <w:pPr>
              <w:jc w:val="center"/>
              <w:ind w:right="281"/>
              <w:spacing w:after="0"/>
              <w:rPr>
                <w:sz w:val="20"/>
                <w:szCs w:val="20"/>
                <w:color w:val="auto"/>
              </w:rPr>
            </w:pPr>
            <w:r>
              <w:rPr>
                <w:rFonts w:ascii="Arial" w:cs="Arial" w:eastAsia="Arial" w:hAnsi="Arial"/>
                <w:sz w:val="18"/>
                <w:szCs w:val="18"/>
                <w:b w:val="1"/>
                <w:bCs w:val="1"/>
                <w:color w:val="auto"/>
                <w:w w:val="93"/>
              </w:rPr>
              <w:t>555 Turnpike Street, Canton, MA</w:t>
            </w:r>
          </w:p>
        </w:tc>
        <w:tc>
          <w:tcPr>
            <w:tcW w:w="470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2940" w:type="dxa"/>
            <w:vAlign w:val="bottom"/>
          </w:tcPr>
          <w:p>
            <w:pPr>
              <w:jc w:val="center"/>
              <w:ind w:right="2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00" w:type="dxa"/>
            <w:vAlign w:val="bottom"/>
          </w:tcPr>
          <w:p>
            <w:pPr>
              <w:jc w:val="center"/>
              <w:ind w:left="35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940" w:type="dxa"/>
            <w:vAlign w:val="bottom"/>
          </w:tcPr>
          <w:p>
            <w:pPr>
              <w:spacing w:after="0"/>
              <w:rPr>
                <w:sz w:val="24"/>
                <w:szCs w:val="24"/>
                <w:color w:val="auto"/>
              </w:rPr>
            </w:pPr>
          </w:p>
        </w:tc>
        <w:tc>
          <w:tcPr>
            <w:tcW w:w="4700" w:type="dxa"/>
            <w:vAlign w:val="bottom"/>
          </w:tcPr>
          <w:p>
            <w:pPr>
              <w:jc w:val="center"/>
              <w:ind w:right="2101"/>
              <w:spacing w:after="0"/>
              <w:rPr>
                <w:sz w:val="20"/>
                <w:szCs w:val="20"/>
                <w:color w:val="auto"/>
              </w:rPr>
            </w:pPr>
            <w:r>
              <w:rPr>
                <w:rFonts w:ascii="Arial" w:cs="Arial" w:eastAsia="Arial" w:hAnsi="Arial"/>
                <w:sz w:val="18"/>
                <w:szCs w:val="18"/>
                <w:b w:val="1"/>
                <w:bCs w:val="1"/>
                <w:color w:val="auto"/>
                <w:w w:val="90"/>
              </w:rPr>
              <w:t>(781) 828-9300</w:t>
            </w:r>
          </w:p>
        </w:tc>
      </w:tr>
      <w:tr>
        <w:trPr>
          <w:trHeight w:val="149"/>
        </w:trPr>
        <w:tc>
          <w:tcPr>
            <w:tcW w:w="2940" w:type="dxa"/>
            <w:vAlign w:val="bottom"/>
          </w:tcPr>
          <w:p>
            <w:pPr>
              <w:spacing w:after="0"/>
              <w:rPr>
                <w:sz w:val="12"/>
                <w:szCs w:val="12"/>
                <w:color w:val="auto"/>
              </w:rPr>
            </w:pPr>
          </w:p>
        </w:tc>
        <w:tc>
          <w:tcPr>
            <w:tcW w:w="4700" w:type="dxa"/>
            <w:vAlign w:val="bottom"/>
          </w:tcPr>
          <w:p>
            <w:pPr>
              <w:jc w:val="center"/>
              <w:ind w:right="2121"/>
              <w:spacing w:after="0" w:line="149" w:lineRule="exact"/>
              <w:rPr>
                <w:sz w:val="20"/>
                <w:szCs w:val="20"/>
                <w:color w:val="auto"/>
              </w:rPr>
            </w:pPr>
            <w:r>
              <w:rPr>
                <w:rFonts w:ascii="Arial" w:cs="Arial" w:eastAsia="Arial" w:hAnsi="Arial"/>
                <w:sz w:val="14"/>
                <w:szCs w:val="14"/>
                <w:b w:val="1"/>
                <w:bCs w:val="1"/>
                <w:color w:val="auto"/>
                <w:w w:val="91"/>
              </w:rPr>
              <w:t>(Registrant’s telephone</w:t>
            </w:r>
          </w:p>
        </w:tc>
      </w:tr>
      <w:tr>
        <w:trPr>
          <w:trHeight w:val="186"/>
        </w:trPr>
        <w:tc>
          <w:tcPr>
            <w:tcW w:w="2940" w:type="dxa"/>
            <w:vAlign w:val="bottom"/>
          </w:tcPr>
          <w:p>
            <w:pPr>
              <w:spacing w:after="0"/>
              <w:rPr>
                <w:sz w:val="16"/>
                <w:szCs w:val="16"/>
                <w:color w:val="auto"/>
              </w:rPr>
            </w:pPr>
          </w:p>
        </w:tc>
        <w:tc>
          <w:tcPr>
            <w:tcW w:w="4700" w:type="dxa"/>
            <w:vAlign w:val="bottom"/>
          </w:tcPr>
          <w:p>
            <w:pPr>
              <w:jc w:val="center"/>
              <w:ind w:right="2121"/>
              <w:spacing w:after="0"/>
              <w:rPr>
                <w:sz w:val="20"/>
                <w:szCs w:val="20"/>
                <w:color w:val="auto"/>
              </w:rPr>
            </w:pPr>
            <w:r>
              <w:rPr>
                <w:rFonts w:ascii="Arial" w:cs="Arial" w:eastAsia="Arial" w:hAnsi="Arial"/>
                <w:sz w:val="14"/>
                <w:szCs w:val="14"/>
                <w:b w:val="1"/>
                <w:bCs w:val="1"/>
                <w:color w:val="auto"/>
                <w:w w:val="91"/>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03"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820" w:space="720"/>
            <w:col w:w="4840" w:space="720"/>
            <w:col w:w="2340" w:space="720"/>
            <w:col w:w="260"/>
          </w:cols>
          <w:pgMar w:left="240" w:top="50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820" w:space="720"/>
            <w:col w:w="160" w:space="80"/>
            <w:col w:w="4600" w:space="720"/>
            <w:col w:w="2340" w:space="720"/>
            <w:col w:w="260"/>
          </w:cols>
          <w:pgMar w:left="240" w:top="503"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60"/>
          </w:cols>
          <w:pgMar w:left="240" w:top="503"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November 11, 2016 was 50,823,803.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October 29,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283,593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7,725</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Common stock, $0.01 par value, 100,000,000 shares authorized, 61,681,817 and 61,692,285 shares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issued at October 29, 2016 and January 30, 2016, respectively</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304,165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 10,877,439 shares at October 29, 2016 and January 30, 2016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(87,977)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(120,311)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283,593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right"/>
              <w:ind w:right="90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4"/>
                <w:szCs w:val="14"/>
                <w:color w:val="auto"/>
              </w:rPr>
            </w:pPr>
          </w:p>
        </w:tc>
        <w:tc>
          <w:tcPr>
            <w:tcW w:w="3100" w:type="dxa"/>
            <w:vAlign w:val="bottom"/>
            <w:gridSpan w:val="6"/>
          </w:tcPr>
          <w:p>
            <w:pPr>
              <w:jc w:val="right"/>
              <w:ind w:right="88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October 29, 2016</w:t>
            </w:r>
          </w:p>
        </w:tc>
        <w:tc>
          <w:tcPr>
            <w:tcW w:w="120" w:type="dxa"/>
            <w:vAlign w:val="bottom"/>
          </w:tcPr>
          <w:p>
            <w:pPr>
              <w:spacing w:after="0"/>
              <w:rPr>
                <w:sz w:val="14"/>
                <w:szCs w:val="1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31, 2015</w:t>
            </w:r>
          </w:p>
        </w:tc>
        <w:tc>
          <w:tcPr>
            <w:tcW w:w="1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October 29, 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October 31, 2015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2015)</w:t>
            </w:r>
          </w:p>
        </w:tc>
        <w:tc>
          <w:tcPr>
            <w:tcW w:w="1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101,871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327,637</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149,847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(4,626)</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(5,409)</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(4,452)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(5,472)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(4,039)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jc w:val="right"/>
              <w:ind w:right="68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5"/>
                <w:szCs w:val="15"/>
                <w:color w:val="auto"/>
              </w:rPr>
            </w:pPr>
          </w:p>
        </w:tc>
        <w:tc>
          <w:tcPr>
            <w:tcW w:w="2540" w:type="dxa"/>
            <w:vAlign w:val="bottom"/>
            <w:gridSpan w:val="5"/>
          </w:tcPr>
          <w:p>
            <w:pPr>
              <w:ind w:left="3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color w:val="auto"/>
                <w:w w:val="96"/>
              </w:rPr>
              <w:t>October 29, 2016</w:t>
            </w:r>
          </w:p>
        </w:tc>
        <w:tc>
          <w:tcPr>
            <w:tcW w:w="1400" w:type="dxa"/>
            <w:vAlign w:val="bottom"/>
            <w:gridSpan w:val="3"/>
          </w:tcPr>
          <w:p>
            <w:pPr>
              <w:jc w:val="right"/>
              <w:ind w:right="320"/>
              <w:spacing w:after="0"/>
              <w:rPr>
                <w:sz w:val="20"/>
                <w:szCs w:val="20"/>
                <w:color w:val="auto"/>
              </w:rPr>
            </w:pPr>
            <w:r>
              <w:rPr>
                <w:rFonts w:ascii="Arial" w:cs="Arial" w:eastAsia="Arial" w:hAnsi="Arial"/>
                <w:sz w:val="14"/>
                <w:szCs w:val="14"/>
                <w:color w:val="auto"/>
                <w:w w:val="97"/>
              </w:rPr>
              <w:t>October 31, 2015</w:t>
            </w:r>
          </w:p>
        </w:tc>
        <w:tc>
          <w:tcPr>
            <w:tcW w:w="1420" w:type="dxa"/>
            <w:vAlign w:val="bottom"/>
            <w:gridSpan w:val="3"/>
          </w:tcPr>
          <w:p>
            <w:pPr>
              <w:jc w:val="right"/>
              <w:ind w:right="340"/>
              <w:spacing w:after="0"/>
              <w:rPr>
                <w:sz w:val="20"/>
                <w:szCs w:val="20"/>
                <w:color w:val="auto"/>
              </w:rPr>
            </w:pPr>
            <w:r>
              <w:rPr>
                <w:rFonts w:ascii="Arial" w:cs="Arial" w:eastAsia="Arial" w:hAnsi="Arial"/>
                <w:sz w:val="14"/>
                <w:szCs w:val="14"/>
                <w:color w:val="auto"/>
                <w:w w:val="97"/>
              </w:rPr>
              <w:t>October 29, 2016</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October 31, 2015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w w:val="98"/>
              </w:rPr>
              <w:t>(Fiscal 2016)</w:t>
            </w: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w w:val="98"/>
              </w:rPr>
              <w:t>(Fiscal 2015)</w:t>
            </w:r>
          </w:p>
        </w:tc>
        <w:tc>
          <w:tcPr>
            <w:tcW w:w="1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(Fiscal 2016)</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(Fiscal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Additional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Paid-in</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Stock</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Accumulated</w:t>
            </w: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color w:val="auto"/>
                <w:w w:val="91"/>
              </w:rPr>
              <w:t>Comprehensive</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Amounts</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Capital</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Amounts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Income (Loss)</w:t>
            </w:r>
          </w:p>
        </w:tc>
        <w:tc>
          <w:tcPr>
            <w:tcW w:w="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30, 2016</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617</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$ 302,727</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 (87,977)</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(120,311)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$ 88,404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Cancellations of restricted stock, net of issuances</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Foreign currency</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Balance at October 29, 2016</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617</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$ 304,165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(87,977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(124,350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$ 86,195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5"/>
          </w:tcPr>
          <w:p>
            <w:pPr>
              <w:jc w:val="right"/>
              <w:ind w:right="10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color w:val="auto"/>
                <w:w w:val="99"/>
              </w:rPr>
              <w:t>October 29, 2016</w:t>
            </w: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October 31, 2015</w:t>
            </w:r>
          </w:p>
        </w:tc>
        <w:tc>
          <w:tcPr>
            <w:tcW w:w="0" w:type="dxa"/>
            <w:vAlign w:val="bottom"/>
          </w:tcPr>
          <w:p>
            <w:pPr>
              <w:spacing w:after="0"/>
              <w:rPr>
                <w:sz w:val="1"/>
                <w:szCs w:val="1"/>
                <w:color w:val="auto"/>
              </w:rPr>
            </w:pPr>
          </w:p>
        </w:tc>
      </w:tr>
      <w:tr>
        <w:trPr>
          <w:trHeight w:val="167"/>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2016)</w:t>
            </w: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(4,039)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(7,025)</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provided by (used for) operating activities: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(1,099)</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2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Board of Directors stock compensation</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(3,642)</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(3,167)</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(18,092)</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(705)</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(376)</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(972)</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(5,959)</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provided by (used for) operating activities</w:t>
            </w: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(5,051)</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(21,799)</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(25,352)</w:t>
            </w: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(21,799)</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(25,352)</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Proceeds from the exercise of stock options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(5,363)</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Arial" w:cs="Arial" w:eastAsia="Arial" w:hAnsi="Arial"/>
                <w:sz w:val="16"/>
                <w:szCs w:val="16"/>
                <w:color w:val="auto"/>
              </w:rPr>
              <w:t>Costs associated with debt issuances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borrowings under credit facility</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20,284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14,921</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Beginning of period</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60"/>
              <w:spacing w:after="0"/>
              <w:rPr>
                <w:sz w:val="20"/>
                <w:szCs w:val="20"/>
                <w:color w:val="auto"/>
              </w:rPr>
            </w:pPr>
            <w:r>
              <w:rPr>
                <w:rFonts w:ascii="Arial" w:cs="Arial" w:eastAsia="Arial" w:hAnsi="Arial"/>
                <w:sz w:val="16"/>
                <w:szCs w:val="16"/>
                <w:color w:val="auto"/>
              </w:rPr>
              <w:t>End of period</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6,344</w:t>
            </w:r>
          </w:p>
        </w:tc>
        <w:tc>
          <w:tcPr>
            <w:tcW w:w="2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5,600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2016 included in the Company’s Annual Report on Form 10-K, which was filed with the Securities and Exchange Commission on March 18, 2016.</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2016 and fiscal 2015 are 52-week periods ending January 28, 2017 and January 30,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October 29, 2016, the “Casual Male” trademark had a carrying value of $0.7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nine months ended October 29, 2016,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16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October 29, 2016, the fair value approximates the carrying amount based upon terms available to the Company for borrowings with similar arrangements and remaining maturities.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nine months ended October 29, 2016 and October 31, 2015,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29, 2016</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31, 2015</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right"/>
              <w:ind w:right="52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nine months ended: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29, 2016</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31, 2015</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right"/>
              <w:ind w:right="52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fiscal year</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ind w:right="55"/>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 w:name="page9"/>
    <w:bookmarkEnd w:id="8"/>
    <w:p>
      <w:pPr>
        <w:ind w:left="1040" w:right="140" w:hanging="519"/>
        <w:spacing w:after="0" w:line="279"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$176,000 and $162,000 for the three months ended October 29, 2016 and October 31, 2015, respectively, and $528,000 and $485,000 for the nine months ended October 29, 2016 and October 31, 2015, respectively. There was no tax benefit for any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from the Company’s retail business is recorded upon purchase of merchandise by customers, net of an allowance for sales returns. Revenue from the Company’s direct business is recognized at the time a customer order is delivered, net of an allowance for sales returns. Revenue is recognized by the operating segment that fulfills a customer’s order.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is currently evaluating the impact of the adoption of ASU No. 2014-09 on its Consolidated Financial Statements.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and should be applied prospectively with early adoption permitted at the beginning of an interim or annual reporting period. The Company does not expect the adoption of this pronouncement to have a material impact on its </w:t>
      </w:r>
      <w:r>
        <w:rPr>
          <w:rFonts w:ascii="Arial" w:cs="Arial" w:eastAsia="Arial" w:hAnsi="Arial"/>
          <w:sz w:val="18"/>
          <w:szCs w:val="18"/>
          <w:color w:val="212121"/>
        </w:rPr>
        <w:t>Consolidated Financial Statements</w:t>
      </w:r>
      <w:r>
        <w:rPr>
          <w:rFonts w:ascii="Arial" w:cs="Arial" w:eastAsia="Arial" w:hAnsi="Arial"/>
          <w:sz w:val="18"/>
          <w:szCs w:val="18"/>
          <w:color w:val="auto"/>
        </w:rPr>
        <w:t>.</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8"/>
          <w:szCs w:val="18"/>
          <w:color w:val="212121"/>
        </w:rPr>
        <w:t>In the financial statements in which the ASU is first applied, leases shall be measured and</w:t>
      </w:r>
      <w:r>
        <w:rPr>
          <w:rFonts w:ascii="Arial" w:cs="Arial" w:eastAsia="Arial" w:hAnsi="Arial"/>
          <w:sz w:val="18"/>
          <w:szCs w:val="18"/>
          <w:color w:val="auto"/>
        </w:rPr>
        <w:t xml:space="preserve"> </w:t>
      </w:r>
      <w:r>
        <w:rPr>
          <w:rFonts w:ascii="Arial" w:cs="Arial" w:eastAsia="Arial" w:hAnsi="Arial"/>
          <w:sz w:val="18"/>
          <w:szCs w:val="18"/>
          <w:color w:val="212121"/>
        </w:rPr>
        <w:t xml:space="preserve">recognized at the beginning of the earliest comparative period presented with an adjustment to equity. </w:t>
      </w:r>
      <w:r>
        <w:rPr>
          <w:rFonts w:ascii="Arial" w:cs="Arial" w:eastAsia="Arial" w:hAnsi="Arial"/>
          <w:sz w:val="18"/>
          <w:szCs w:val="18"/>
          <w:color w:val="000000"/>
        </w:rPr>
        <w:t>The Company is currently evaluating the impact this</w:t>
      </w:r>
      <w:r>
        <w:rPr>
          <w:rFonts w:ascii="Arial" w:cs="Arial" w:eastAsia="Arial" w:hAnsi="Arial"/>
          <w:sz w:val="18"/>
          <w:szCs w:val="18"/>
          <w:color w:val="212121"/>
        </w:rPr>
        <w:t xml:space="preserve"> </w:t>
      </w:r>
      <w:r>
        <w:rPr>
          <w:rFonts w:ascii="Arial" w:cs="Arial" w:eastAsia="Arial" w:hAnsi="Arial"/>
          <w:sz w:val="18"/>
          <w:szCs w:val="18"/>
          <w:color w:val="000000"/>
        </w:rPr>
        <w:t>pronouncement will have on its Consolidated Financial Statements.</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ind w:right="120"/>
        <w:spacing w:after="0" w:line="257" w:lineRule="auto"/>
        <w:rPr>
          <w:sz w:val="20"/>
          <w:szCs w:val="20"/>
          <w:color w:val="auto"/>
        </w:rPr>
      </w:pPr>
      <w:r>
        <w:rPr>
          <w:rFonts w:ascii="Arial" w:cs="Arial" w:eastAsia="Arial" w:hAnsi="Arial"/>
          <w:sz w:val="18"/>
          <w:szCs w:val="18"/>
          <w:color w:val="auto"/>
        </w:rPr>
        <w:t>In March 2016, the FASB issued ASU 2016-09, “</w:t>
      </w:r>
      <w:r>
        <w:rPr>
          <w:rFonts w:ascii="Arial" w:cs="Arial" w:eastAsia="Arial" w:hAnsi="Arial"/>
          <w:sz w:val="18"/>
          <w:szCs w:val="18"/>
          <w:i w:val="1"/>
          <w:iCs w:val="1"/>
          <w:color w:val="auto"/>
        </w:rPr>
        <w:t>Compensation - Stock Compensation (Topic 718) -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simplifies several aspects of the accounting for share-based payment transactions, including the income tax consequences,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awards, and classification on the statement of cash flows. The standard is effective for fiscal years beginning after December 15, 2016, including interim periods within those fiscal years. The Company does not expect that the adoption of this pronouncement will have a material impact on its </w:t>
      </w:r>
      <w:r>
        <w:rPr>
          <w:rFonts w:ascii="Arial" w:cs="Arial" w:eastAsia="Arial" w:hAnsi="Arial"/>
          <w:sz w:val="18"/>
          <w:szCs w:val="18"/>
          <w:color w:val="212121"/>
        </w:rPr>
        <w:t>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w:t>
      </w:r>
      <w:r>
        <w:rPr>
          <w:rFonts w:ascii="Arial" w:cs="Arial" w:eastAsia="Arial" w:hAnsi="Arial"/>
          <w:sz w:val="18"/>
          <w:szCs w:val="18"/>
          <w:color w:val="000000"/>
        </w:rPr>
        <w:t>.</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w:t>
      </w:r>
      <w:r>
        <w:rPr>
          <w:rFonts w:ascii="Arial" w:cs="Arial" w:eastAsia="Arial" w:hAnsi="Arial"/>
          <w:sz w:val="17"/>
          <w:szCs w:val="17"/>
          <w:color w:val="212121"/>
        </w:rPr>
        <w:t>which</w:t>
      </w:r>
      <w:r>
        <w:rPr>
          <w:rFonts w:ascii="Arial" w:cs="Arial" w:eastAsia="Arial" w:hAnsi="Arial"/>
          <w:sz w:val="17"/>
          <w:szCs w:val="17"/>
          <w:color w:val="auto"/>
        </w:rPr>
        <w:t xml:space="preserve"> </w:t>
      </w:r>
      <w:r>
        <w:rPr>
          <w:rFonts w:ascii="Arial" w:cs="Arial" w:eastAsia="Arial" w:hAnsi="Arial"/>
          <w:sz w:val="17"/>
          <w:szCs w:val="17"/>
          <w:color w:val="212121"/>
        </w:rPr>
        <w:t>reduces the existing diversity in practice in how certain cash receipts and cash payments are presented and classified in the statement of cash flows under Topic 230</w:t>
      </w:r>
      <w:r>
        <w:rPr>
          <w:rFonts w:ascii="Arial" w:cs="Arial" w:eastAsia="Arial" w:hAnsi="Arial"/>
          <w:sz w:val="17"/>
          <w:szCs w:val="17"/>
          <w:color w:val="000000"/>
        </w:rPr>
        <w:t>. The ASU is effective for fiscal years beginning after December 15, 2017, and interim periods within those fiscal years. The Company does not</w:t>
      </w:r>
      <w:r>
        <w:rPr>
          <w:rFonts w:ascii="Arial" w:cs="Arial" w:eastAsia="Arial" w:hAnsi="Arial"/>
          <w:sz w:val="17"/>
          <w:szCs w:val="17"/>
          <w:color w:val="212121"/>
        </w:rPr>
        <w:t xml:space="preserve"> </w:t>
      </w:r>
      <w:r>
        <w:rPr>
          <w:rFonts w:ascii="Arial" w:cs="Arial" w:eastAsia="Arial" w:hAnsi="Arial"/>
          <w:sz w:val="17"/>
          <w:szCs w:val="17"/>
          <w:color w:val="000000"/>
        </w:rPr>
        <w:t xml:space="preserve">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000000"/>
        </w:rPr>
        <w:t>.</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w:t>
      </w:r>
      <w:r>
        <w:rPr>
          <w:rFonts w:ascii="Arial" w:cs="Arial" w:eastAsia="Arial" w:hAnsi="Arial"/>
          <w:sz w:val="16"/>
          <w:szCs w:val="16"/>
          <w:color w:val="auto"/>
        </w:rPr>
        <w:t xml:space="preserve"> </w:t>
      </w:r>
      <w:r>
        <w:rPr>
          <w:rFonts w:ascii="Arial" w:cs="Arial" w:eastAsia="Arial" w:hAnsi="Arial"/>
          <w:sz w:val="16"/>
          <w:szCs w:val="16"/>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6"/>
          <w:szCs w:val="16"/>
          <w:color w:val="252525"/>
        </w:rPr>
        <w:t>ASU 2016</w:t>
      </w:r>
      <w:r>
        <w:rPr>
          <w:rFonts w:ascii="Arial" w:cs="Arial" w:eastAsia="Arial" w:hAnsi="Arial"/>
          <w:sz w:val="16"/>
          <w:szCs w:val="16"/>
          <w:color w:val="212121"/>
        </w:rPr>
        <w:t>-</w:t>
      </w:r>
      <w:r>
        <w:rPr>
          <w:rFonts w:ascii="Arial" w:cs="Arial" w:eastAsia="Arial" w:hAnsi="Arial"/>
          <w:sz w:val="16"/>
          <w:szCs w:val="16"/>
          <w:color w:val="252525"/>
        </w:rPr>
        <w:t>16</w:t>
      </w:r>
      <w:r>
        <w:rPr>
          <w:rFonts w:ascii="Arial" w:cs="Arial" w:eastAsia="Arial" w:hAnsi="Arial"/>
          <w:sz w:val="16"/>
          <w:szCs w:val="16"/>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6"/>
          <w:szCs w:val="16"/>
          <w:color w:val="000000"/>
        </w:rPr>
        <w:t>. The ASU is effective for fiscal years beginning after December 15, 2017, and interim periods within those</w:t>
      </w:r>
      <w:r>
        <w:rPr>
          <w:rFonts w:ascii="Arial" w:cs="Arial" w:eastAsia="Arial" w:hAnsi="Arial"/>
          <w:sz w:val="16"/>
          <w:szCs w:val="16"/>
          <w:color w:val="212121"/>
        </w:rPr>
        <w:t xml:space="preserve"> </w:t>
      </w:r>
      <w:r>
        <w:rPr>
          <w:rFonts w:ascii="Arial" w:cs="Arial" w:eastAsia="Arial" w:hAnsi="Arial"/>
          <w:sz w:val="16"/>
          <w:szCs w:val="16"/>
          <w:color w:val="000000"/>
        </w:rPr>
        <w:t xml:space="preserve">fiscal years. The Company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nine months of fiscal 2016, have had or are expected to have a significant impact on the Company’s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October 29, 2016, the Company had outstanding borrowings under the Credit Facility of $62.7 million, before unamortized debt issuance costs of $0.4 million. Outstanding standby letters of credit were $2.9 million and outstanding documentary letters of credit were $0.5 million. Unused excess availability at October 29, 2016 was $52.4 million. Average monthly borrowings outstanding under the Credit Facility during the first nine months of fiscal 2016 were $51.9 million, resulting in an average unused excess availability of approximately $58.4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October 29, 2016, the Company’s prime-based interest rate was 4.0%. At October 29, 2016, the Company had approximately $56.0 million of its outstanding borrowings in LIBOR-based contracts with an interest rate of 1.96%. The LIBOR-based contracts expired on October 31, 2016.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fair value of the amount outstanding under the Credit Facility at October 29, 2016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560" w:type="dxa"/>
        <w:tblCellMar>
          <w:top w:w="0" w:type="dxa"/>
          <w:left w:w="0" w:type="dxa"/>
          <w:bottom w:w="0" w:type="dxa"/>
          <w:right w:w="0" w:type="dxa"/>
        </w:tblCellMar>
      </w:tblPr>
      <w:tr>
        <w:trPr>
          <w:trHeight w:val="167"/>
        </w:trPr>
        <w:tc>
          <w:tcPr>
            <w:tcW w:w="5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October 29, 2016</w:t>
            </w:r>
          </w:p>
        </w:tc>
        <w:tc>
          <w:tcPr>
            <w:tcW w:w="80" w:type="dxa"/>
            <w:vAlign w:val="bottom"/>
          </w:tcPr>
          <w:p>
            <w:pPr>
              <w:spacing w:after="0"/>
              <w:rPr>
                <w:sz w:val="14"/>
                <w:szCs w:val="1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w w:val="97"/>
              </w:rPr>
              <w:t>January 30, 2016</w:t>
            </w:r>
          </w:p>
        </w:tc>
      </w:tr>
      <w:tr>
        <w:trPr>
          <w:trHeight w:val="223"/>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Term loan, due 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26,158</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80" w:type="dxa"/>
            <w:vAlign w:val="bottom"/>
            <w:shd w:val="clear" w:color="auto" w:fill="CFF0FC"/>
          </w:tcPr>
          <w:p>
            <w:pPr>
              <w:spacing w:after="0"/>
              <w:rPr>
                <w:sz w:val="19"/>
                <w:szCs w:val="19"/>
                <w:color w:val="auto"/>
              </w:rPr>
            </w:pPr>
          </w:p>
        </w:tc>
      </w:t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19,003</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to 3.50%. Principal and interest are paid monthly, in arrears.</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Notes are secured by a security interest in all of the Company’s rights, title and interest in and to certain equipment. The Company was subject to prepayment penalties through the second anniversary of each note. The Company is no longer subject to any prepayment penalties. The Master Agreement includes default provisions that are customary for financings of this type and are similar and no more restrictive than the Company’s existing Credit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prior to October 29, 2017. There is no prepayment penalty after October 29, 2017.</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Long-Term Incentive Plans</w:t>
      </w:r>
    </w:p>
    <w:p>
      <w:pPr>
        <w:spacing w:after="0" w:line="12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following is a summary of the Company’s long-term incentive plans. All equity awards previously granted under these long-term incentive plans were issued from the Company’s 2006 Incentive Compensation Plan, which expired on July 31, 2016. As of August 4, 2016, any future grants of equity awards will be issued from the Company’s stockholder-approved 2016 Incentive Compensation Plan. See Note 4, Stock-Based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2013-2016 LTIP</w:t>
      </w:r>
    </w:p>
    <w:p>
      <w:pPr>
        <w:spacing w:after="0" w:line="14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2013-2016 Long-Term Incentive Plan (“2013-2016 LTIP”) was approved in the second quarter of fiscal 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having vested at the end of fiscal 2014, 40% having vested at the end of fiscal 2015 and the remaining 40% vesting at the end of fiscal 2016.</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October 29, 2016, would be approximately $19.0 million. Approximately half of the compensation expense relates to the time-vested awards, which is being expensed over forty-four months, based on the respective vesting dates. As the performance targets were not deemed probable at October 29, 2016, no expense for the performance-based awards has been recognized through October 29,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2016 Long-Term Incentive Wrap-Around Plan (the “Wrap-Around Plan”), which was approved in the fourth quarter of fiscal 2014,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81"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payout in restricted shares will be increased by 20% and if the stock price is $7.25 or higher, the payout in restricted shares will be increased by 30%, with a pro-rata payout between $6.75 and $7.25. The portion of the award payable in cash is not affected by the stock price. All awards granted pursuant to the Wrap-Around Plan will not vest until the last day of the second quarter of fiscal 2017.</w:t>
      </w:r>
    </w:p>
    <w:p>
      <w:pPr>
        <w:spacing w:after="0" w:line="18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Assuming that the Company achieves the performance target at target levels under the Wrap-Around Plan, and further assuming that the Company’s stock price is greater than $7.25, at the time the Company’s earnings are publicly released, the compensation expense associated with this Wrap-Around Plan is estimated to be approximately $8.4 million. Through the end of the third quarter of fiscal 2016, the Company has accrued approximately $2.0 million in compensation expense related to the potential payout of performance awards under the Wrap-Around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2016-2017 Long-Term Incentive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(the “new LTIP”).</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established two performance targets for the 2016-2017 Performance Period under the new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awards granted under the 2016-2017 LTIP will be in restricted stock units (RSUs). Assuming that the Company achieves the performance target at target levels and all time-vested awards vest, the compensation expense associated with the 2016-2017 LTIP is estimated to be approximately $4.2 million. Approximately half of the compensation expense, or $2.1 million,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third quarter of fiscal 2016, the Company has accrued approximately $0.5 million in compensation expense related to the potential payout of performance awards under the 2016-2017 LTIP.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stockholder-approved plan. The 2006 Plan expired on July 31, 2016. In the third quarter of fiscal 2016, at the Company’s 2016 Annual Meeting of Stockholders held August 4, 2016, the Company’s stockholders approved the adoption of the 2016 Incentive Compensation Plan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share reserve under the 2016 Plan is 5,200,000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to the initial share reserve of 5,200,000 shares, the 525,538 shares that remained available under our 2006 Plan were added and became available for issuance under the 2016 Plan on August 4, 2016.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one-for-one basis and full-value awards being added back on a 1 to1.9 basis. Accordingly, an additional 237,952 shares were added to share availability under the 2016 Plan during the third quarter of fiscal 2016. At October 29, 2016, the Company had 5,940,761 shares available under the 2016 Plan.</w:t>
      </w:r>
    </w:p>
    <w:p>
      <w:pPr>
        <w:spacing w:after="0" w:line="17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stock option activity and share activity under the 2016 Plan for the first nine months of fiscal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center"/>
              <w:ind w:right="380"/>
              <w:spacing w:after="0"/>
              <w:rPr>
                <w:sz w:val="20"/>
                <w:szCs w:val="20"/>
                <w:color w:val="auto"/>
              </w:rPr>
            </w:pPr>
            <w:r>
              <w:rPr>
                <w:rFonts w:ascii="Arial" w:cs="Arial" w:eastAsia="Arial" w:hAnsi="Arial"/>
                <w:sz w:val="16"/>
                <w:szCs w:val="16"/>
                <w:color w:val="auto"/>
                <w:w w:val="93"/>
              </w:rPr>
              <w:t>Weighted-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6"/>
                <w:szCs w:val="16"/>
                <w:color w:val="auto"/>
                <w:w w:val="86"/>
              </w:rPr>
              <w:t>average</w:t>
            </w:r>
          </w:p>
        </w:tc>
        <w:tc>
          <w:tcPr>
            <w:tcW w:w="1480" w:type="dxa"/>
            <w:vAlign w:val="bottom"/>
            <w:gridSpan w:val="4"/>
          </w:tcPr>
          <w:p>
            <w:pPr>
              <w:jc w:val="center"/>
              <w:ind w:right="300"/>
              <w:spacing w:after="0"/>
              <w:rPr>
                <w:sz w:val="20"/>
                <w:szCs w:val="20"/>
                <w:color w:val="auto"/>
              </w:rPr>
            </w:pPr>
            <w:r>
              <w:rPr>
                <w:rFonts w:ascii="Arial" w:cs="Arial" w:eastAsia="Arial" w:hAnsi="Arial"/>
                <w:sz w:val="16"/>
                <w:szCs w:val="16"/>
                <w:color w:val="auto"/>
                <w:w w:val="90"/>
              </w:rPr>
              <w:t>Weighted-average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color w:val="auto"/>
                <w:w w:val="93"/>
              </w:rPr>
              <w:t>Number of</w:t>
            </w:r>
          </w:p>
        </w:tc>
        <w:tc>
          <w:tcPr>
            <w:tcW w:w="240" w:type="dxa"/>
            <w:vAlign w:val="bottom"/>
          </w:tcPr>
          <w:p>
            <w:pPr>
              <w:spacing w:after="0"/>
              <w:rPr>
                <w:sz w:val="17"/>
                <w:szCs w:val="17"/>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7"/>
                <w:szCs w:val="17"/>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6"/>
                <w:szCs w:val="16"/>
                <w:color w:val="auto"/>
                <w:w w:val="93"/>
              </w:rPr>
              <w:t>remaining</w:t>
            </w: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color w:val="auto"/>
              </w:rPr>
              <w:t>Aggregate</w:t>
            </w:r>
          </w:p>
        </w:tc>
        <w:tc>
          <w:tcPr>
            <w:tcW w:w="0" w:type="dxa"/>
            <w:vAlign w:val="bottom"/>
          </w:tcPr>
          <w:p>
            <w:pPr>
              <w:spacing w:after="0"/>
              <w:rPr>
                <w:sz w:val="1"/>
                <w:szCs w:val="1"/>
                <w:color w:val="auto"/>
              </w:rPr>
            </w:pPr>
          </w:p>
        </w:tc>
      </w:tr>
      <w:tr>
        <w:trPr>
          <w:trHeight w:val="206"/>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7"/>
              </w:rPr>
              <w:t>shares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6"/>
                <w:szCs w:val="16"/>
                <w:color w:val="auto"/>
                <w:w w:val="92"/>
              </w:rPr>
              <w:t>per option</w:t>
            </w:r>
          </w:p>
        </w:tc>
        <w:tc>
          <w:tcPr>
            <w:tcW w:w="148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contractual term</w:t>
            </w:r>
          </w:p>
        </w:tc>
        <w:tc>
          <w:tcPr>
            <w:tcW w:w="1160" w:type="dxa"/>
            <w:vAlign w:val="bottom"/>
            <w:gridSpan w:val="4"/>
          </w:tcPr>
          <w:p>
            <w:pPr>
              <w:spacing w:after="0"/>
              <w:rPr>
                <w:sz w:val="20"/>
                <w:szCs w:val="20"/>
                <w:color w:val="auto"/>
              </w:rPr>
            </w:pPr>
            <w:r>
              <w:rPr>
                <w:rFonts w:ascii="Arial" w:cs="Arial" w:eastAsia="Arial" w:hAnsi="Arial"/>
                <w:sz w:val="16"/>
                <w:szCs w:val="16"/>
                <w:color w:val="auto"/>
              </w:rPr>
              <w:t>intrinsic value</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6"/>
                <w:szCs w:val="16"/>
                <w:b w:val="1"/>
                <w:bCs w:val="1"/>
                <w:color w:val="auto"/>
              </w:rPr>
              <w:t>Stock Options</w:t>
            </w:r>
          </w:p>
        </w:tc>
        <w:tc>
          <w:tcPr>
            <w:tcW w:w="6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options at beginning of year</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60"/>
              <w:spacing w:after="0"/>
              <w:rPr>
                <w:sz w:val="20"/>
                <w:szCs w:val="20"/>
                <w:color w:val="auto"/>
              </w:rPr>
            </w:pPr>
            <w:r>
              <w:rPr>
                <w:rFonts w:ascii="Arial" w:cs="Arial" w:eastAsia="Arial" w:hAnsi="Arial"/>
                <w:sz w:val="16"/>
                <w:szCs w:val="16"/>
                <w:color w:val="auto"/>
              </w:rPr>
              <w:t>Options granted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8,522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canceled</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Options exercised</w:t>
            </w:r>
          </w:p>
        </w:tc>
        <w:tc>
          <w:tcPr>
            <w:tcW w:w="6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options at end of quarter</w:t>
            </w: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8,522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ind w:left="420"/>
              <w:spacing w:after="0"/>
              <w:rPr>
                <w:sz w:val="20"/>
                <w:szCs w:val="20"/>
                <w:color w:val="auto"/>
              </w:rPr>
            </w:pPr>
            <w:r>
              <w:rPr>
                <w:rFonts w:ascii="Arial" w:cs="Arial" w:eastAsia="Arial" w:hAnsi="Arial"/>
                <w:sz w:val="16"/>
                <w:szCs w:val="16"/>
                <w:color w:val="auto"/>
                <w:w w:val="98"/>
              </w:rPr>
              <w:t>9.9 years  $</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ind w:left="7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60" w:type="dxa"/>
            <w:vAlign w:val="bottom"/>
          </w:tcPr>
          <w:p>
            <w:pPr>
              <w:ind w:left="260"/>
              <w:spacing w:after="0"/>
              <w:rPr>
                <w:sz w:val="20"/>
                <w:szCs w:val="20"/>
                <w:color w:val="auto"/>
              </w:rPr>
            </w:pPr>
            <w:r>
              <w:rPr>
                <w:rFonts w:ascii="Arial" w:cs="Arial" w:eastAsia="Arial" w:hAnsi="Arial"/>
                <w:sz w:val="16"/>
                <w:szCs w:val="16"/>
                <w:color w:val="auto"/>
              </w:rPr>
              <w:t>Options exercisable at end of quarter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3"/>
        </w:trPr>
        <w:tc>
          <w:tcPr>
            <w:tcW w:w="5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206"/>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6"/>
                <w:szCs w:val="16"/>
                <w:color w:val="auto"/>
                <w:w w:val="91"/>
              </w:rPr>
              <w:t>Restricted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Restricted</w:t>
            </w:r>
          </w:p>
        </w:tc>
        <w:tc>
          <w:tcPr>
            <w:tcW w:w="22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auto"/>
              </w:rPr>
              <w:t>Deferred</w:t>
            </w:r>
          </w:p>
        </w:tc>
        <w:tc>
          <w:tcPr>
            <w:tcW w:w="220" w:type="dxa"/>
            <w:vAlign w:val="bottom"/>
          </w:tcPr>
          <w:p>
            <w:pPr>
              <w:spacing w:after="0"/>
              <w:rPr>
                <w:sz w:val="4"/>
                <w:szCs w:val="4"/>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6"/>
                <w:szCs w:val="16"/>
                <w:color w:val="auto"/>
                <w:w w:val="91"/>
              </w:rPr>
              <w:t>Total number</w:t>
            </w:r>
          </w:p>
        </w:tc>
        <w:tc>
          <w:tcPr>
            <w:tcW w:w="100" w:type="dxa"/>
            <w:vAlign w:val="bottom"/>
          </w:tcPr>
          <w:p>
            <w:pPr>
              <w:spacing w:after="0"/>
              <w:rPr>
                <w:sz w:val="4"/>
                <w:szCs w:val="4"/>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145"/>
        </w:trPr>
        <w:tc>
          <w:tcPr>
            <w:tcW w:w="5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6"/>
                <w:szCs w:val="16"/>
                <w:color w:val="auto"/>
                <w:w w:val="93"/>
              </w:rPr>
              <w:t>Stock Units</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1040" w:type="dxa"/>
            <w:vAlign w:val="bottom"/>
            <w:gridSpan w:val="2"/>
            <w:vMerge w:val="restart"/>
          </w:tcPr>
          <w:p>
            <w:pPr>
              <w:jc w:val="right"/>
              <w:ind w:right="23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3"/>
            <w:vMerge w:val="restart"/>
          </w:tcPr>
          <w:p>
            <w:pPr>
              <w:jc w:val="right"/>
              <w:ind w:right="22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(2)</w:t>
            </w:r>
          </w:p>
        </w:tc>
        <w:tc>
          <w:tcPr>
            <w:tcW w:w="220" w:type="dxa"/>
            <w:vAlign w:val="bottom"/>
          </w:tcPr>
          <w:p>
            <w:pPr>
              <w:spacing w:after="0"/>
              <w:rPr>
                <w:sz w:val="4"/>
                <w:szCs w:val="4"/>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6"/>
                <w:szCs w:val="16"/>
                <w:color w:val="auto"/>
                <w:w w:val="88"/>
              </w:rPr>
              <w:t>of shares</w:t>
            </w:r>
          </w:p>
        </w:tc>
        <w:tc>
          <w:tcPr>
            <w:tcW w:w="100" w:type="dxa"/>
            <w:vAlign w:val="bottom"/>
          </w:tcPr>
          <w:p>
            <w:pPr>
              <w:spacing w:after="0"/>
              <w:rPr>
                <w:sz w:val="4"/>
                <w:szCs w:val="4"/>
                <w:color w:val="auto"/>
              </w:rPr>
            </w:pPr>
          </w:p>
        </w:tc>
        <w:tc>
          <w:tcPr>
            <w:tcW w:w="1060" w:type="dxa"/>
            <w:vAlign w:val="bottom"/>
            <w:gridSpan w:val="3"/>
            <w:vMerge w:val="restart"/>
          </w:tcPr>
          <w:p>
            <w:pPr>
              <w:jc w:val="center"/>
              <w:ind w:right="240"/>
              <w:spacing w:after="0" w:line="216" w:lineRule="exact"/>
              <w:rPr>
                <w:sz w:val="20"/>
                <w:szCs w:val="20"/>
                <w:color w:val="auto"/>
              </w:rPr>
            </w:pPr>
            <w:r>
              <w:rPr>
                <w:rFonts w:ascii="Arial" w:cs="Arial" w:eastAsia="Arial" w:hAnsi="Arial"/>
                <w:sz w:val="15"/>
                <w:szCs w:val="15"/>
                <w:color w:val="auto"/>
                <w:w w:val="95"/>
              </w:rPr>
              <w:t xml:space="preserve">fair value </w:t>
            </w:r>
            <w:r>
              <w:rPr>
                <w:rFonts w:ascii="Arial" w:cs="Arial" w:eastAsia="Arial" w:hAnsi="Arial"/>
                <w:sz w:val="25"/>
                <w:szCs w:val="25"/>
                <w:color w:val="auto"/>
                <w:w w:val="95"/>
                <w:vertAlign w:val="superscript"/>
              </w:rPr>
              <w:t>(3)</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center"/>
              <w:ind w:left="60"/>
              <w:spacing w:after="0"/>
              <w:rPr>
                <w:sz w:val="20"/>
                <w:szCs w:val="20"/>
                <w:color w:val="auto"/>
              </w:rPr>
            </w:pPr>
            <w:r>
              <w:rPr>
                <w:rFonts w:ascii="Arial" w:cs="Arial" w:eastAsia="Arial" w:hAnsi="Arial"/>
                <w:sz w:val="14"/>
                <w:szCs w:val="14"/>
                <w:color w:val="auto"/>
                <w:w w:val="93"/>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360" w:type="dxa"/>
            <w:vAlign w:val="bottom"/>
          </w:tcPr>
          <w:p>
            <w:pPr>
              <w:spacing w:after="0"/>
              <w:rPr>
                <w:sz w:val="20"/>
                <w:szCs w:val="20"/>
                <w:color w:val="auto"/>
              </w:rPr>
            </w:pPr>
            <w:r>
              <w:rPr>
                <w:rFonts w:ascii="Arial" w:cs="Arial" w:eastAsia="Arial" w:hAnsi="Arial"/>
                <w:sz w:val="16"/>
                <w:szCs w:val="16"/>
                <w:b w:val="1"/>
                <w:bCs w:val="1"/>
                <w:color w:val="auto"/>
              </w:rPr>
              <w:t>Shares</w:t>
            </w:r>
          </w:p>
        </w:tc>
        <w:tc>
          <w:tcPr>
            <w:tcW w:w="6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beginning of year</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60"/>
              <w:spacing w:after="0"/>
              <w:rPr>
                <w:sz w:val="20"/>
                <w:szCs w:val="20"/>
                <w:color w:val="auto"/>
              </w:rPr>
            </w:pPr>
            <w:r>
              <w:rPr>
                <w:rFonts w:ascii="Arial" w:cs="Arial" w:eastAsia="Arial" w:hAnsi="Arial"/>
                <w:sz w:val="16"/>
                <w:szCs w:val="16"/>
                <w:color w:val="auto"/>
              </w:rPr>
              <w:t>Shares granted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3,834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3,396</w:t>
            </w:r>
          </w:p>
        </w:tc>
        <w:tc>
          <w:tcPr>
            <w:tcW w:w="1220" w:type="dxa"/>
            <w:vAlign w:val="bottom"/>
            <w:gridSpan w:val="4"/>
          </w:tcPr>
          <w:p>
            <w:pPr>
              <w:jc w:val="right"/>
              <w:ind w:right="20"/>
              <w:spacing w:after="0"/>
              <w:rPr>
                <w:sz w:val="20"/>
                <w:szCs w:val="20"/>
                <w:color w:val="auto"/>
              </w:rPr>
            </w:pPr>
            <w:r>
              <w:rPr>
                <w:rFonts w:ascii="Arial" w:cs="Arial" w:eastAsia="Arial" w:hAnsi="Arial"/>
                <w:sz w:val="16"/>
                <w:szCs w:val="16"/>
                <w:color w:val="auto"/>
              </w:rPr>
              <w:t>247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vested/issued</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Shares canceled</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end of quarter</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3,396</w:t>
            </w: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247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right="420" w:hanging="37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Restricted Stock Units (“RSUs”) were granted in connection with the 2016-2017 LTIP. The RSUs will vest in two tranches with the first 50% vesting on April 1, 2018 and the second 50% vesting on April 1, 2019.</w:t>
      </w:r>
    </w:p>
    <w:p>
      <w:pPr>
        <w:spacing w:after="0" w:line="62" w:lineRule="exact"/>
        <w:rPr>
          <w:rFonts w:ascii="Arial" w:cs="Arial" w:eastAsia="Arial" w:hAnsi="Arial"/>
          <w:sz w:val="18"/>
          <w:szCs w:val="18"/>
          <w:color w:val="auto"/>
        </w:rPr>
      </w:pPr>
    </w:p>
    <w:p>
      <w:pPr>
        <w:ind w:left="760" w:right="40" w:hanging="374"/>
        <w:spacing w:after="0" w:line="26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247 shares of deferred stock, with a fair value of $1,117, represent compensation to certain directors as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2006 Incentive Compensation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stock option activity and share activity under the 2006 Plan for the first nine months of fiscal 2016:</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0"/>
              </w:rPr>
              <w:t>Weighted-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86"/>
              </w:rPr>
              <w:t>average</w:t>
            </w:r>
          </w:p>
        </w:tc>
        <w:tc>
          <w:tcPr>
            <w:tcW w:w="220" w:type="dxa"/>
            <w:vAlign w:val="bottom"/>
          </w:tcPr>
          <w:p>
            <w:pPr>
              <w:spacing w:after="0"/>
              <w:rPr>
                <w:sz w:val="17"/>
                <w:szCs w:val="17"/>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6"/>
                <w:szCs w:val="16"/>
                <w:color w:val="auto"/>
                <w:w w:val="88"/>
              </w:rPr>
              <w:t>Weighted-average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Number of</w:t>
            </w:r>
          </w:p>
        </w:tc>
        <w:tc>
          <w:tcPr>
            <w:tcW w:w="1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6"/>
                <w:szCs w:val="16"/>
                <w:color w:val="auto"/>
                <w:w w:val="91"/>
              </w:rPr>
              <w:t>remaining</w:t>
            </w:r>
          </w:p>
        </w:tc>
        <w:tc>
          <w:tcPr>
            <w:tcW w:w="180" w:type="dxa"/>
            <w:vAlign w:val="bottom"/>
          </w:tcPr>
          <w:p>
            <w:pPr>
              <w:spacing w:after="0"/>
              <w:rPr>
                <w:sz w:val="17"/>
                <w:szCs w:val="17"/>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color w:val="auto"/>
                <w:w w:val="83"/>
              </w:rPr>
              <w:t>shares</w:t>
            </w:r>
          </w:p>
        </w:tc>
        <w:tc>
          <w:tcPr>
            <w:tcW w:w="12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color w:val="auto"/>
                <w:w w:val="92"/>
              </w:rPr>
              <w:t>per option</w:t>
            </w:r>
          </w:p>
        </w:tc>
        <w:tc>
          <w:tcPr>
            <w:tcW w:w="220" w:type="dxa"/>
            <w:vAlign w:val="bottom"/>
          </w:tcPr>
          <w:p>
            <w:pPr>
              <w:spacing w:after="0"/>
              <w:rPr>
                <w:sz w:val="18"/>
                <w:szCs w:val="18"/>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6"/>
                <w:szCs w:val="16"/>
                <w:color w:val="auto"/>
                <w:w w:val="95"/>
              </w:rPr>
              <w:t>contractual term</w:t>
            </w:r>
          </w:p>
        </w:tc>
        <w:tc>
          <w:tcPr>
            <w:tcW w:w="1160" w:type="dxa"/>
            <w:vAlign w:val="bottom"/>
            <w:gridSpan w:val="5"/>
          </w:tcPr>
          <w:p>
            <w:pPr>
              <w:jc w:val="center"/>
              <w:ind w:right="80"/>
              <w:spacing w:after="0"/>
              <w:rPr>
                <w:sz w:val="20"/>
                <w:szCs w:val="20"/>
                <w:color w:val="auto"/>
              </w:rPr>
            </w:pPr>
            <w:r>
              <w:rPr>
                <w:rFonts w:ascii="Arial" w:cs="Arial" w:eastAsia="Arial" w:hAnsi="Arial"/>
                <w:sz w:val="16"/>
                <w:szCs w:val="16"/>
                <w:color w:val="auto"/>
                <w:w w:val="94"/>
              </w:rPr>
              <w:t>intrinsic value</w:t>
            </w:r>
          </w:p>
        </w:tc>
        <w:tc>
          <w:tcPr>
            <w:tcW w:w="0" w:type="dxa"/>
            <w:vAlign w:val="bottom"/>
          </w:tcPr>
          <w:p>
            <w:pPr>
              <w:spacing w:after="0"/>
              <w:rPr>
                <w:sz w:val="1"/>
                <w:szCs w:val="1"/>
                <w:color w:val="auto"/>
              </w:rPr>
            </w:pPr>
          </w:p>
        </w:tc>
      </w:tr>
      <w:tr>
        <w:trPr>
          <w:trHeight w:val="213"/>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100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Outstanding options at beginning of year</w:t>
            </w:r>
          </w:p>
        </w:tc>
        <w:tc>
          <w:tcPr>
            <w:tcW w:w="10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2,728,621</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5.00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granted</w:t>
            </w:r>
          </w:p>
        </w:tc>
        <w:tc>
          <w:tcPr>
            <w:tcW w:w="10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Options canceled</w:t>
            </w:r>
          </w:p>
        </w:tc>
        <w:tc>
          <w:tcPr>
            <w:tcW w:w="10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(77,394)</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5.04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exercised</w:t>
            </w:r>
          </w:p>
        </w:tc>
        <w:tc>
          <w:tcPr>
            <w:tcW w:w="100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Outstanding options at end of quarter</w:t>
            </w:r>
          </w:p>
        </w:tc>
        <w:tc>
          <w:tcPr>
            <w:tcW w:w="100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2,651,227</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3"/>
              </w:rPr>
              <w:t>4.99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6.3 years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123,181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shd w:val="clear" w:color="auto" w:fill="CFF0FC"/>
          </w:tcPr>
          <w:p>
            <w:pPr>
              <w:spacing w:after="0"/>
              <w:rPr>
                <w:sz w:val="19"/>
                <w:szCs w:val="19"/>
                <w:color w:val="auto"/>
              </w:rPr>
            </w:pPr>
          </w:p>
        </w:tc>
        <w:tc>
          <w:tcPr>
            <w:tcW w:w="4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Options exercisable at end of quarter</w:t>
            </w:r>
          </w:p>
        </w:tc>
        <w:tc>
          <w:tcPr>
            <w:tcW w:w="1000" w:type="dxa"/>
            <w:vAlign w:val="bottom"/>
            <w:tcBorders>
              <w:right w:val="single" w:sz="8" w:color="CFF0FC"/>
            </w:tcBorders>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1,063,848</w:t>
            </w:r>
          </w:p>
        </w:tc>
        <w:tc>
          <w:tcPr>
            <w:tcW w:w="740" w:type="dxa"/>
            <w:vAlign w:val="bottom"/>
            <w:gridSpan w:val="2"/>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3"/>
              </w:rPr>
              <w:t>4.86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 years</w:t>
            </w:r>
          </w:p>
        </w:tc>
        <w:tc>
          <w:tcPr>
            <w:tcW w:w="18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123,181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6"/>
                <w:szCs w:val="16"/>
                <w:color w:val="auto"/>
                <w:w w:val="93"/>
              </w:rPr>
              <w:t>Weighted-</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vMerge w:val="restart"/>
          </w:tcPr>
          <w:p>
            <w:pPr>
              <w:jc w:val="center"/>
              <w:ind w:right="59"/>
              <w:spacing w:after="0"/>
              <w:rPr>
                <w:sz w:val="20"/>
                <w:szCs w:val="20"/>
                <w:color w:val="auto"/>
              </w:rPr>
            </w:pPr>
            <w:r>
              <w:rPr>
                <w:rFonts w:ascii="Arial" w:cs="Arial" w:eastAsia="Arial" w:hAnsi="Arial"/>
                <w:sz w:val="16"/>
                <w:szCs w:val="16"/>
                <w:color w:val="auto"/>
              </w:rPr>
              <w:t>Fully-</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6"/>
                <w:szCs w:val="16"/>
                <w:color w:val="auto"/>
                <w:w w:val="89"/>
              </w:rPr>
              <w:t>average</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1"/>
              </w:rPr>
              <w:t>Restricted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6"/>
                <w:szCs w:val="16"/>
                <w:color w:val="auto"/>
                <w:w w:val="87"/>
              </w:rPr>
              <w:t>grant-date</w:t>
            </w: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color w:val="auto"/>
              </w:rPr>
              <w:t>Restricted</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6"/>
                <w:szCs w:val="16"/>
                <w:color w:val="auto"/>
              </w:rPr>
              <w:t>Deferred</w:t>
            </w:r>
          </w:p>
        </w:tc>
        <w:tc>
          <w:tcPr>
            <w:tcW w:w="900" w:type="dxa"/>
            <w:vAlign w:val="bottom"/>
            <w:gridSpan w:val="4"/>
            <w:vMerge w:val="restart"/>
          </w:tcPr>
          <w:p>
            <w:pPr>
              <w:jc w:val="center"/>
              <w:ind w:right="79"/>
              <w:spacing w:after="0"/>
              <w:rPr>
                <w:sz w:val="20"/>
                <w:szCs w:val="20"/>
                <w:color w:val="auto"/>
              </w:rPr>
            </w:pPr>
            <w:r>
              <w:rPr>
                <w:rFonts w:ascii="Arial" w:cs="Arial" w:eastAsia="Arial" w:hAnsi="Arial"/>
                <w:sz w:val="16"/>
                <w:szCs w:val="16"/>
                <w:color w:val="auto"/>
                <w:w w:val="88"/>
              </w:rPr>
              <w:t>vested</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91"/>
              </w:rPr>
              <w:t>Total number</w:t>
            </w:r>
          </w:p>
        </w:tc>
        <w:tc>
          <w:tcPr>
            <w:tcW w:w="18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3"/>
              </w:rPr>
              <w:t>Stock Units</w:t>
            </w:r>
          </w:p>
        </w:tc>
        <w:tc>
          <w:tcPr>
            <w:tcW w:w="880" w:type="dxa"/>
            <w:vAlign w:val="bottom"/>
            <w:gridSpan w:val="3"/>
            <w:vMerge w:val="continue"/>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6"/>
                <w:szCs w:val="16"/>
                <w:color w:val="auto"/>
                <w:w w:val="92"/>
              </w:rPr>
              <w:t>fair value</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80" w:type="dxa"/>
            <w:vAlign w:val="bottom"/>
            <w:gridSpan w:val="3"/>
            <w:vMerge w:val="restart"/>
          </w:tcPr>
          <w:p>
            <w:pPr>
              <w:ind w:left="4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(2)</w:t>
            </w:r>
          </w:p>
        </w:tc>
        <w:tc>
          <w:tcPr>
            <w:tcW w:w="900" w:type="dxa"/>
            <w:vAlign w:val="bottom"/>
            <w:gridSpan w:val="4"/>
            <w:vMerge w:val="restart"/>
          </w:tcPr>
          <w:p>
            <w:pPr>
              <w:jc w:val="center"/>
              <w:ind w:right="59"/>
              <w:spacing w:after="0" w:line="216" w:lineRule="exact"/>
              <w:rPr>
                <w:sz w:val="20"/>
                <w:szCs w:val="20"/>
                <w:color w:val="auto"/>
              </w:rPr>
            </w:pPr>
            <w:r>
              <w:rPr>
                <w:rFonts w:ascii="Arial" w:cs="Arial" w:eastAsia="Arial" w:hAnsi="Arial"/>
                <w:sz w:val="15"/>
                <w:szCs w:val="15"/>
                <w:color w:val="auto"/>
                <w:w w:val="86"/>
              </w:rPr>
              <w:t xml:space="preserve">shares </w:t>
            </w:r>
            <w:r>
              <w:rPr>
                <w:rFonts w:ascii="Arial" w:cs="Arial" w:eastAsia="Arial" w:hAnsi="Arial"/>
                <w:sz w:val="25"/>
                <w:szCs w:val="25"/>
                <w:color w:val="auto"/>
                <w:w w:val="86"/>
                <w:vertAlign w:val="superscript"/>
              </w:rPr>
              <w:t>(3)</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of shares</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gridSpan w:val="2"/>
          </w:tcPr>
          <w:p>
            <w:pPr>
              <w:jc w:val="center"/>
              <w:ind w:left="40"/>
              <w:spacing w:after="0"/>
              <w:rPr>
                <w:sz w:val="20"/>
                <w:szCs w:val="20"/>
                <w:color w:val="auto"/>
              </w:rPr>
            </w:pPr>
            <w:r>
              <w:rPr>
                <w:rFonts w:ascii="Arial" w:cs="Arial" w:eastAsia="Arial" w:hAnsi="Arial"/>
                <w:sz w:val="14"/>
                <w:szCs w:val="14"/>
                <w:color w:val="auto"/>
                <w:w w:val="93"/>
              </w:rPr>
              <w:t>(1)</w:t>
            </w: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color w:val="auto"/>
                <w:w w:val="93"/>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4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Shares</w:t>
            </w: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beginning of year</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1,320,143</w:t>
            </w:r>
          </w:p>
        </w:tc>
        <w:tc>
          <w:tcPr>
            <w:tcW w:w="120" w:type="dxa"/>
            <w:vAlign w:val="bottom"/>
            <w:shd w:val="clear" w:color="auto" w:fill="CFF0FC"/>
          </w:tcPr>
          <w:p>
            <w:pPr>
              <w:spacing w:after="0"/>
              <w:rPr>
                <w:sz w:val="20"/>
                <w:szCs w:val="20"/>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31,587</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1,351,730</w:t>
            </w:r>
          </w:p>
        </w:tc>
        <w:tc>
          <w:tcPr>
            <w:tcW w:w="18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Shares granted</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427,874</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23,323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89"/>
              </w:rPr>
              <w:t>37,950</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489,147</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 vested/issued</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(10,555)</w:t>
            </w: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(37,950)</w:t>
            </w:r>
          </w:p>
        </w:tc>
        <w:tc>
          <w:tcPr>
            <w:tcW w:w="1100" w:type="dxa"/>
            <w:vAlign w:val="bottom"/>
            <w:tcBorders>
              <w:right w:val="single" w:sz="8" w:color="CFF0FC"/>
            </w:tcBorders>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(49,424)</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Shares canceled</w:t>
            </w:r>
          </w:p>
        </w:tc>
        <w:tc>
          <w:tcPr>
            <w:tcW w:w="1000" w:type="dxa"/>
            <w:vAlign w:val="bottom"/>
          </w:tcPr>
          <w:p>
            <w:pPr>
              <w:jc w:val="right"/>
              <w:spacing w:after="0"/>
              <w:rPr>
                <w:sz w:val="20"/>
                <w:szCs w:val="20"/>
                <w:color w:val="auto"/>
              </w:rPr>
            </w:pPr>
            <w:r>
              <w:rPr>
                <w:rFonts w:ascii="Arial" w:cs="Arial" w:eastAsia="Arial" w:hAnsi="Arial"/>
                <w:sz w:val="16"/>
                <w:szCs w:val="16"/>
                <w:color w:val="auto"/>
              </w:rPr>
              <w:t>(63,574)</w:t>
            </w: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(20,930)</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42"/>
              <w:spacing w:after="0"/>
              <w:rPr>
                <w:sz w:val="20"/>
                <w:szCs w:val="20"/>
                <w:color w:val="auto"/>
              </w:rPr>
            </w:pPr>
            <w:r>
              <w:rPr>
                <w:rFonts w:ascii="Arial" w:cs="Arial" w:eastAsia="Arial" w:hAnsi="Arial"/>
                <w:sz w:val="16"/>
                <w:szCs w:val="16"/>
                <w:color w:val="auto"/>
              </w:rPr>
              <w:t>(84,504)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4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end of quarter</w:t>
            </w: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1,246,014</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406,025</w:t>
            </w:r>
          </w:p>
        </w:tc>
        <w:tc>
          <w:tcPr>
            <w:tcW w:w="220" w:type="dxa"/>
            <w:vAlign w:val="bottom"/>
            <w:tcBorders>
              <w:right w:val="single" w:sz="8" w:color="CFF0FC"/>
            </w:tcBorders>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54,910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1,706,949</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4" w:name="page15"/>
    <w:bookmarkEnd w:id="14"/>
    <w:p>
      <w:pPr>
        <w:ind w:left="1040" w:right="3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RSUs were granted in connection with the 2016-2017 LTIP. The RSUs will vest in two tranches with the first 50% vesting on April 1, 2018 and the remaining 50% on April 1, 2019.</w:t>
      </w:r>
    </w:p>
    <w:p>
      <w:pPr>
        <w:spacing w:after="0" w:line="62" w:lineRule="exact"/>
        <w:rPr>
          <w:rFonts w:ascii="Arial" w:cs="Arial" w:eastAsia="Arial" w:hAnsi="Arial"/>
          <w:sz w:val="18"/>
          <w:szCs w:val="18"/>
          <w:color w:val="auto"/>
        </w:rPr>
      </w:pPr>
    </w:p>
    <w:p>
      <w:pPr>
        <w:jc w:val="both"/>
        <w:ind w:left="1040" w:right="10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23,323 shares of deferred stock, with a fair value of approximately $117,622,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1040" w:right="140" w:hanging="519"/>
        <w:spacing w:after="0" w:line="25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nine months of fiscal 2016, the Company granted under the 2006 Plan 37,950 shares of stock, with a fair value of approximately $191,673 to certain directors as compensation in lieu of cash, in accordance with their irrevocable elections. Directors are required to elect 50% of their quarterly retainer in equity. Prior to August 1, 2016, all shares paid to directors to satisfy this election were issued from the 2006 Plan and since then the shares to satisfy this election were and will be made from the 2016 Plan. Any shares in excess of the minimum required election are issued from the Company’s Second Amended and Restated Non-Employee Director Stock Purchase Plan (“Non-Employee Director Stock Purchase Plan”).</w:t>
      </w:r>
    </w:p>
    <w:p>
      <w:pPr>
        <w:spacing w:after="0" w:line="85"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the first nine months of fiscal 2016, the Company granted 8,522 stock options, 3,834 shares of restricted stock, 431,270 RSUs and 23,570 shares of deferred stock. For the first nine months of fiscal 2015, the Company granted 15,790 shares of deferred stock and 10,000 shares of restricted stock. There were no grants of stock options during the first nine months of fiscal 2015.</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fair value of each option granted is estimated on the date of grant using the Black-Scholes option-pricing model. The following assumptions were used for grants for the first nine months of fiscal 2016. There were no grants of stock options for the first nine months of fiscal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340" w:type="dxa"/>
            <w:vAlign w:val="bottom"/>
          </w:tcPr>
          <w:p>
            <w:pPr>
              <w:spacing w:after="0"/>
              <w:rPr>
                <w:sz w:val="15"/>
                <w:szCs w:val="15"/>
                <w:color w:val="auto"/>
              </w:rPr>
            </w:pPr>
          </w:p>
        </w:tc>
        <w:tc>
          <w:tcPr>
            <w:tcW w:w="2080" w:type="dxa"/>
            <w:vAlign w:val="bottom"/>
            <w:gridSpan w:val="2"/>
          </w:tcPr>
          <w:p>
            <w:pPr>
              <w:jc w:val="right"/>
              <w:ind w:right="640"/>
              <w:spacing w:after="0"/>
              <w:rPr>
                <w:sz w:val="20"/>
                <w:szCs w:val="20"/>
                <w:color w:val="auto"/>
              </w:rPr>
            </w:pPr>
            <w:r>
              <w:rPr>
                <w:rFonts w:ascii="Arial" w:cs="Arial" w:eastAsia="Arial" w:hAnsi="Arial"/>
                <w:sz w:val="14"/>
                <w:szCs w:val="14"/>
                <w:color w:val="auto"/>
              </w:rPr>
              <w:t>October 29, 2016</w:t>
            </w:r>
          </w:p>
        </w:tc>
      </w:tr>
      <w:tr>
        <w:trPr>
          <w:trHeight w:val="26"/>
        </w:trPr>
        <w:tc>
          <w:tcPr>
            <w:tcW w:w="934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 yrs</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Dividend rate</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granted 10,403 shares of common stock, with a fair value of approximately $51,804, to certain of its non-employee directors as compensation in lieu of cash in the first nine months of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first nine months of fiscal 2016 and fiscal 2015, the Company recognized total stock-based compensation expense of $1.1 million and $1.6 million, respectively. The total compensation cost related to time-vested stock options, restricted stock and RSU awards not yet recognized as of October 29, 2016 is approximately $1.8 million, net of estimated forfeitures, which will be expensed over a weighted average remaining life of 21 months. At October 29, 2016, the Company had $7.0 million of unrecognized stock-based compensation expense, net of estimated forfeitures, related to its performance-based stock options and restricted stock under its 2013-2016 LTIP. As discussed above, the Company will begin recognizing compensation if, and when, achievement of the performance targets under the 2013-2016 LTIP becomes probable.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gridSpan w:val="4"/>
          </w:tcPr>
          <w:p>
            <w:pPr>
              <w:ind w:left="460"/>
              <w:spacing w:after="0"/>
              <w:rPr>
                <w:sz w:val="20"/>
                <w:szCs w:val="20"/>
                <w:color w:val="auto"/>
              </w:rPr>
            </w:pPr>
            <w:r>
              <w:rPr>
                <w:rFonts w:ascii="Arial" w:cs="Arial" w:eastAsia="Arial" w:hAnsi="Arial"/>
                <w:sz w:val="14"/>
                <w:szCs w:val="14"/>
                <w:color w:val="auto"/>
              </w:rPr>
              <w:t>For the three months ended</w:t>
            </w:r>
          </w:p>
        </w:tc>
        <w:tc>
          <w:tcPr>
            <w:tcW w:w="2660" w:type="dxa"/>
            <w:vAlign w:val="bottom"/>
            <w:gridSpan w:val="4"/>
          </w:tcPr>
          <w:p>
            <w:pPr>
              <w:ind w:left="500"/>
              <w:spacing w:after="0"/>
              <w:rPr>
                <w:sz w:val="20"/>
                <w:szCs w:val="20"/>
                <w:color w:val="auto"/>
              </w:rPr>
            </w:pPr>
            <w:r>
              <w:rPr>
                <w:rFonts w:ascii="Arial" w:cs="Arial" w:eastAsia="Arial" w:hAnsi="Arial"/>
                <w:sz w:val="14"/>
                <w:szCs w:val="14"/>
                <w:color w:val="auto"/>
              </w:rPr>
              <w:t>For the 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20" w:type="dxa"/>
            <w:vAlign w:val="bottom"/>
            <w:gridSpan w:val="2"/>
            <w:vMerge w:val="restart"/>
          </w:tcPr>
          <w:p>
            <w:pPr>
              <w:ind w:left="60"/>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7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October 29, 2016</w:t>
            </w: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October 31, 2015</w:t>
            </w:r>
          </w:p>
        </w:tc>
        <w:tc>
          <w:tcPr>
            <w:tcW w:w="1380" w:type="dxa"/>
            <w:vAlign w:val="bottom"/>
            <w:gridSpan w:val="2"/>
          </w:tcPr>
          <w:p>
            <w:pPr>
              <w:ind w:left="60"/>
              <w:spacing w:after="0"/>
              <w:rPr>
                <w:sz w:val="20"/>
                <w:szCs w:val="20"/>
                <w:color w:val="auto"/>
              </w:rPr>
            </w:pPr>
            <w:r>
              <w:rPr>
                <w:rFonts w:ascii="Arial" w:cs="Arial" w:eastAsia="Arial" w:hAnsi="Arial"/>
                <w:sz w:val="14"/>
                <w:szCs w:val="14"/>
                <w:color w:val="auto"/>
              </w:rPr>
              <w:t>October 29, 2016</w:t>
            </w: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October 31, 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49,552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49,116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49,532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Common stock equivalents – stock options and restricted stock </w:t>
            </w:r>
            <w:r>
              <w:rPr>
                <w:rFonts w:ascii="Arial" w:cs="Arial" w:eastAsia="Arial" w:hAnsi="Arial"/>
                <w:sz w:val="15"/>
                <w:szCs w:val="15"/>
                <w:color w:val="auto"/>
                <w:w w:val="97"/>
              </w:rPr>
              <w:t>(1)</w:t>
            </w:r>
          </w:p>
        </w:tc>
        <w:tc>
          <w:tcPr>
            <w:tcW w:w="7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gridSpan w:val="2"/>
          </w:tcPr>
          <w:p>
            <w:pPr>
              <w:ind w:left="60"/>
              <w:spacing w:after="0"/>
              <w:rPr>
                <w:sz w:val="20"/>
                <w:szCs w:val="20"/>
                <w:color w:val="auto"/>
              </w:rPr>
            </w:pPr>
            <w:r>
              <w:rPr>
                <w:rFonts w:ascii="Arial" w:cs="Arial" w:eastAsia="Arial" w:hAnsi="Arial"/>
                <w:sz w:val="18"/>
                <w:szCs w:val="18"/>
                <w:color w:val="auto"/>
              </w:rPr>
              <w:t>Diluted weighted average common shares outstanding</w:t>
            </w:r>
          </w:p>
        </w:tc>
        <w:tc>
          <w:tcPr>
            <w:tcW w:w="7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49,552</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49,116</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49,532</w:t>
            </w:r>
          </w:p>
        </w:tc>
        <w:tc>
          <w:tcPr>
            <w:tcW w:w="2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jc w:val="both"/>
        <w:ind w:left="1040" w:hanging="519"/>
        <w:spacing w:after="0" w:line="27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 equivalents of 483 and 402 shares for the third quarter and first nine months ended October 29, 2016, respectively, and common stock equivalents of 700 and 560 shares for the third quarter and first nine months ended October 31, 2015, respectively, were excluded due to a net loss.</w:t>
      </w:r>
    </w:p>
    <w:p>
      <w:pPr>
        <w:spacing w:after="0" w:line="19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60" w:type="dxa"/>
            <w:vAlign w:val="bottom"/>
          </w:tcPr>
          <w:p>
            <w:pPr>
              <w:spacing w:after="0"/>
              <w:rPr>
                <w:sz w:val="17"/>
                <w:szCs w:val="17"/>
                <w:color w:val="auto"/>
              </w:rPr>
            </w:pPr>
          </w:p>
        </w:tc>
        <w:tc>
          <w:tcPr>
            <w:tcW w:w="2780" w:type="dxa"/>
            <w:vAlign w:val="bottom"/>
            <w:gridSpan w:val="4"/>
          </w:tcPr>
          <w:p>
            <w:pPr>
              <w:ind w:left="380"/>
              <w:spacing w:after="0"/>
              <w:rPr>
                <w:sz w:val="20"/>
                <w:szCs w:val="20"/>
                <w:color w:val="auto"/>
              </w:rPr>
            </w:pPr>
            <w:r>
              <w:rPr>
                <w:rFonts w:ascii="Arial" w:cs="Arial" w:eastAsia="Arial" w:hAnsi="Arial"/>
                <w:sz w:val="16"/>
                <w:szCs w:val="16"/>
                <w:color w:val="auto"/>
              </w:rPr>
              <w:t>For the three months ended</w:t>
            </w:r>
          </w:p>
        </w:tc>
        <w:tc>
          <w:tcPr>
            <w:tcW w:w="2680" w:type="dxa"/>
            <w:vAlign w:val="bottom"/>
            <w:gridSpan w:val="4"/>
          </w:tcPr>
          <w:p>
            <w:pPr>
              <w:ind w:left="420"/>
              <w:spacing w:after="0"/>
              <w:rPr>
                <w:sz w:val="20"/>
                <w:szCs w:val="20"/>
                <w:color w:val="auto"/>
              </w:rPr>
            </w:pPr>
            <w:r>
              <w:rPr>
                <w:rFonts w:ascii="Arial" w:cs="Arial" w:eastAsia="Arial" w:hAnsi="Arial"/>
                <w:sz w:val="16"/>
                <w:szCs w:val="16"/>
                <w:color w:val="auto"/>
              </w:rPr>
              <w:t>For the nine months ended</w:t>
            </w:r>
          </w:p>
        </w:tc>
      </w:tr>
      <w:tr>
        <w:trPr>
          <w:trHeight w:val="216"/>
        </w:trPr>
        <w:tc>
          <w:tcPr>
            <w:tcW w:w="59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October 29, 2016</w:t>
            </w: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October 31, 2015</w:t>
            </w: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October 29, 2016</w:t>
            </w:r>
          </w:p>
        </w:tc>
        <w:tc>
          <w:tcPr>
            <w:tcW w:w="1260" w:type="dxa"/>
            <w:vAlign w:val="bottom"/>
            <w:gridSpan w:val="2"/>
          </w:tcPr>
          <w:p>
            <w:pPr>
              <w:spacing w:after="0"/>
              <w:rPr>
                <w:sz w:val="20"/>
                <w:szCs w:val="20"/>
                <w:color w:val="auto"/>
              </w:rPr>
            </w:pPr>
            <w:r>
              <w:rPr>
                <w:rFonts w:ascii="Arial" w:cs="Arial" w:eastAsia="Arial" w:hAnsi="Arial"/>
                <w:sz w:val="16"/>
                <w:szCs w:val="16"/>
                <w:color w:val="auto"/>
              </w:rPr>
              <w:t>October 31, 2015</w:t>
            </w:r>
          </w:p>
        </w:tc>
      </w:tr>
      <w:tr>
        <w:trPr>
          <w:trHeight w:val="213"/>
        </w:trPr>
        <w:tc>
          <w:tcPr>
            <w:tcW w:w="5960" w:type="dxa"/>
            <w:vAlign w:val="bottom"/>
          </w:tcPr>
          <w:p>
            <w:pPr>
              <w:spacing w:after="0"/>
              <w:rPr>
                <w:sz w:val="20"/>
                <w:szCs w:val="20"/>
                <w:color w:val="auto"/>
              </w:rPr>
            </w:pPr>
            <w:r>
              <w:rPr>
                <w:rFonts w:ascii="Arial" w:cs="Arial" w:eastAsia="Arial" w:hAnsi="Arial"/>
                <w:sz w:val="16"/>
                <w:szCs w:val="16"/>
                <w:i w:val="1"/>
                <w:iCs w:val="1"/>
                <w:color w:val="auto"/>
              </w:rPr>
              <w:t>(in thousands, except exercise prices)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Stock Options (time-vested)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FF0FC"/>
          </w:tcPr>
          <w:p>
            <w:pPr>
              <w:spacing w:after="0"/>
              <w:rPr>
                <w:sz w:val="19"/>
                <w:szCs w:val="19"/>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Restricted Stock Units (time-vested)</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409</w:t>
            </w: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Restricted and Deferred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6"/>
                <w:szCs w:val="16"/>
                <w:color w:val="auto"/>
              </w:rPr>
              <w:t>Range of exercise prices of such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$4.49 - $7.52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$5.27 - $7.52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$4.49 - $7.52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$4.96 - $7.52</w:t>
            </w:r>
          </w:p>
        </w:tc>
        <w:tc>
          <w:tcPr>
            <w:tcW w:w="10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29, 2016, expire from October 22, 2017 to September 11, 2026.</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Excluded from the Company’s computation of basic and diluted earnings per share for the third quarter and first nine months of fiscal 2016 were 893,621 shares of unvested performance-based restricted stock and 1,125,317 performance-based stock options. For the third quarter and first nine months of fiscal 2015, 933,486 shares of unvested performance-based restricted stock and 1,162,047 performance-based stock options were excluded from the Company’s computation of basic and diluted earnings per share for both periods. Performance-based awards will be included in the computation of basic and diluted earnings per share if, and when, the respective performance targets are achieved. In addition, shares of unvested time-based restricted stock of 356,227 for the third quarter and first nine months of fiscal 2016 and 729,581 shares for the third quarter and first nine months of fiscal 2015 were excluded from the computation of basic earnings per share and will continue to be excluded until such shares vest. See Note 3, Long-Term Incentive Plans, for a discussion of the Company’s 2013-2016 LTIP and the respective performance targets.</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1,249,848 shares of restricted stock outstanding at October 29, 2016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At October 29, 2016, the Company had total deferred tax assets of approximately $80.0 million, total deferred tax liabilities of $15.5 million and a corresponding valuation allowance of $64.7 million.</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2016, the Company believes that a full allowance remains appropriate at this time.</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October 29, 2016, the Company had net operating loss carryforwards of $140.4 million for federal income tax purposes and $81.8 million for state income tax purposes that are available to offset future taxable income through fiscal year 2036. Additionally, the Company has alternative minimum tax credit carryforwards of $2.3 million, which are available to further reduce income taxes over an indefinite period. Additionally, the Company has $0.1 million and $2.2 million of net operating loss for tax purposes related to the Company’s operations in Hong Kong and Canada, respectively, though both are expected to expire largely unutilized. Included in the federal and state net operating loss carryforwards are stock compensation deductions of approximately $9.3 million and $4.0 million, respectively, the tax benefit from which, if realized, will be credited to additional paid-in capital.</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may result in a limitation on the amount of net operating loss carryforwards and tax credit carryforwards which may be used in future years.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tax provision for the first nine months of fiscal 2016 and fiscal 2015 represents an increase in our deferred tax liability for indefinite-lived intangibles as well as current state margin tax and foreign income tax.</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October 29, 2016 was $3.0 million. This amount is directly associated with a prior year tax position related to exiting the European direct business.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marketing costs, store counts, capital expenditures, borrowings, sales and earnings expectations for fiscal 2016 and beyond, the expected impact of inventory management improvements on working capital in fiscal 2016 and the anticipated pace and number of store openings and closings in fiscal 2016.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30, 2016, included in our Annual Report on Form 10-K for the year ended January 30, 2016, as filed with the Securities and Exchange Commission on March 18, 2016 (our “Fiscal 2015 Annual Report”).</w:t>
      </w:r>
    </w:p>
    <w:p>
      <w:pPr>
        <w:spacing w:after="0" w:line="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Numerous factors could cause our actual results to differ materially from such forward-looking statements. We encourage readers to refer to the “Risk Factors” section in Part I, Item 1A of our Fiscal 2015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and compete successfully in our market.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200"/>
        <w:spacing w:after="0" w:line="226" w:lineRule="auto"/>
        <w:rPr>
          <w:sz w:val="20"/>
          <w:szCs w:val="20"/>
          <w:color w:val="auto"/>
        </w:rPr>
      </w:pPr>
      <w:r>
        <w:rPr>
          <w:rFonts w:ascii="Arial" w:cs="Arial" w:eastAsia="Arial" w:hAnsi="Arial"/>
          <w:sz w:val="17"/>
          <w:szCs w:val="17"/>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7"/>
          <w:szCs w:val="17"/>
          <w:color w:val="auto"/>
        </w:rPr>
        <w:t>, DXL</w:t>
      </w:r>
      <w:r>
        <w:rPr>
          <w:rFonts w:ascii="Arial" w:cs="Arial" w:eastAsia="Arial" w:hAnsi="Arial"/>
          <w:sz w:val="25"/>
          <w:szCs w:val="25"/>
          <w:color w:val="auto"/>
          <w:vertAlign w:val="superscript"/>
        </w:rPr>
        <w:t>®</w:t>
      </w:r>
      <w:r>
        <w:rPr>
          <w:rFonts w:ascii="Arial" w:cs="Arial" w:eastAsia="Arial" w:hAnsi="Arial"/>
          <w:sz w:val="17"/>
          <w:szCs w:val="17"/>
          <w:color w:val="auto"/>
        </w:rPr>
        <w:t>, DXL Outlets, Casual Male XL</w:t>
      </w:r>
      <w:r>
        <w:rPr>
          <w:rFonts w:ascii="Arial" w:cs="Arial" w:eastAsia="Arial" w:hAnsi="Arial"/>
          <w:sz w:val="25"/>
          <w:szCs w:val="25"/>
          <w:color w:val="auto"/>
          <w:vertAlign w:val="superscript"/>
        </w:rPr>
        <w:t>®</w:t>
      </w:r>
      <w:r>
        <w:rPr>
          <w:rFonts w:ascii="Arial" w:cs="Arial" w:eastAsia="Arial" w:hAnsi="Arial"/>
          <w:sz w:val="17"/>
          <w:szCs w:val="17"/>
          <w:color w:val="auto"/>
        </w:rPr>
        <w:t>, Casual Male XL Outlets, Rochester Clothing, ShoesXL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LivingXL</w:t>
      </w:r>
      <w:r>
        <w:rPr>
          <w:rFonts w:ascii="Arial" w:cs="Arial" w:eastAsia="Arial" w:hAnsi="Arial"/>
          <w:sz w:val="25"/>
          <w:szCs w:val="25"/>
          <w:color w:val="auto"/>
          <w:vertAlign w:val="superscript"/>
        </w:rPr>
        <w:t>®</w:t>
      </w:r>
      <w:r>
        <w:rPr>
          <w:rFonts w:ascii="Arial" w:cs="Arial" w:eastAsia="Arial" w:hAnsi="Arial"/>
          <w:sz w:val="17"/>
          <w:szCs w:val="17"/>
          <w:color w:val="auto"/>
        </w:rPr>
        <w:t>. At October 29, 2016, we operated 188 Destination XL stores, 108 Casual Male XL retail stores, 12 DXL outlet stores, 39 Casual Male XL outlet stores and 5 Rochester Clothing stores. Our direct business includes our DestinationXL.com and bigandtall.com e-commerce sites which support our stores, brands and product extensions.</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January 28, 2017 and January 30, 2016 as “fiscal 2016” and “fiscal 2015,” respectively. Both fiscal years are 52-week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As part of our omni-channel initiatives, the majority of our retail stores have the capability of fulfilling online orders if merchandise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8" w:name="page19"/>
    <w:bookmarkEnd w:id="18"/>
    <w:p>
      <w:pPr>
        <w:ind w:right="160"/>
        <w:spacing w:after="0" w:line="255" w:lineRule="auto"/>
        <w:rPr>
          <w:sz w:val="20"/>
          <w:szCs w:val="20"/>
          <w:color w:val="auto"/>
        </w:rPr>
      </w:pPr>
      <w:r>
        <w:rPr>
          <w:rFonts w:ascii="Arial" w:cs="Arial" w:eastAsia="Arial" w:hAnsi="Arial"/>
          <w:sz w:val="18"/>
          <w:szCs w:val="18"/>
          <w:color w:val="auto"/>
        </w:rPr>
        <w:t>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store.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summary of results for the third quarter and first nine months of fiscal 2016, including EBITDA, which is a non-GAAP measure. Please see “Non-GAAP Financial Measures” below for a reconciliation of Net Loss to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6"/>
          </w:tcPr>
          <w:p>
            <w:pPr>
              <w:jc w:val="right"/>
              <w:ind w:right="740"/>
              <w:spacing w:after="0"/>
              <w:rPr>
                <w:sz w:val="20"/>
                <w:szCs w:val="20"/>
                <w:color w:val="auto"/>
              </w:rPr>
            </w:pPr>
            <w:r>
              <w:rPr>
                <w:rFonts w:ascii="Arial" w:cs="Arial" w:eastAsia="Arial" w:hAnsi="Arial"/>
                <w:sz w:val="14"/>
                <w:szCs w:val="14"/>
                <w:color w:val="auto"/>
              </w:rPr>
              <w:t>For the 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October 29, 2016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October 31, 2015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w w:val="92"/>
              </w:rPr>
              <w:t>October 29, 2016</w:t>
            </w:r>
          </w:p>
        </w:tc>
        <w:tc>
          <w:tcPr>
            <w:tcW w:w="10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October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loss</w:t>
            </w:r>
          </w:p>
        </w:tc>
        <w:tc>
          <w:tcPr>
            <w:tcW w:w="348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CFF0FC"/>
            </w:tcBorders>
            <w:gridSpan w:val="2"/>
          </w:tcPr>
          <w:p>
            <w:pPr>
              <w:jc w:val="right"/>
              <w:ind w:right="100"/>
              <w:spacing w:after="0" w:line="155" w:lineRule="exact"/>
              <w:rPr>
                <w:sz w:val="20"/>
                <w:szCs w:val="20"/>
                <w:color w:val="auto"/>
              </w:rPr>
            </w:pPr>
            <w:r>
              <w:rPr>
                <w:rFonts w:ascii="Arial" w:cs="Arial" w:eastAsia="Arial" w:hAnsi="Arial"/>
                <w:sz w:val="14"/>
                <w:szCs w:val="14"/>
                <w:color w:val="auto"/>
              </w:rPr>
              <w:t>(4.5)</w:t>
            </w:r>
          </w:p>
        </w:tc>
        <w:tc>
          <w:tcPr>
            <w:tcW w:w="220" w:type="dxa"/>
            <w:vAlign w:val="bottom"/>
            <w:tcBorders>
              <w:top w:val="single" w:sz="8" w:color="CFF0FC"/>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(5.5)</w:t>
            </w:r>
          </w:p>
        </w:tc>
        <w:tc>
          <w:tcPr>
            <w:tcW w:w="180" w:type="dxa"/>
            <w:vAlign w:val="bottom"/>
            <w:tcBorders>
              <w:top w:val="single" w:sz="8" w:color="CFF0FC"/>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CFF0FC"/>
            </w:tcBorders>
            <w:gridSpan w:val="2"/>
          </w:tcPr>
          <w:p>
            <w:pPr>
              <w:jc w:val="right"/>
              <w:ind w:right="220"/>
              <w:spacing w:after="0" w:line="155" w:lineRule="exact"/>
              <w:rPr>
                <w:sz w:val="20"/>
                <w:szCs w:val="20"/>
                <w:color w:val="auto"/>
              </w:rPr>
            </w:pPr>
            <w:r>
              <w:rPr>
                <w:rFonts w:ascii="Arial" w:cs="Arial" w:eastAsia="Arial" w:hAnsi="Arial"/>
                <w:sz w:val="14"/>
                <w:szCs w:val="14"/>
                <w:color w:val="auto"/>
              </w:rPr>
              <w:t>(4.0)</w:t>
            </w:r>
          </w:p>
        </w:tc>
        <w:tc>
          <w:tcPr>
            <w:tcW w:w="10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89"/>
              </w:rPr>
              <w:t>Per diluted share:</w:t>
            </w:r>
          </w:p>
        </w:tc>
        <w:tc>
          <w:tcPr>
            <w:tcW w:w="4480" w:type="dxa"/>
            <w:vAlign w:val="bottom"/>
            <w:tcBorders>
              <w:bottom w:val="single" w:sz="8" w:color="CFF0FC"/>
            </w:tcBorders>
            <w:gridSpan w:val="2"/>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(0.09)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(0.11)</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(0.08)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strength of our DXL concept has continued to drive our sales growth and improvement in profitability through the third quarter of fiscal 2016. During the quarter, our 158 comparable DXL stores had a sales increase of 2.3%, against a prior year comparable sales increase of 9.2%, contributing to our 14</w:t>
      </w:r>
      <w:r>
        <w:rPr>
          <w:rFonts w:ascii="Arial" w:cs="Arial" w:eastAsia="Arial" w:hAnsi="Arial"/>
          <w:sz w:val="15"/>
          <w:szCs w:val="15"/>
          <w:color w:val="auto"/>
        </w:rPr>
        <w:t>th</w:t>
      </w:r>
      <w:r>
        <w:rPr>
          <w:rFonts w:ascii="Arial" w:cs="Arial" w:eastAsia="Arial" w:hAnsi="Arial"/>
          <w:sz w:val="18"/>
          <w:szCs w:val="18"/>
          <w:color w:val="auto"/>
        </w:rPr>
        <w:t xml:space="preserve"> consecutive quarter of positive total Company comparable sales. We believe that the uncertainty in the economic and political climate, that continued to impact the retail industry during the quarter, has contributed to slower than expected top-line growth for us. Given these macroeconomic issues, as well as a delay in the arrival of cold weather and our anticipated decrease in advertising in the fourth quarter, we are revising our guidance for fiscal 2016, see “</w:t>
      </w:r>
      <w:r>
        <w:rPr>
          <w:rFonts w:ascii="Arial" w:cs="Arial" w:eastAsia="Arial" w:hAnsi="Arial"/>
          <w:sz w:val="18"/>
          <w:szCs w:val="18"/>
          <w:i w:val="1"/>
          <w:iCs w:val="1"/>
          <w:color w:val="auto"/>
        </w:rPr>
        <w:t>Fiscal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2016 Outlook” </w:t>
      </w:r>
      <w:r>
        <w:rPr>
          <w:rFonts w:ascii="Arial" w:cs="Arial" w:eastAsia="Arial" w:hAnsi="Arial"/>
          <w:sz w:val="18"/>
          <w:szCs w:val="18"/>
          <w:color w:val="auto"/>
        </w:rPr>
        <w:t>below.</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our sales for fiscal 2016 are less than expected, we continue to show year-over-year growth in sales, profitability and liquidity. The net loss for the third quarter of fiscal 2016 was $(0.09) per diluted share as compared to a net loss of $(0.11) per diluted share for the third quarter of fiscal 2015. We also remain focused on improving EBITDA, which increased $1.4 million for the third quarter of fiscal 2016, resulting in a year-to-date improvement of 30.1% to $20.8 million for the first nine months of fiscal 2016.</w:t>
      </w:r>
    </w:p>
    <w:p>
      <w:pPr>
        <w:spacing w:after="0" w:line="7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From a liquidity perspective, our cash flow from operations improved by $13.1 million. This improvement, with a $3.6 million decrease in capital expenditures, resulted in a $16.7 million improvement in non-GAAP free cash flow. Fiscal 2016 is a pivotal year for our Company where capital expenditures for DXL stores will be fully funded from free cash flow and we begin to pay down our debt levels for the first time in four years.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a reconciliation of free cash flow.</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first nine months of fiscal 2016, we opened 22 DXL retail stores and 3 DXL outlet stores, while closing 17 Casual Male XL retail stores and 1 Casual Male XL outlet. For fiscal 2016, we plan to open a total of 25 DXL retail stores and 4 DXL outlet stores. In addition, we expect to close 29 Casual Male XL retail stores and 4 Casual Male XL outlet stores.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 Review</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the beginning of fiscal 2016, we initiated a review of our inventory levels in our distribution center. We also launched a review of our inventory procurement and management functions. As a result of this review process we identified several improvements that we are implementing to streamline operations at our distribution center, including tighter controls over the number of merchandise weeks of supply and improvements in inventory receipt flow and procurement. As reflected in our “Fiscal 2016 Outlook”, we expect these changes to result in a more optimized inventory structure that will improve our working capital position in fiscal 2016. We do not believe these changes will jeopardize sales from out-of-stock positions in either our retail stores or in our direct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Outlook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reducing our full year Sales and EBITDA guidance, because of our decision not to pursue a television campaign in the fourth quarter of fiscal</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2016. The lack of television exposure, coupled with the delayed arrival of cold weather is leading us to a more cautious outlook for sales and EBITDA. In the fourth quarter of fiscal 2016, our marketing efforts will focus on radio, digital and social media and we will continue to evaluate the use of television in the future. This decision is expected to have a short-term negative impact on sales in the fourth quarter of fiscal 2016, but with a reduction in marketing costs, our earnings guidance, on a GAAP basis, of breakeven to $(0.09) per share remains unchanged and we continue to expect to generate positive free cash flow in fiscal 2016:</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left="780" w:right="80" w:hanging="259"/>
        <w:spacing w:after="0" w:line="34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Sales of approximately $451.0 to $457.0 million, with a total company comparable sales increase of approximately 1.0% to 2.0% (a decrease from previous guidance of $457.0 million to $463.0 million, with a total company comparable sales increase of approximately 2.0% to 4.0%).</w:t>
      </w:r>
    </w:p>
    <w:p>
      <w:pPr>
        <w:spacing w:after="0" w:line="15" w:lineRule="exact"/>
        <w:rPr>
          <w:rFonts w:ascii="Arial" w:cs="Arial" w:eastAsia="Arial" w:hAnsi="Arial"/>
          <w:sz w:val="16"/>
          <w:szCs w:val="16"/>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rate of approximately 46.0% (a decrease from previous guidance of 46.2% to 46.5%).</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on a GAAP basis, of $(0.09) per diluted share to breakeven (unchanged).</w:t>
      </w:r>
    </w:p>
    <w:p>
      <w:pPr>
        <w:spacing w:after="0" w:line="117" w:lineRule="exact"/>
        <w:rPr>
          <w:rFonts w:ascii="Arial" w:cs="Arial" w:eastAsia="Arial" w:hAnsi="Arial"/>
          <w:sz w:val="18"/>
          <w:szCs w:val="18"/>
          <w:color w:val="auto"/>
        </w:rPr>
      </w:pPr>
    </w:p>
    <w:p>
      <w:pPr>
        <w:ind w:left="780" w:right="300" w:hanging="259"/>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loss, on a non-GAAP basis, of $(0.05) per diluted share to breakeven (unchanged). Because we expect to continue providing a full valuation allowance against our deferred tax assets, we will not recognize any income tax benefit in fiscal 2016.</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of approximately $30.0 to $33.0 million (a decrease from previous guidance of $31.0 to $35.0 million).</w:t>
      </w:r>
    </w:p>
    <w:p>
      <w:pPr>
        <w:spacing w:after="0" w:line="117" w:lineRule="exact"/>
        <w:rPr>
          <w:rFonts w:ascii="Arial" w:cs="Arial" w:eastAsia="Arial" w:hAnsi="Arial"/>
          <w:sz w:val="18"/>
          <w:szCs w:val="18"/>
          <w:color w:val="auto"/>
        </w:rPr>
      </w:pPr>
    </w:p>
    <w:p>
      <w:pPr>
        <w:jc w:val="both"/>
        <w:ind w:left="780" w:right="200" w:hanging="259"/>
        <w:spacing w:after="0" w:line="34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end of fiscal 2016, we expect to have total debt of approximately $60.0 million to $66.0 million (an increase from $59.0 to $64.0 million), consisting of $12.8 million outstanding from a term loan, $6.6 million from equipment financing notes with the balance from our Credit Facility.</w:t>
      </w:r>
    </w:p>
    <w:p>
      <w:pPr>
        <w:spacing w:after="0" w:line="15" w:lineRule="exact"/>
        <w:rPr>
          <w:rFonts w:ascii="Arial" w:cs="Arial" w:eastAsia="Arial" w:hAnsi="Arial"/>
          <w:sz w:val="16"/>
          <w:szCs w:val="16"/>
          <w:color w:val="auto"/>
        </w:rPr>
      </w:pPr>
    </w:p>
    <w:p>
      <w:pPr>
        <w:ind w:left="780" w:right="20" w:hanging="259"/>
        <w:spacing w:after="0" w:line="279"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From a liquidity perspective, we expect cash flow from operating activities of $34.0 to $38.0 million (a decrease from previous guidance of $35.0 to $40.0 million), including tenant allowances, resulting in positive free cash flow, before DXL capital expenditures, a non-GAAP measure, of approximately $24.6 million to $28.6 million (a decrease from previous guidance of $25.6 to $30.6 million). Free cash flow, a non-GAAP measure, will be approximately $4.0 to $8.0 million (a decrease from previous guidance of $5.0 to $10.0 million).</w:t>
      </w:r>
    </w:p>
    <w:p>
      <w:pPr>
        <w:spacing w:after="0" w:line="63" w:lineRule="exact"/>
        <w:rPr>
          <w:rFonts w:ascii="Arial" w:cs="Arial" w:eastAsia="Arial" w:hAnsi="Arial"/>
          <w:sz w:val="17"/>
          <w:szCs w:val="17"/>
          <w:color w:val="auto"/>
        </w:rPr>
      </w:pPr>
    </w:p>
    <w:p>
      <w:pPr>
        <w:ind w:left="780" w:right="20" w:hanging="259"/>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are expected to remain unchanged at approximately $30.0 million, which are primarily related to opening our DXL stores, and will be partially offset by approximately $7.0 to $8.0 million in tenant allowances. We expect to fund our capital expenditures primarily from our operating cash flow (unchanged).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Third Quarter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First Nine Months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i w:val="1"/>
                <w:iCs w:val="1"/>
                <w:color w:val="auto"/>
              </w:rPr>
              <w:t>(in millions)</w:t>
            </w: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the third quarter and first nine months of fiscal 2015</w:t>
            </w:r>
          </w:p>
        </w:tc>
        <w:tc>
          <w:tcPr>
            <w:tcW w:w="1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99.6</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Less 2015 sales for stores that have closed /converted</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Sales for the third quarter and first nine months of fiscal 2016</w:t>
            </w:r>
          </w:p>
        </w:tc>
        <w:tc>
          <w:tcPr>
            <w:tcW w:w="13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third quarter of fiscal 2016, total sales were $101.9 million as compared to $99.6 million for the third quarter of fiscal 2015. The increase of $2.3 million in total sales was primarily due to an increase in non-comparable store sales of $6.9 million, a 0.9% increase in comparable sales of $0.8 million, and an increase of $0.1 million of other revenue, partially offset by $5.5 million in lost sales from closed and converted stores.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comparable sales increase for the third quarter of $0.8 million was driven by our 158 comparable DXL retail stores which increased 2.3%, or $1.1 million, against a comparable increase of 9.2% for the third quarter of fiscal 2015. DXL comparable store growth was primarily due to a 1.8% increase in the number of transactions and an increase in dollars per transaction. Sales per square foot for our DXL retail stores continued to grow to $182, on a rolling 12-month basis, at the end of the third quarter as compared with $174 per square foot for the rolling 12-month period at the end of the third quarter last year.</w:t>
      </w:r>
    </w:p>
    <w:p>
      <w:pPr>
        <w:spacing w:after="0" w:line="15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During the third quarter of fiscal 2016, we opened our 200</w:t>
      </w:r>
      <w:r>
        <w:rPr>
          <w:rFonts w:ascii="Arial" w:cs="Arial" w:eastAsia="Arial" w:hAnsi="Arial"/>
          <w:sz w:val="13"/>
          <w:szCs w:val="13"/>
          <w:color w:val="auto"/>
        </w:rPr>
        <w:t>th</w:t>
      </w:r>
      <w:r>
        <w:rPr>
          <w:rFonts w:ascii="Arial" w:cs="Arial" w:eastAsia="Arial" w:hAnsi="Arial"/>
          <w:sz w:val="16"/>
          <w:szCs w:val="16"/>
          <w:color w:val="auto"/>
        </w:rPr>
        <w:t xml:space="preserve"> DXL store toward our target of 400 DXL stores. As we discussed above, store traffic is down across the retail industry, which we believe is due in part to the macroeconomic issues the country is currently facing. This has resulted in a slower than expected increase in our sales growth. However, our non-comparable DXL stores are outperforming plan and return on investment hurdles, which is also a strong indicator that our DXL brand awareness is growing and the performance of our store openings continue to get stronger.</w:t>
      </w:r>
    </w:p>
    <w:p>
      <w:pPr>
        <w:spacing w:after="0" w:line="15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end-of-rack customer grew to 44.5% of our bottoms business from 42.9% in the third quarter of fiscal 2015. Our end-of-rack customer, with a waist size of 46 inches or less, shops 41% more often than our customer with a waist size of 48 inches or more and, on an annual basis, spends twice as much.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For the first nine months of fiscal 2016, total sales were $327.6 million as compared to $318.2 million for the first nine months of fiscal 2015. The increase in sales of $9.4 million was due to a 1.8% increase in comparable sales of $5.2 million, an increase in non-comparable store sales of $23.0 million and an increase of $0.6 million in other revenue, partially offset by $19.4 million in lost sales from closed and converted stores. Comparable sales for our 158 DXL retail stores increased 4.2%, or $6.6 million for the first nine months of fiscal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third quarter of fiscal 2016, our gross margin rate, inclusive of occupancy costs, was 44.4% as compared to a gross margin rate of 45.0% for the third quarter of fiscal 2015. The 60 basis point decrease was due to a decrease of 30 basis points in merchandise margin and an increase in occupancy costs of 30 basis points. The 30 basis point decrease in merchandise margin was primarily due to a shift in the timing of clearance markdowns in fiscal 2015 to the fourth quarter of fiscal 2015. The increase in occupancy costs was due to occupancy expense increasing at a greater percentage than sales. On a dollar basis, occupancy costs for the third quarter of fiscal 2016 increased approximately 4.0% over the prior year’s third quarter, primarily as a result of an increase in total square footage.</w:t>
      </w:r>
    </w:p>
    <w:p>
      <w:pPr>
        <w:spacing w:after="0" w:line="8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For the first nine months of fiscal 2016, our gross margin rate, inclusive of occupancy costs, was 45.7% as compared to 46.2% for the first nine months of fiscal 2015. This 50 basis point decrease was due to a decrease in merchandise margins of 50 basis points, due to the timing of clearance merchandise discussed above. On a dollar basis, occupancy costs for the first nine months of fiscal 2016 increased 2.9% over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a percentage of sales, SG&amp;A expenses for the third quarter of fiscal 2016 were 40.6% as compared to 42.6% for the third quarter of fiscal 2015. For the first nine months of fiscal 2016, SG&amp;A expenses were 39.4% as compared to 41.2% for the first nine months of fiscal 2015. On a dollar basis, SG&amp;A decreased by $1.0 million and $2.0 million for the third quarter and first nine months of fiscal 2016, respectively. These decreases were primarily due to decreases in advertising expense and incentive accruals partially offset by increases in store payroll and healthcare costs.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third quarter and first nine months of fiscal 2016, pre-opening payroll, training and other incremental costs to support our DXL store openings were $1.0 million and $2.4 million, respectively, as compared to the $1.4 million and $3.3 million for the third quarter and first nine months of fiscal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Depreciation and amortization for the third quarter of fiscal 2016 increased $0.4 million to $7.5 million as compared to $7.1 million for the third quarter of fiscal 2015. For the first nine months of fiscal 2016, depreciation and amortization increased $1.9 million to $22.4 million, as compared to $20.5 million in the prior year period. The increase in depreciation and amortization is due to the continued store growth associated with our DXL retail and outlet stores.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interest expense for the third quarter and first nine months of fiscal 2016 of $0.8 million and $2.3 million, respectively, were relatively flat as compared the comparable periods of the prior year. As a result of our inventory initiatives undertaken to improve liquidity, we expect interest costs for fiscal 2016 will be similar to fiscal 2015 levels. We expect that our total debt outstanding at the end of fiscal 2016 will be $60.0 to $66.0 million, a decrease from $68.1 million at the end of fiscal 2015.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more discussion regarding our current Credit Facility, long-term debt and future liquidity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October 29, 2016, we had total deferred tax assets of $80.0 million, total deferred tax liabilities of $15.5 million and a corresponding valuation allowance of $64.7 million. The deferred tax assets include approximately $50.0 million of net operating loss carryforwards and approximately $5.3 million of deferred gain on our sale-leaseback and, to a lesser extent, other book/tax timing differences.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2016, we believe that a full valuation allowance remains appropriate at this time.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tax provision, for the first nine months of fiscal 2016 and fiscal 2015, represents an increase in our deferred tax liability for indefinite-lived intangibles as well as current state margin tax and foreign income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third quarter of fiscal 2016, we had a net loss of $(4.5) million, or $(0.09) per diluted share, compared with a net loss of $(5.5) million, or $(0.11) per diluted share, for the third quarter of fiscal 2015. On a non-GAAP basis, assuming a normalized tax rate for both periods, adjusted net loss per share for the third quarter of fiscal 2016 was $(0.05) per diluted share as compared to $(0.07) per diluted share for the third quarter of fiscal 2015.</w:t>
      </w:r>
    </w:p>
    <w:p>
      <w:pPr>
        <w:spacing w:after="0" w:line="5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For the first nine months of fiscal 2016, the net loss was $(4.0) million, or $(0.08) per diluted share, compared with a net loss of $(7.0) million, or $(0.14) per diluted share, for the first nine months of fiscal 2015. On a non-GAAP basis, assuming a normalized tax rate for both periods, adjusted net loss per share for the first nine months of fiscal 2016 was ($0.05) per diluted share as compared to ($0.08) per diluted share for the first nine months of fiscal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At October 29, 2016, total inventory was $128.2 million compared to $125.0 million at January 30, 2016 and $133.3 million at October 31, 2015. The 3.8% decrease of $5.1 million from October 31, 2015 is due to inventory initiatives implemented in fiscal 2016 to improve timing of receipts and reduce weeks of supply on hand. Clearance merchandise remained unchanged at 9.0% of inventory at the end of the third quarter of fiscal 2016 as compared to the end of the third quarter of fiscal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described below. Our current cash needs are primarily for working capital (essentially inventory requirements), capital expenditures and growth initiatives. As discussed below, our capital expenditures for fiscal 2016 are expected to be $30.0 million, primarily related to the planned opening of approximately 25 DXL retail stores and 4 DXL outlet stores and information technology projects. However, we expect to receive approximately $7.0 to $8.0 million in tenant allowances to offset these capital expenditures.</w:t>
      </w:r>
    </w:p>
    <w:p>
      <w:pPr>
        <w:spacing w:after="0" w:line="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expect to fund our store growth in fiscal 2016 primarily through earnings. We currently believe that our existing cash generated by operations together with our Credit Facility will be sufficient within current forecasts for us to meet our foreseeable liquidity requirements.</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fiscal 2016, we expect to generate free cash flow before DXL capital expenditures of $24.6 million to $28.6 million. We will reinvest that cash to fund our DXL store growth in fiscal 2016. After DXL capital expenditures, we expect positive free cash flow of $4.0 to $8.0 million. We expect that our total debt at the end of fiscal 2016 will be approximately $60.0 to $66.0 million, a decrease from $68.1 million at the end of fiscal 2015.</w:t>
      </w:r>
    </w:p>
    <w:p>
      <w:pPr>
        <w:spacing w:after="0" w:line="16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For the first nine months of fiscal 2016, free cash flow improved by $16.7 million to $(13.7) million from $(30.4) million for the first nine months of fiscal 2015. This improvement in free cash flow was primarily due to the improvement in operating results, lower capital expenditures and less inventory as compared to fiscal 2015.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regarding non-GAAP free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October 29, 2016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c>
          <w:tcPr>
            <w:tcW w:w="20" w:type="dxa"/>
            <w:vAlign w:val="bottom"/>
          </w:tcPr>
          <w:p>
            <w:pPr>
              <w:spacing w:after="0"/>
              <w:rPr>
                <w:sz w:val="14"/>
                <w:szCs w:val="14"/>
                <w:color w:val="auto"/>
              </w:rPr>
            </w:pPr>
          </w:p>
        </w:tc>
      </w:tr>
      <w:tr>
        <w:trPr>
          <w:trHeight w:val="167"/>
        </w:trPr>
        <w:tc>
          <w:tcPr>
            <w:tcW w:w="3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4"/>
                <w:szCs w:val="14"/>
                <w:color w:val="auto"/>
              </w:rPr>
            </w:pPr>
          </w:p>
        </w:tc>
      </w:tr>
      <w:tr>
        <w:trPr>
          <w:trHeight w:val="223"/>
        </w:trPr>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3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Equipment financing notes</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3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Total debt</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84,016</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1"/>
        </w:trPr>
        <w:tc>
          <w:tcPr>
            <w:tcW w:w="3780" w:type="dxa"/>
            <w:vAlign w:val="bottom"/>
          </w:tcPr>
          <w:p>
            <w:pPr>
              <w:spacing w:after="0"/>
              <w:rPr>
                <w:sz w:val="24"/>
                <w:szCs w:val="24"/>
                <w:color w:val="auto"/>
              </w:rPr>
            </w:pPr>
          </w:p>
        </w:tc>
        <w:tc>
          <w:tcPr>
            <w:tcW w:w="3020" w:type="dxa"/>
            <w:vAlign w:val="bottom"/>
          </w:tcPr>
          <w:p>
            <w:pPr>
              <w:jc w:val="right"/>
              <w:ind w:right="91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credit facility with Bank of America, N.A., effective October 29, 2014 (our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of the Notes to the Consolidated Financial Statements included in this Quarterly Report.</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had outstanding borrowings of $62.7 million under the Credit Facility at October 29, 2016. At October 29, 2016, outstanding standby letters of credit were $2.9 million and outstanding documentary letters of credit were $0.5 million. The average monthly borrowing outstanding under the Credit Facility during the first nine months ended October 29, 2016 was approximately $51.9 million, resulting in an average unused excess availability of approximately $58.4 million. Unused excess availability at October 29, 2016 was $52.4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The Company was subject to prepayment penalties through the second anniversary of each note. The Company is no longer subject to any prepayment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if the prepayment is prior to October 29, 2017. There is no prepayment penalty after October 29, 2017.</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October 29, 2016 and October 31, 2015,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7"/>
          </w:tcPr>
          <w:p>
            <w:pPr>
              <w:ind w:left="760"/>
              <w:spacing w:after="0"/>
              <w:rPr>
                <w:sz w:val="20"/>
                <w:szCs w:val="20"/>
                <w:color w:val="auto"/>
              </w:rPr>
            </w:pPr>
            <w:r>
              <w:rPr>
                <w:rFonts w:ascii="Arial" w:cs="Arial" w:eastAsia="Arial" w:hAnsi="Arial"/>
                <w:sz w:val="14"/>
                <w:szCs w:val="14"/>
                <w:color w:val="auto"/>
              </w:rPr>
              <w:t>October 29, 2016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900"/>
              <w:spacing w:after="0"/>
              <w:rPr>
                <w:sz w:val="20"/>
                <w:szCs w:val="20"/>
                <w:color w:val="auto"/>
              </w:rPr>
            </w:pPr>
            <w:r>
              <w:rPr>
                <w:rFonts w:ascii="Arial" w:cs="Arial" w:eastAsia="Arial" w:hAnsi="Arial"/>
                <w:sz w:val="14"/>
                <w:szCs w:val="14"/>
                <w:color w:val="auto"/>
              </w:rPr>
              <w:t>October 31,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84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8"/>
              </w:rPr>
              <w:t>Square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97"/>
              </w:rPr>
              <w:t>Number of</w:t>
            </w: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4"/>
                <w:szCs w:val="14"/>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Footage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860"/>
              <w:spacing w:after="0"/>
              <w:rPr>
                <w:sz w:val="20"/>
                <w:szCs w:val="20"/>
                <w:color w:val="auto"/>
              </w:rPr>
            </w:pPr>
            <w:r>
              <w:rPr>
                <w:rFonts w:ascii="Arial" w:cs="Arial" w:eastAsia="Arial" w:hAnsi="Arial"/>
                <w:sz w:val="14"/>
                <w:szCs w:val="14"/>
                <w:color w:val="auto"/>
                <w:w w:val="88"/>
              </w:rPr>
              <w:t>Stores</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188</w:t>
            </w:r>
          </w:p>
        </w:tc>
        <w:tc>
          <w:tcPr>
            <w:tcW w:w="14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100" w:type="dxa"/>
            <w:vAlign w:val="bottom"/>
            <w:gridSpan w:val="10"/>
          </w:tcPr>
          <w:p>
            <w:pPr>
              <w:spacing w:after="0"/>
              <w:rPr>
                <w:sz w:val="20"/>
                <w:szCs w:val="20"/>
                <w:color w:val="auto"/>
              </w:rPr>
            </w:pPr>
            <w:r>
              <w:rPr>
                <w:rFonts w:ascii="Arial" w:cs="Arial" w:eastAsia="Arial" w:hAnsi="Arial"/>
                <w:sz w:val="18"/>
                <w:szCs w:val="18"/>
                <w:color w:val="auto"/>
                <w:w w:val="92"/>
              </w:rPr>
              <w:t>Below is a summary of store openings and closings from January 30, 2016 to October 29, 2016:</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Casual Male</w:t>
            </w: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Casual Male</w:t>
            </w:r>
          </w:p>
        </w:tc>
        <w:tc>
          <w:tcPr>
            <w:tcW w:w="14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Rochester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DXL</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color w:val="auto"/>
                <w:w w:val="97"/>
              </w:rPr>
              <w:t>DXL Outlets</w:t>
            </w: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XL Retail</w:t>
            </w:r>
          </w:p>
        </w:tc>
        <w:tc>
          <w:tcPr>
            <w:tcW w:w="940" w:type="dxa"/>
            <w:vAlign w:val="bottom"/>
            <w:gridSpan w:val="4"/>
          </w:tcPr>
          <w:p>
            <w:pPr>
              <w:jc w:val="right"/>
              <w:ind w:right="220"/>
              <w:spacing w:after="0"/>
              <w:rPr>
                <w:sz w:val="20"/>
                <w:szCs w:val="20"/>
                <w:color w:val="auto"/>
              </w:rPr>
            </w:pPr>
            <w:r>
              <w:rPr>
                <w:rFonts w:ascii="Arial" w:cs="Arial" w:eastAsia="Arial" w:hAnsi="Arial"/>
                <w:sz w:val="14"/>
                <w:szCs w:val="14"/>
                <w:color w:val="auto"/>
              </w:rPr>
              <w:t>XL Outlets</w:t>
            </w:r>
          </w:p>
        </w:tc>
        <w:tc>
          <w:tcPr>
            <w:tcW w:w="14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Clothing</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30, 2016</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October 29,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capital expenditures for the first nine months of fiscal 2016 were $21.8 million as compared to $25.4 million for the first nine months of fiscal 2015. The $3.6 million decrease is primarily related to fewer DXL stores openings and improved buildout costs of the DXL stores opened in fiscal 2016 as compared to the prior year. The Company opened 22 DXL retail stores and 3 DXL outlet stores in the first nine months of fiscal 2016 as compared to 26 DXL retail stores and 7 DXL outlet stores in the first nine months of fiscal 2015.</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fiscal 2016, our capital expenditures are expected to be approximately $30.0 million and we expect to receive approximately $7.0 to $8.0 million in tenant allowances to offset these expenditures. Our budget includes approximately $20.6 million, excluding any allowance, related to the opening of 25 DXL retail stores and 4 DXL outlet stores, and approximately $9.4 million for continued information technology and other infrastructure projects. In addition, we expect to close approximately 29 Casual Male XL stores and 4 Casual Male XL outlet stores, the majority of which are in connection with the opening of the DXL retail and outlet stores in the same geographic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2015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Adjusted net loss, adjusted net loss per diluted share, free cash flow, free cash flow before DXL capital expenditures and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240"/>
        <w:spacing w:after="0" w:line="302" w:lineRule="auto"/>
        <w:rPr>
          <w:sz w:val="20"/>
          <w:szCs w:val="20"/>
          <w:color w:val="auto"/>
        </w:rPr>
      </w:pPr>
      <w:r>
        <w:rPr>
          <w:rFonts w:ascii="Arial" w:cs="Arial" w:eastAsia="Arial" w:hAnsi="Arial"/>
          <w:sz w:val="16"/>
          <w:szCs w:val="16"/>
          <w:i w:val="1"/>
          <w:iCs w:val="1"/>
          <w:u w:val="single" w:color="auto"/>
          <w:color w:val="auto"/>
        </w:rPr>
        <w:t>Adjusted net loss and adjusted net loss per diluted share</w:t>
      </w:r>
      <w:r>
        <w:rPr>
          <w:rFonts w:ascii="Arial" w:cs="Arial" w:eastAsia="Arial" w:hAnsi="Arial"/>
          <w:sz w:val="16"/>
          <w:szCs w:val="16"/>
          <w:color w:val="auto"/>
        </w:rPr>
        <w:t>. The above discussion includes an adjusted net loss for the third quarter and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2016 and fiscal 2015 on a non-GAAP basis, which reflected an adjustment assuming a normal tax rate of 40%.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effective tax rate of 40%.</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reconciliation of net loss to adjusted net loss, assuming a normal tax rate of 40% for the third quarter and first nine months of fiscal 2016 and fiscal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240"/>
              <w:spacing w:after="0"/>
              <w:rPr>
                <w:sz w:val="20"/>
                <w:szCs w:val="20"/>
                <w:color w:val="auto"/>
              </w:rPr>
            </w:pPr>
            <w:r>
              <w:rPr>
                <w:rFonts w:ascii="Arial" w:cs="Arial" w:eastAsia="Arial" w:hAnsi="Arial"/>
                <w:sz w:val="14"/>
                <w:szCs w:val="14"/>
                <w:color w:val="auto"/>
                <w:w w:val="90"/>
              </w:rPr>
              <w:t>For the 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4"/>
                <w:szCs w:val="14"/>
                <w:color w:val="auto"/>
                <w:w w:val="89"/>
              </w:rPr>
              <w:t>For the nine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color w:val="auto"/>
              </w:rPr>
              <w:t>October 29, 2016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color w:val="auto"/>
              </w:rPr>
              <w:t>October 31, 2015</w:t>
            </w:r>
          </w:p>
        </w:tc>
        <w:tc>
          <w:tcPr>
            <w:tcW w:w="20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color w:val="auto"/>
              </w:rPr>
              <w:t>October 29, 2016</w:t>
            </w:r>
          </w:p>
        </w:tc>
        <w:tc>
          <w:tcPr>
            <w:tcW w:w="20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color w:val="auto"/>
              </w:rPr>
              <w:t>October 31,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Per diluted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8"/>
              <w:spacing w:after="0" w:line="137" w:lineRule="exact"/>
              <w:rPr>
                <w:sz w:val="20"/>
                <w:szCs w:val="20"/>
                <w:color w:val="auto"/>
              </w:rPr>
            </w:pPr>
            <w:r>
              <w:rPr>
                <w:rFonts w:ascii="Arial" w:cs="Arial" w:eastAsia="Arial" w:hAnsi="Arial"/>
                <w:sz w:val="14"/>
                <w:szCs w:val="14"/>
                <w:color w:val="auto"/>
                <w:w w:val="98"/>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4"/>
                <w:szCs w:val="14"/>
                <w:color w:val="auto"/>
              </w:rPr>
            </w:pP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share</w:t>
            </w:r>
          </w:p>
        </w:tc>
        <w:tc>
          <w:tcPr>
            <w:tcW w:w="200" w:type="dxa"/>
            <w:vAlign w:val="bottom"/>
          </w:tcPr>
          <w:p>
            <w:pPr>
              <w:spacing w:after="0"/>
              <w:rPr>
                <w:sz w:val="14"/>
                <w:szCs w:val="14"/>
                <w:color w:val="auto"/>
              </w:rPr>
            </w:pP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 (GAAP basis)</w:t>
            </w:r>
          </w:p>
        </w:tc>
        <w:tc>
          <w:tcPr>
            <w:tcW w:w="14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(4,452)</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(0.09)</w:t>
            </w: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(5,472)</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(0.11)</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(4,039)</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(0.08)</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(7,025)</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ind w:left="280"/>
              <w:spacing w:after="0"/>
              <w:rPr>
                <w:sz w:val="20"/>
                <w:szCs w:val="20"/>
                <w:color w:val="auto"/>
              </w:rPr>
            </w:pPr>
            <w:r>
              <w:rPr>
                <w:rFonts w:ascii="Arial" w:cs="Arial" w:eastAsia="Arial" w:hAnsi="Arial"/>
                <w:sz w:val="14"/>
                <w:szCs w:val="14"/>
                <w:color w:val="auto"/>
              </w:rPr>
              <w:t>Income tax (provision) benefit, assuming</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FF0FC"/>
          </w:tcPr>
          <w:p>
            <w:pPr>
              <w:jc w:val="center"/>
              <w:ind w:right="1700"/>
              <w:spacing w:after="0"/>
              <w:rPr>
                <w:sz w:val="20"/>
                <w:szCs w:val="20"/>
                <w:color w:val="auto"/>
              </w:rPr>
            </w:pPr>
            <w:r>
              <w:rPr>
                <w:rFonts w:ascii="Arial" w:cs="Arial" w:eastAsia="Arial" w:hAnsi="Arial"/>
                <w:sz w:val="14"/>
                <w:szCs w:val="14"/>
                <w:color w:val="auto"/>
                <w:w w:val="93"/>
              </w:rPr>
              <w:t>a normal tax rate of 40%</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net loss (non-GAAP basis)</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(2,651)</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(3,245)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(0.07)</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(4,100)</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gridSpan w:val="2"/>
          </w:tcPr>
          <w:p>
            <w:pPr>
              <w:jc w:val="center"/>
              <w:ind w:right="1700"/>
              <w:spacing w:after="0"/>
              <w:rPr>
                <w:sz w:val="20"/>
                <w:szCs w:val="20"/>
                <w:color w:val="auto"/>
              </w:rPr>
            </w:pPr>
            <w:r>
              <w:rPr>
                <w:rFonts w:ascii="Arial" w:cs="Arial" w:eastAsia="Arial" w:hAnsi="Arial"/>
                <w:sz w:val="14"/>
                <w:szCs w:val="14"/>
                <w:color w:val="auto"/>
                <w:w w:val="91"/>
              </w:rPr>
              <w:t>outstanding on a diluted basis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49,552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49,116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49,532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49,072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Free Cash Flow and Free Cash Flow Before DXL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We define free cash flow as cash flow from operating activities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Free cash flow before DXL capital expenditures is free cash flow with DXL capital expenditures added back. Free cash flow excludes the mandatory and discretionary repayment of debt. Free cash flow and free cash flow before DXL capital expenditures are metrics that management uses to monitor liquidity. We expect to fund our ongoing DXL capital expenditures with cash flow from operations. We believe this metric is important to investors because it demonstrates our ability to strengthen liquidity while also contributing to the funding of the DXL store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 and free cash flow before DXL capital expenditures: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gridSpan w:val="6"/>
          </w:tcPr>
          <w:p>
            <w:pPr>
              <w:jc w:val="right"/>
              <w:ind w:right="1680"/>
              <w:spacing w:after="0"/>
              <w:rPr>
                <w:sz w:val="20"/>
                <w:szCs w:val="20"/>
                <w:color w:val="auto"/>
              </w:rPr>
            </w:pPr>
            <w:r>
              <w:rPr>
                <w:rFonts w:ascii="Arial" w:cs="Arial" w:eastAsia="Arial" w:hAnsi="Arial"/>
                <w:sz w:val="14"/>
                <w:szCs w:val="14"/>
                <w:color w:val="auto"/>
              </w:rPr>
              <w:t>For the nine months ended</w:t>
            </w: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4"/>
                <w:szCs w:val="14"/>
                <w:color w:val="auto"/>
              </w:rPr>
              <w:t>October 29, 2016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color w:val="auto"/>
              </w:rPr>
              <w:t>October 31, 2015</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20" w:type="dxa"/>
            <w:vAlign w:val="bottom"/>
          </w:tcPr>
          <w:p>
            <w:pPr>
              <w:spacing w:after="0"/>
              <w:rPr>
                <w:sz w:val="14"/>
                <w:szCs w:val="14"/>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20" w:type="dxa"/>
            <w:vAlign w:val="bottom"/>
          </w:tcPr>
          <w:p>
            <w:pPr>
              <w:spacing w:after="0"/>
              <w:rPr>
                <w:sz w:val="14"/>
                <w:szCs w:val="14"/>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040" w:hanging="654"/>
        <w:spacing w:after="0" w:line="220" w:lineRule="auto"/>
        <w:tabs>
          <w:tab w:leader="none" w:pos="1040" w:val="left"/>
        </w:tabs>
        <w:numPr>
          <w:ilvl w:val="0"/>
          <w:numId w:val="7"/>
        </w:numPr>
        <w:rPr>
          <w:rFonts w:ascii="Arial" w:cs="Arial" w:eastAsia="Arial" w:hAnsi="Arial"/>
          <w:sz w:val="36"/>
          <w:szCs w:val="36"/>
          <w:color w:val="auto"/>
          <w:vertAlign w:val="subscript"/>
        </w:rPr>
      </w:pPr>
      <w:r>
        <w:rPr>
          <w:rFonts w:ascii="Arial" w:cs="Arial" w:eastAsia="Arial" w:hAnsi="Arial"/>
          <w:sz w:val="14"/>
          <w:szCs w:val="14"/>
          <w:color w:val="auto"/>
        </w:rPr>
        <w:t>Cash flow from operating activities includes lease incentives received against our capital expenditures.</w:t>
      </w:r>
    </w:p>
    <w:p>
      <w:pPr>
        <w:spacing w:after="0" w:line="2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We believe that EBITDA is useful to investors in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loss to EBITDA: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6"/>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6"/>
          </w:tcPr>
          <w:p>
            <w:pPr>
              <w:jc w:val="right"/>
              <w:ind w:right="112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7"/>
              </w:rPr>
              <w:t>October 29, 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October 31, 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October 29, 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7"/>
              </w:rPr>
              <w:t>October 31, 2015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38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(4.5)</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(5.5)</w:t>
            </w:r>
          </w:p>
        </w:tc>
        <w:tc>
          <w:tcPr>
            <w:tcW w:w="22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(4.0)</w:t>
            </w:r>
          </w:p>
        </w:tc>
        <w:tc>
          <w:tcPr>
            <w:tcW w:w="2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6"/>
        </w:trPr>
        <w:tc>
          <w:tcPr>
            <w:tcW w:w="458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4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2016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2016 Outlook: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gridSpan w:val="2"/>
          </w:tcPr>
          <w:p>
            <w:pPr>
              <w:jc w:val="center"/>
              <w:ind w:left="1748"/>
              <w:spacing w:after="0"/>
              <w:rPr>
                <w:sz w:val="20"/>
                <w:szCs w:val="20"/>
                <w:color w:val="auto"/>
              </w:rPr>
            </w:pPr>
            <w:r>
              <w:rPr>
                <w:rFonts w:ascii="Arial" w:cs="Arial" w:eastAsia="Arial" w:hAnsi="Arial"/>
                <w:sz w:val="14"/>
                <w:szCs w:val="14"/>
                <w:color w:val="auto"/>
                <w:w w:val="91"/>
              </w:rPr>
              <w:t>Projected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tcBorders>
              <w:bottom w:val="single" w:sz="8" w:color="auto"/>
            </w:tcBorders>
            <w:gridSpan w:val="2"/>
          </w:tcPr>
          <w:p>
            <w:pPr>
              <w:jc w:val="center"/>
              <w:ind w:left="1748"/>
              <w:spacing w:after="0"/>
              <w:rPr>
                <w:sz w:val="20"/>
                <w:szCs w:val="20"/>
                <w:color w:val="auto"/>
              </w:rPr>
            </w:pPr>
            <w:r>
              <w:rPr>
                <w:rFonts w:ascii="Arial" w:cs="Arial" w:eastAsia="Arial" w:hAnsi="Arial"/>
                <w:sz w:val="14"/>
                <w:szCs w:val="14"/>
                <w:color w:val="auto"/>
                <w:w w:val="92"/>
              </w:rPr>
              <w:t>Fiscal 2016</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jc w:val="right"/>
              <w:ind w:right="56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464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$(4.4)-$0.0</w:t>
            </w:r>
          </w:p>
        </w:tc>
        <w:tc>
          <w:tcPr>
            <w:tcW w:w="8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2.9-3.2</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29.9-31.0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$30.0-$33.0</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64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Net income (loss),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$(4.4)-$0.0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$(0.09)-$0.00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Adjusted net income (loss), non-GAAP basis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$(2.6)-$0.0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$(0.05)-$0.00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$34.0-$38.0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$24.6-$28.6</w:t>
            </w:r>
          </w:p>
        </w:tc>
        <w:tc>
          <w:tcPr>
            <w:tcW w:w="8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80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Free Cash Flow,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$4.0-$8.0</w:t>
            </w:r>
          </w:p>
        </w:tc>
        <w:tc>
          <w:tcPr>
            <w:tcW w:w="800" w:type="dxa"/>
            <w:vAlign w:val="bottom"/>
            <w:tcBorders>
              <w:bottom w:val="single" w:sz="8" w:color="CFF0FC"/>
            </w:tcBorders>
            <w:shd w:val="clear" w:color="auto" w:fill="CFF0FC"/>
          </w:tcPr>
          <w:p>
            <w:pPr>
              <w:spacing w:after="0"/>
              <w:rPr>
                <w:sz w:val="13"/>
                <w:szCs w:val="13"/>
                <w:color w:val="auto"/>
              </w:rPr>
            </w:pPr>
          </w:p>
        </w:tc>
        <w:tc>
          <w:tcPr>
            <w:tcW w:w="18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October 29, 2016, the interest rate on our prime based borrowings was 4.0%. At October 29, 2016, approximately $56.0 million of our outstanding borrowings were in LIBOR contracts with an interest rate of 1.96%. At October 29, 2016, we also had $13.0 million outstanding under a term loan, which bears interest at a variable rate based on one-month LIBOR rates plus 6.5%.</w:t>
      </w:r>
    </w:p>
    <w:p>
      <w:pPr>
        <w:spacing w:after="0" w:line="8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Based upon a sensitivity analysis as of October 29, 2016, assuming average outstanding borrowing during the first nine months of fiscal 2016 of $51.9 million under our Credit Facility and $13.0 million outstanding under our term loan, a 50 basis point increase in interest rates would have resulted in a potential increase in interest expense of approximately $324,500 on an annualized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Rochester Clothing store located in London, England conducts business in British pounds. As of October 29, 2016,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29, 2016.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6" w:name="page27"/>
    <w:bookmarkEnd w:id="26"/>
    <w:p>
      <w:pPr>
        <w:ind w:right="360"/>
        <w:spacing w:after="0" w:line="277" w:lineRule="auto"/>
        <w:rPr>
          <w:sz w:val="20"/>
          <w:szCs w:val="20"/>
          <w:color w:val="auto"/>
        </w:rPr>
      </w:pPr>
      <w:r>
        <w:rPr>
          <w:rFonts w:ascii="Arial" w:cs="Arial" w:eastAsia="Arial" w:hAnsi="Arial"/>
          <w:sz w:val="18"/>
          <w:szCs w:val="18"/>
          <w:color w:val="auto"/>
        </w:rPr>
        <w:t>controls and procedures. Based on this evaluation, our Chief Executive Officer and Chief Financial Officer concluded that, as of October 29, 2016, our disclosure controls and procedures were effective.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October 29, 2016 that has materially affected, or is reasonably likely to materially affect, our internal control over financial reporting.</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2015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31" w:lineRule="exact"/>
        <w:rPr>
          <w:sz w:val="20"/>
          <w:szCs w:val="20"/>
          <w:color w:val="auto"/>
        </w:rPr>
      </w:pPr>
    </w:p>
    <w:p>
      <w:pPr>
        <w:ind w:left="580" w:hanging="572"/>
        <w:spacing w:after="0" w:line="25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October 29, 2016,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DESTINATION XL GROUP, INC.</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November 18, 2016</w:t>
            </w: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By:  /S/ John F. Cooney</w:t>
            </w:r>
          </w:p>
        </w:tc>
      </w:tr>
      <w:tr>
        <w:trPr>
          <w:trHeight w:val="195"/>
        </w:trPr>
        <w:tc>
          <w:tcPr>
            <w:tcW w:w="4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6"/>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30"/>
        </w:trPr>
        <w:tc>
          <w:tcPr>
            <w:tcW w:w="4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18,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Date:November 18,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29, 2016,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18,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29, 2016,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Date:November 18,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2019-12-05T20:21:30Z</dcterms:created>
  <dcterms:modified xsi:type="dcterms:W3CDTF">2019-12-05T20:21:30Z</dcterms:modified>
</cp:coreProperties>
</file>