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AWM Investment Company,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2600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40" w:type="dxa"/>
            <w:vAlign w:val="bottom"/>
            <w:gridSpan w:val="3"/>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80" w:type="dxa"/>
            <w:vAlign w:val="bottom"/>
            <w:tcBorders>
              <w:top w:val="single" w:sz="8" w:color="0000EE"/>
            </w:tcBorders>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08/15/2022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20" w:type="dxa"/>
            <w:vAlign w:val="bottom"/>
            <w:vMerge w:val="restart"/>
          </w:tcPr>
          <w:p>
            <w:pPr>
              <w:ind w:left="120"/>
              <w:spacing w:after="0"/>
              <w:rPr>
                <w:sz w:val="20"/>
                <w:szCs w:val="20"/>
                <w:color w:val="auto"/>
              </w:rPr>
            </w:pPr>
            <w:r>
              <w:rPr>
                <w:rFonts w:ascii="Arial" w:cs="Arial" w:eastAsia="Arial" w:hAnsi="Arial"/>
                <w:sz w:val="17"/>
                <w:szCs w:val="17"/>
                <w:color w:val="0000FF"/>
              </w:rPr>
              <w:t>08/15/2022</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22"/>
                <w:szCs w:val="2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w w:val="97"/>
              </w:rPr>
              <w:t>19,502</w:t>
            </w:r>
            <w:r>
              <w:rPr>
                <w:rFonts w:ascii="Arial" w:cs="Arial" w:eastAsia="Arial" w:hAnsi="Arial"/>
                <w:sz w:val="22"/>
                <w:szCs w:val="22"/>
                <w:color w:val="008000"/>
                <w:w w:val="97"/>
                <w:vertAlign w:val="superscript"/>
              </w:rPr>
              <w:t>(2)</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40" w:type="dxa"/>
            <w:vAlign w:val="bottom"/>
            <w:vMerge w:val="restart"/>
          </w:tcPr>
          <w:p>
            <w:pPr>
              <w:ind w:left="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4.4113</w:t>
            </w:r>
            <w:r>
              <w:rPr>
                <w:rFonts w:ascii="Arial" w:cs="Arial" w:eastAsia="Arial" w:hAnsi="Arial"/>
                <w:sz w:val="22"/>
                <w:szCs w:val="22"/>
                <w:color w:val="008000"/>
                <w:w w:val="95"/>
                <w:vertAlign w:val="superscript"/>
              </w:rPr>
              <w:t>(1)</w:t>
            </w:r>
          </w:p>
        </w:tc>
        <w:tc>
          <w:tcPr>
            <w:tcW w:w="4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10,323,667</w:t>
            </w:r>
            <w:r>
              <w:rPr>
                <w:rFonts w:ascii="Arial" w:cs="Arial" w:eastAsia="Arial" w:hAnsi="Arial"/>
                <w:sz w:val="22"/>
                <w:szCs w:val="22"/>
                <w:color w:val="008000"/>
                <w:w w:val="87"/>
                <w:vertAlign w:val="superscript"/>
              </w:rPr>
              <w:t>(2)</w:t>
            </w:r>
          </w:p>
        </w:tc>
        <w:tc>
          <w:tcPr>
            <w:tcW w:w="700" w:type="dxa"/>
            <w:vAlign w:val="bottom"/>
            <w:vMerge w:val="restart"/>
          </w:tcPr>
          <w:p>
            <w:pPr>
              <w:jc w:val="center"/>
              <w:ind w:left="162"/>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260" w:type="dxa"/>
            <w:vAlign w:val="bottom"/>
            <w:gridSpan w:val="4"/>
          </w:tcPr>
          <w:p>
            <w:pPr>
              <w:ind w:left="4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20" w:type="dxa"/>
            <w:vAlign w:val="bottom"/>
            <w:vMerge w:val="restart"/>
          </w:tcPr>
          <w:p>
            <w:pPr>
              <w:ind w:left="120"/>
              <w:spacing w:after="0"/>
              <w:rPr>
                <w:sz w:val="20"/>
                <w:szCs w:val="20"/>
                <w:color w:val="auto"/>
              </w:rPr>
            </w:pPr>
            <w:r>
              <w:rPr>
                <w:rFonts w:ascii="Arial" w:cs="Arial" w:eastAsia="Arial" w:hAnsi="Arial"/>
                <w:sz w:val="17"/>
                <w:szCs w:val="17"/>
                <w:color w:val="0000FF"/>
              </w:rPr>
              <w:t>08/16/2022</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22"/>
                <w:szCs w:val="2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w w:val="97"/>
              </w:rPr>
              <w:t>20,000</w:t>
            </w:r>
            <w:r>
              <w:rPr>
                <w:rFonts w:ascii="Arial" w:cs="Arial" w:eastAsia="Arial" w:hAnsi="Arial"/>
                <w:sz w:val="22"/>
                <w:szCs w:val="22"/>
                <w:color w:val="008000"/>
                <w:w w:val="97"/>
                <w:vertAlign w:val="superscript"/>
              </w:rPr>
              <w:t>(2)</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40" w:type="dxa"/>
            <w:vAlign w:val="bottom"/>
            <w:vMerge w:val="restart"/>
          </w:tcPr>
          <w:p>
            <w:pPr>
              <w:ind w:left="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4.5272</w:t>
            </w:r>
            <w:r>
              <w:rPr>
                <w:rFonts w:ascii="Arial" w:cs="Arial" w:eastAsia="Arial" w:hAnsi="Arial"/>
                <w:sz w:val="22"/>
                <w:szCs w:val="22"/>
                <w:color w:val="008000"/>
                <w:w w:val="95"/>
                <w:vertAlign w:val="superscript"/>
              </w:rPr>
              <w:t>(1)</w:t>
            </w:r>
          </w:p>
        </w:tc>
        <w:tc>
          <w:tcPr>
            <w:tcW w:w="4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10,303,677</w:t>
            </w:r>
            <w:r>
              <w:rPr>
                <w:rFonts w:ascii="Arial" w:cs="Arial" w:eastAsia="Arial" w:hAnsi="Arial"/>
                <w:sz w:val="22"/>
                <w:szCs w:val="22"/>
                <w:color w:val="008000"/>
                <w:w w:val="87"/>
                <w:vertAlign w:val="superscript"/>
              </w:rPr>
              <w:t>(2)</w:t>
            </w:r>
          </w:p>
        </w:tc>
        <w:tc>
          <w:tcPr>
            <w:tcW w:w="700" w:type="dxa"/>
            <w:vAlign w:val="bottom"/>
            <w:vMerge w:val="restart"/>
          </w:tcPr>
          <w:p>
            <w:pPr>
              <w:jc w:val="center"/>
              <w:ind w:left="162"/>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260" w:type="dxa"/>
            <w:vAlign w:val="bottom"/>
            <w:gridSpan w:val="4"/>
          </w:tcPr>
          <w:p>
            <w:pPr>
              <w:ind w:left="4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20" w:type="dxa"/>
            <w:vAlign w:val="bottom"/>
            <w:vMerge w:val="restart"/>
          </w:tcPr>
          <w:p>
            <w:pPr>
              <w:ind w:left="120"/>
              <w:spacing w:after="0"/>
              <w:rPr>
                <w:sz w:val="20"/>
                <w:szCs w:val="20"/>
                <w:color w:val="auto"/>
              </w:rPr>
            </w:pPr>
            <w:r>
              <w:rPr>
                <w:rFonts w:ascii="Arial" w:cs="Arial" w:eastAsia="Arial" w:hAnsi="Arial"/>
                <w:sz w:val="17"/>
                <w:szCs w:val="17"/>
                <w:color w:val="0000FF"/>
              </w:rPr>
              <w:t>08/17/2022</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22"/>
                <w:szCs w:val="2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w w:val="97"/>
              </w:rPr>
              <w:t>45,000</w:t>
            </w:r>
            <w:r>
              <w:rPr>
                <w:rFonts w:ascii="Arial" w:cs="Arial" w:eastAsia="Arial" w:hAnsi="Arial"/>
                <w:sz w:val="22"/>
                <w:szCs w:val="22"/>
                <w:color w:val="008000"/>
                <w:w w:val="97"/>
                <w:vertAlign w:val="superscript"/>
              </w:rPr>
              <w:t>(2)</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40" w:type="dxa"/>
            <w:vAlign w:val="bottom"/>
            <w:vMerge w:val="restart"/>
          </w:tcPr>
          <w:p>
            <w:pPr>
              <w:ind w:left="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4.3604</w:t>
            </w:r>
            <w:r>
              <w:rPr>
                <w:rFonts w:ascii="Arial" w:cs="Arial" w:eastAsia="Arial" w:hAnsi="Arial"/>
                <w:sz w:val="22"/>
                <w:szCs w:val="22"/>
                <w:color w:val="008000"/>
                <w:w w:val="95"/>
                <w:vertAlign w:val="superscript"/>
              </w:rPr>
              <w:t>(1)</w:t>
            </w:r>
          </w:p>
        </w:tc>
        <w:tc>
          <w:tcPr>
            <w:tcW w:w="4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10,258,677</w:t>
            </w:r>
            <w:r>
              <w:rPr>
                <w:rFonts w:ascii="Arial" w:cs="Arial" w:eastAsia="Arial" w:hAnsi="Arial"/>
                <w:sz w:val="22"/>
                <w:szCs w:val="22"/>
                <w:color w:val="008000"/>
                <w:w w:val="85"/>
                <w:vertAlign w:val="superscript"/>
              </w:rPr>
              <w:t>(2)(3)</w:t>
            </w:r>
          </w:p>
        </w:tc>
        <w:tc>
          <w:tcPr>
            <w:tcW w:w="700" w:type="dxa"/>
            <w:vAlign w:val="bottom"/>
            <w:vMerge w:val="restart"/>
          </w:tcPr>
          <w:p>
            <w:pPr>
              <w:jc w:val="center"/>
              <w:ind w:left="162"/>
              <w:spacing w:after="0"/>
              <w:rPr>
                <w:sz w:val="20"/>
                <w:szCs w:val="20"/>
                <w:color w:val="auto"/>
              </w:rPr>
            </w:pPr>
            <w:r>
              <w:rPr>
                <w:rFonts w:ascii="Arial" w:cs="Arial" w:eastAsia="Arial" w:hAnsi="Arial"/>
                <w:sz w:val="34"/>
                <w:szCs w:val="34"/>
                <w:color w:val="0000FF"/>
                <w:w w:val="96"/>
                <w:vertAlign w:val="subscript"/>
              </w:rPr>
              <w:t>I</w:t>
            </w:r>
            <w:r>
              <w:rPr>
                <w:rFonts w:ascii="Arial" w:cs="Arial" w:eastAsia="Arial" w:hAnsi="Arial"/>
                <w:sz w:val="11"/>
                <w:szCs w:val="11"/>
                <w:color w:val="008000"/>
                <w:w w:val="96"/>
              </w:rPr>
              <w:t>(2)(3)</w:t>
            </w:r>
          </w:p>
        </w:tc>
        <w:tc>
          <w:tcPr>
            <w:tcW w:w="240" w:type="dxa"/>
            <w:vAlign w:val="bottom"/>
          </w:tcPr>
          <w:p>
            <w:pPr>
              <w:spacing w:after="0"/>
              <w:rPr>
                <w:sz w:val="22"/>
                <w:szCs w:val="22"/>
                <w:color w:val="auto"/>
              </w:rPr>
            </w:pPr>
          </w:p>
        </w:tc>
        <w:tc>
          <w:tcPr>
            <w:tcW w:w="1260" w:type="dxa"/>
            <w:vAlign w:val="bottom"/>
            <w:gridSpan w:val="4"/>
          </w:tcPr>
          <w:p>
            <w:pPr>
              <w:ind w:left="4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4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20" w:type="dxa"/>
            <w:vAlign w:val="bottom"/>
            <w:gridSpan w:val="14"/>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Average price transaction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6,151,324 shares of Common Stock of the Issuer (the Shares) held by SSFQP, 2,086,858 Shares held by Cay and 2,020,495 Shares held by SSPE.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Adam Stettner</w:t>
            </w:r>
          </w:p>
        </w:tc>
        <w:tc>
          <w:tcPr>
            <w:tcW w:w="10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08/17/2022</w:t>
            </w: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David Greenhouse</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08/17/2022</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2022-08-17T15:50:46Z</dcterms:created>
  <dcterms:modified xsi:type="dcterms:W3CDTF">2022-08-17T15:50:46Z</dcterms:modified>
</cp:coreProperties>
</file>