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1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3,897,214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3,898,214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3,909,414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3,913,014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3,919,014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3,930,714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3,934,714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3,937,714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3,942,914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3,943,214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21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25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7Title.Title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140" w:type="dxa"/>
            <w:vAlign w:val="bottom"/>
            <w:gridSpan w:val="11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8000"/>
              </w:rPr>
              <w:t>The Reporting Person is an indirect controlling shareholder of Jewelcor Management, Inc., a holder of more than 10% of the Issuer's common stock.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highlight w:val="white"/>
              </w:rPr>
              <w:t>Richard Huffsmith, Attorney-</w:t>
            </w: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000000"/>
                <w:vertAlign w:val="superscript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0000FF"/>
                <w:highlight w:val="white"/>
              </w:rPr>
              <w:t>12/08/2004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"/>
                <w:szCs w:val="1"/>
                <w:color w:val="0000FF"/>
                <w:highlight w:val="white"/>
              </w:rPr>
              <w:t>in-Fact for Seymour Holtzman</w:t>
            </w: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4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Instruction 6 for procedu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0" w:type="dxa"/>
            <w:vAlign w:val="bottom"/>
            <w:gridSpan w:val="19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2019-12-16T05:10:00Z</dcterms:created>
  <dcterms:modified xsi:type="dcterms:W3CDTF">2019-12-16T05:10:00Z</dcterms:modified>
</cp:coreProperties>
</file>