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ANNUAL REPORT PURSUANT TO SECTION 13 OR 15(d)</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fiscal year ended February 3, 2001 (Fiscal 2001)</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0-15898</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0" w:gutter="0" w:footer="0" w:header="0"/>
        </w:sectPr>
      </w:pP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04-2623104</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540" w:space="720"/>
            <w:col w:w="4979"/>
          </w:cols>
          <w:pgMar w:left="220" w:top="395" w:right="1440" w:bottom="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66 B Street, Needham, MA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02494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4880" w:space="720"/>
            <w:col w:w="4639"/>
          </w:cols>
          <w:pgMar w:left="220" w:top="395" w:right="1440" w:bottom="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(781) 444-7222</w:t>
      </w:r>
    </w:p>
    <w:p>
      <w:pPr>
        <w:sectPr>
          <w:pgSz w:w="11900" w:h="16838" w:orient="portrait"/>
          <w:cols w:equalWidth="0" w:num="1">
            <w:col w:w="10239"/>
          </w:cols>
          <w:pgMar w:left="220" w:top="395" w:right="1440" w:bottom="0" w:gutter="0" w:footer="0" w:header="0"/>
          <w:type w:val="continuous"/>
        </w:sectPr>
      </w:pP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Common Stock, $0.01 par value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(Title of each Class)</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65" w:lineRule="exact"/>
        <w:rPr>
          <w:sz w:val="24"/>
          <w:szCs w:val="24"/>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aggregate market value of the voting stock of the registrant held by non-affiliates of the registrant, based on the last sales price of such stock on April 20, 2001, was approximately $22.6 million.</w:t>
      </w:r>
    </w:p>
    <w:p>
      <w:pPr>
        <w:spacing w:after="0" w:line="163" w:lineRule="exact"/>
        <w:rPr>
          <w:sz w:val="24"/>
          <w:szCs w:val="24"/>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registrant had 14,456,919 shares of Common Stock, $0.01 par value, outstanding as of April 20, 2001.</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4220" w:type="dxa"/>
            <w:vAlign w:val="bottom"/>
          </w:tcPr>
          <w:p>
            <w:pPr>
              <w:ind w:left="2020"/>
              <w:spacing w:after="0"/>
              <w:rPr>
                <w:sz w:val="20"/>
                <w:szCs w:val="20"/>
                <w:color w:val="auto"/>
              </w:rPr>
            </w:pPr>
            <w:r>
              <w:rPr>
                <w:rFonts w:ascii="Courier New" w:cs="Courier New" w:eastAsia="Courier New" w:hAnsi="Courier New"/>
                <w:sz w:val="14"/>
                <w:szCs w:val="14"/>
                <w:color w:val="auto"/>
              </w:rPr>
              <w:t>continued</w:t>
            </w:r>
          </w:p>
        </w:tc>
        <w:tc>
          <w:tcPr>
            <w:tcW w:w="216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806"/>
        </w:trPr>
        <w:tc>
          <w:tcPr>
            <w:tcW w:w="1080" w:type="dxa"/>
            <w:vAlign w:val="bottom"/>
          </w:tcPr>
          <w:p>
            <w:pPr>
              <w:spacing w:after="0"/>
              <w:rPr>
                <w:sz w:val="24"/>
                <w:szCs w:val="24"/>
                <w:color w:val="auto"/>
              </w:rPr>
            </w:pPr>
          </w:p>
        </w:tc>
        <w:tc>
          <w:tcPr>
            <w:tcW w:w="4220" w:type="dxa"/>
            <w:vAlign w:val="bottom"/>
          </w:tcPr>
          <w:p>
            <w:pPr>
              <w:ind w:left="900"/>
              <w:spacing w:after="0"/>
              <w:rPr>
                <w:sz w:val="20"/>
                <w:szCs w:val="20"/>
                <w:color w:val="auto"/>
              </w:rPr>
            </w:pPr>
            <w:r>
              <w:rPr>
                <w:rFonts w:ascii="Courier New" w:cs="Courier New" w:eastAsia="Courier New" w:hAnsi="Courier New"/>
                <w:sz w:val="14"/>
                <w:szCs w:val="14"/>
                <w:color w:val="auto"/>
              </w:rPr>
              <w:t>DOCUMENTS INCORPORATED BY REFERENCE</w:t>
            </w:r>
          </w:p>
        </w:tc>
        <w:tc>
          <w:tcPr>
            <w:tcW w:w="21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6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Form 10-K Requirement</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Incorporated Document</w:t>
            </w:r>
          </w:p>
        </w:tc>
        <w:tc>
          <w:tcPr>
            <w:tcW w:w="2540" w:type="dxa"/>
            <w:vAlign w:val="bottom"/>
          </w:tcPr>
          <w:p>
            <w:pPr>
              <w:spacing w:after="0"/>
              <w:rPr>
                <w:sz w:val="24"/>
                <w:szCs w:val="24"/>
                <w:color w:val="auto"/>
              </w:rPr>
            </w:pP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7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4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4220" w:type="dxa"/>
            <w:vAlign w:val="bottom"/>
          </w:tcPr>
          <w:p>
            <w:pPr>
              <w:ind w:left="400"/>
              <w:spacing w:after="0"/>
              <w:rPr>
                <w:sz w:val="20"/>
                <w:szCs w:val="20"/>
                <w:color w:val="auto"/>
              </w:rPr>
            </w:pPr>
            <w:r>
              <w:rPr>
                <w:rFonts w:ascii="Courier New" w:cs="Courier New" w:eastAsia="Courier New" w:hAnsi="Courier New"/>
                <w:sz w:val="14"/>
                <w:szCs w:val="14"/>
                <w:color w:val="auto"/>
              </w:rPr>
              <w:t>Directors and Executive</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All information under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the caption</w:t>
            </w:r>
          </w:p>
        </w:tc>
      </w:tr>
      <w:tr>
        <w:trPr>
          <w:trHeight w:val="166"/>
        </w:trPr>
        <w:tc>
          <w:tcPr>
            <w:tcW w:w="1080" w:type="dxa"/>
            <w:vAlign w:val="bottom"/>
          </w:tcPr>
          <w:p>
            <w:pPr>
              <w:spacing w:after="0"/>
              <w:rPr>
                <w:sz w:val="14"/>
                <w:szCs w:val="14"/>
                <w:color w:val="auto"/>
              </w:rPr>
            </w:pPr>
          </w:p>
        </w:tc>
        <w:tc>
          <w:tcPr>
            <w:tcW w:w="4220" w:type="dxa"/>
            <w:vAlign w:val="bottom"/>
          </w:tcPr>
          <w:p>
            <w:pPr>
              <w:ind w:left="400"/>
              <w:spacing w:after="0"/>
              <w:rPr>
                <w:sz w:val="20"/>
                <w:szCs w:val="20"/>
                <w:color w:val="auto"/>
              </w:rPr>
            </w:pPr>
            <w:r>
              <w:rPr>
                <w:rFonts w:ascii="Courier New" w:cs="Courier New" w:eastAsia="Courier New" w:hAnsi="Courier New"/>
                <w:sz w:val="14"/>
                <w:szCs w:val="14"/>
                <w:color w:val="auto"/>
              </w:rPr>
              <w:t>Officers</w:t>
            </w: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"Election of Directors" in the Company's definitive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Proxy Statement which</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is expected to be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filed within 120 days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of the end of the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fiscal year ended February 3, 2001.</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4220" w:type="dxa"/>
            <w:vAlign w:val="bottom"/>
          </w:tcPr>
          <w:p>
            <w:pPr>
              <w:ind w:left="400"/>
              <w:spacing w:after="0"/>
              <w:rPr>
                <w:sz w:val="20"/>
                <w:szCs w:val="20"/>
                <w:color w:val="auto"/>
              </w:rPr>
            </w:pPr>
            <w:r>
              <w:rPr>
                <w:rFonts w:ascii="Courier New" w:cs="Courier New" w:eastAsia="Courier New" w:hAnsi="Courier New"/>
                <w:sz w:val="14"/>
                <w:szCs w:val="14"/>
                <w:color w:val="auto"/>
              </w:rPr>
              <w:t>Executive Compensation</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All information under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the caption</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"Executive Compensation" in the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Company's definitive Proxy Statement</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which is expected to be filed within</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120 days of the end of the fiscal</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year ended February 3, 2001.</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4220" w:type="dxa"/>
            <w:vAlign w:val="bottom"/>
          </w:tcPr>
          <w:p>
            <w:pPr>
              <w:ind w:left="400"/>
              <w:spacing w:after="0"/>
              <w:rPr>
                <w:sz w:val="20"/>
                <w:szCs w:val="20"/>
                <w:color w:val="auto"/>
              </w:rPr>
            </w:pPr>
            <w:r>
              <w:rPr>
                <w:rFonts w:ascii="Courier New" w:cs="Courier New" w:eastAsia="Courier New" w:hAnsi="Courier New"/>
                <w:sz w:val="14"/>
                <w:szCs w:val="14"/>
                <w:color w:val="auto"/>
              </w:rPr>
              <w:t>Security Ownership of</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All information under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the caption</w:t>
            </w:r>
          </w:p>
        </w:tc>
      </w:tr>
      <w:tr>
        <w:trPr>
          <w:trHeight w:val="166"/>
        </w:trPr>
        <w:tc>
          <w:tcPr>
            <w:tcW w:w="1080" w:type="dxa"/>
            <w:vAlign w:val="bottom"/>
          </w:tcPr>
          <w:p>
            <w:pPr>
              <w:spacing w:after="0"/>
              <w:rPr>
                <w:sz w:val="14"/>
                <w:szCs w:val="14"/>
                <w:color w:val="auto"/>
              </w:rPr>
            </w:pPr>
          </w:p>
        </w:tc>
        <w:tc>
          <w:tcPr>
            <w:tcW w:w="4220" w:type="dxa"/>
            <w:vAlign w:val="bottom"/>
          </w:tcPr>
          <w:p>
            <w:pPr>
              <w:ind w:left="400"/>
              <w:spacing w:after="0"/>
              <w:rPr>
                <w:sz w:val="20"/>
                <w:szCs w:val="20"/>
                <w:color w:val="auto"/>
              </w:rPr>
            </w:pPr>
            <w:r>
              <w:rPr>
                <w:rFonts w:ascii="Courier New" w:cs="Courier New" w:eastAsia="Courier New" w:hAnsi="Courier New"/>
                <w:sz w:val="14"/>
                <w:szCs w:val="14"/>
                <w:color w:val="auto"/>
              </w:rPr>
              <w:t>Certain Beneficial Owners and Management</w:t>
            </w: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"Security Ownership of Certain</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Beneficial Owners and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Management"</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 the Company's definitive Proxy</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Statement which is expected to be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filed within 120 days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of the end of the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fiscal year ended February 3, 2001.</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4220" w:type="dxa"/>
            <w:vAlign w:val="bottom"/>
          </w:tcPr>
          <w:p>
            <w:pPr>
              <w:ind w:left="400"/>
              <w:spacing w:after="0"/>
              <w:rPr>
                <w:sz w:val="20"/>
                <w:szCs w:val="20"/>
                <w:color w:val="auto"/>
              </w:rPr>
            </w:pPr>
            <w:r>
              <w:rPr>
                <w:rFonts w:ascii="Courier New" w:cs="Courier New" w:eastAsia="Courier New" w:hAnsi="Courier New"/>
                <w:sz w:val="14"/>
                <w:szCs w:val="14"/>
                <w:color w:val="auto"/>
              </w:rPr>
              <w:t>Certain Relationships and</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All information under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the caption</w:t>
            </w:r>
          </w:p>
        </w:tc>
      </w:tr>
      <w:tr>
        <w:trPr>
          <w:trHeight w:val="166"/>
        </w:trPr>
        <w:tc>
          <w:tcPr>
            <w:tcW w:w="1080" w:type="dxa"/>
            <w:vAlign w:val="bottom"/>
          </w:tcPr>
          <w:p>
            <w:pPr>
              <w:spacing w:after="0"/>
              <w:rPr>
                <w:sz w:val="14"/>
                <w:szCs w:val="14"/>
                <w:color w:val="auto"/>
              </w:rPr>
            </w:pPr>
          </w:p>
        </w:tc>
        <w:tc>
          <w:tcPr>
            <w:tcW w:w="4220" w:type="dxa"/>
            <w:vAlign w:val="bottom"/>
          </w:tcPr>
          <w:p>
            <w:pPr>
              <w:ind w:left="400"/>
              <w:spacing w:after="0"/>
              <w:rPr>
                <w:sz w:val="20"/>
                <w:szCs w:val="20"/>
                <w:color w:val="auto"/>
              </w:rPr>
            </w:pPr>
            <w:r>
              <w:rPr>
                <w:rFonts w:ascii="Courier New" w:cs="Courier New" w:eastAsia="Courier New" w:hAnsi="Courier New"/>
                <w:sz w:val="14"/>
                <w:szCs w:val="14"/>
                <w:color w:val="auto"/>
              </w:rPr>
              <w:t>Related Transactions</w:t>
            </w: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"Certain Relationships and Related</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Transactions" in the Company's definitive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Proxy Statement which</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is expected to be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filed within 120 days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of the end of the</w:t>
            </w:r>
          </w:p>
        </w:tc>
      </w:tr>
      <w:tr>
        <w:trPr>
          <w:trHeight w:val="166"/>
        </w:trPr>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fiscal year ended February 3, 2001.</w:t>
            </w:r>
          </w:p>
        </w:tc>
      </w:tr>
      <w:tr>
        <w:trPr>
          <w:trHeight w:val="663"/>
        </w:trPr>
        <w:tc>
          <w:tcPr>
            <w:tcW w:w="1080" w:type="dxa"/>
            <w:vAlign w:val="bottom"/>
          </w:tcPr>
          <w:p>
            <w:pPr>
              <w:spacing w:after="0"/>
              <w:rPr>
                <w:sz w:val="24"/>
                <w:szCs w:val="24"/>
                <w:color w:val="auto"/>
              </w:rPr>
            </w:pPr>
          </w:p>
        </w:tc>
        <w:tc>
          <w:tcPr>
            <w:tcW w:w="4220" w:type="dxa"/>
            <w:vAlign w:val="bottom"/>
          </w:tcPr>
          <w:p>
            <w:pPr>
              <w:ind w:left="2280"/>
              <w:spacing w:after="0"/>
              <w:rPr>
                <w:sz w:val="20"/>
                <w:szCs w:val="20"/>
                <w:color w:val="auto"/>
              </w:rPr>
            </w:pPr>
            <w:r>
              <w:rPr>
                <w:rFonts w:ascii="Courier New" w:cs="Courier New" w:eastAsia="Courier New" w:hAnsi="Courier New"/>
                <w:sz w:val="14"/>
                <w:szCs w:val="14"/>
                <w:color w:val="auto"/>
              </w:rPr>
              <w:t>2</w:t>
            </w:r>
          </w:p>
        </w:tc>
        <w:tc>
          <w:tcPr>
            <w:tcW w:w="216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0239"/>
          </w:cols>
          <w:pgMar w:left="220" w:top="395"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8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DESIGNS, INC.</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r>
      <w:tr>
        <w:trPr>
          <w:trHeight w:val="331"/>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8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Index to Annual Report on Form 10-K</w:t>
            </w:r>
          </w:p>
        </w:tc>
        <w:tc>
          <w:tcPr>
            <w:tcW w:w="34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8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Year Ended February 3, 2001</w:t>
            </w:r>
          </w:p>
        </w:tc>
        <w:tc>
          <w:tcPr>
            <w:tcW w:w="340" w:type="dxa"/>
            <w:vAlign w:val="bottom"/>
          </w:tcPr>
          <w:p>
            <w:pPr>
              <w:spacing w:after="0"/>
              <w:rPr>
                <w:sz w:val="14"/>
                <w:szCs w:val="14"/>
                <w:color w:val="auto"/>
              </w:rPr>
            </w:pP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3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Business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Properties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Legal Proceedings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Submission of Matters to a Vote of Security Holders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3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Stockholder Matters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Selected Financial Data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Management's Discussion and Analysis of</w:t>
            </w:r>
          </w:p>
        </w:tc>
        <w:tc>
          <w:tcPr>
            <w:tcW w:w="34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Financial Condition and Results of Operations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Quantitative and Qualitative Disclosures About Market Risk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Financial Statements and Supplementary Data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Changes in and Disagreements with Accountants</w:t>
            </w:r>
          </w:p>
        </w:tc>
        <w:tc>
          <w:tcPr>
            <w:tcW w:w="34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on Accounting and Financial Disclosure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497"/>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3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Directors and Executive Officers of the Registrant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Executive Compensation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Security Ownership of Certain Beneficial Owners</w:t>
            </w:r>
          </w:p>
        </w:tc>
        <w:tc>
          <w:tcPr>
            <w:tcW w:w="34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and Management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Certain Relationships and Related Transactions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820" w:type="dxa"/>
            <w:vAlign w:val="bottom"/>
          </w:tcPr>
          <w:p>
            <w:pPr>
              <w:spacing w:after="0"/>
              <w:rPr>
                <w:sz w:val="24"/>
                <w:szCs w:val="2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information called for by Items 10, 11, 12 and 13, to</w:t>
            </w:r>
          </w:p>
        </w:tc>
        <w:tc>
          <w:tcPr>
            <w:tcW w:w="34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extent not included in this document, is incorporated</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herein by reference to the Company's definitive proxy</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statement which is expected to be filed within 120 days</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after the end of the Company's fiscal year ending February</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3,</w:t>
            </w:r>
          </w:p>
        </w:tc>
        <w:tc>
          <w:tcPr>
            <w:tcW w:w="5380" w:type="dxa"/>
            <w:vAlign w:val="bottom"/>
          </w:tcPr>
          <w:p>
            <w:pPr>
              <w:jc w:val="right"/>
              <w:ind w:right="492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14"/>
                <w:szCs w:val="14"/>
                <w:color w:val="auto"/>
              </w:rPr>
            </w:pP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3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Exhibits, Financial Statement Schedules, and Reports on</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57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8-K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497"/>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8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Designs, Inc. (together with its subsidiaries, the "Company") is a retailer based in the United States selling quality branded apparel and accessories made exclusively by Levi Strauss &amp; Co., and other manufacturers licensed by Levi Strauss &amp; Co. The Company markets a broad selection of Levi Strauss &amp; Co. brand merchandise through outlet and factory stores under the names "Levi's(R)/Dockers(R) Outlet by Designs," "Levi's(R) Outlet by Designs," "Dockers(R) Outlet by Designs" and "Levi's(R)/Dockers(R) Factory Store by Designs." The Company uses certain Levi Strauss &amp; Co. trademarks, sells exclusively Levi Strauss &amp; Co. merchandise, and markets the Levi Strauss &amp; Co. brand products pursuant to a license agreement with Levi Strauss &amp; Co. Currently, the Company markets and sells Levi Strauss &amp; Co. branded products at its 102 stores located throughout the eastern half of the United States and Puerto Rico.</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had incurred approximately $85 million in operating losses during the fiscal years of 1998, 1999, and 2000 as a result of its strategy to market and sell merchandise unrelated to Levi Strauss &amp; Co. Starting in May 1995, with the acquisition of the Boston Traders(R) brand, inclusive of certain retail stores, from Boston Trading, Ltd. Inc., the Company embarked on a private label diversification strategy concept that was later abandoned in fiscal year 1998, when the Company began closing the Boston Trading Co. and Boston Traders Outlet stores, eliminating all other brand name apparel (other than Levi's(R), Dockers(R) and Slates(R)) and ultimately returning to its core competency of marketing and selling exclusively Levi Strauss &amp; Co. merchandise product.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October 1999, the stockholders of the Company elected a new board of directors and then in April 2000 appointed a new Chairman of the Board in addition to a new Chief Executive Officer and President of the Company. Under new management, the Company has renewed its strategy of marketing and selling exclusively Levi Strauss &amp; Co. branded merchandise products, expanding its retail presence of selling Levi Strauss &amp; Co. products, and remodeling existing store formats to better present and market Levi Strauss &amp; Co. branded merchandise.</w:t>
      </w:r>
    </w:p>
    <w:p>
      <w:pPr>
        <w:spacing w:after="0" w:line="33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used throughout this annual report on Form 10-K, the terms fiscal 2001, 2000 and 1999 refer to the Company's twelve month periods ended February 3, 2001, January 29, 2000 and January 30, 1999,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Formats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Company's Levi's(R) Outlet by Designs and Dockers(R) Outlet by Designs stores are located in outlet centers which are primarily in the eastern part of the United States. In fiscal 2001, the Company also expanded its territory by opening its first store in Puerto Rico. All of the Company's stores exclusively sell Levi Strauss &amp; Co. branded apparel purchased from Levi Strauss &amp; Co. and its licensees. Two years ago, the Company began to update its existing chain of stores to a new store prototype, the Levi's(R)/Dockers(R) Outlet by Designs store. The Company's new prototype, which is generally 8,000 to 9,000 square feet, is a combined Dockers(R) Outlet store and Levi's(R) Outlet store that separately displays each brand in its own unique environment. This differs from the Company's older Levi's(R) Outlet store format, which averages 10,000 to 12,000 square feet and has no prominent marketing of the individual Levi's(R), Dockers(R) and Slates(R) brands. By updating the store fixtures and enhancing visual merchandising, the strong identity of each brand is maximized for the customer. The total average square footage of the chain has decreased to approximately 9,700 as the Company opens new stores and remodels its existing stores to the smaller, more profitable prototype.</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 w:name="page4"/>
    <w:bookmarkEnd w:id="3"/>
    <w:p>
      <w:pPr>
        <w:ind w:right="3339"/>
        <w:spacing w:after="0" w:line="250" w:lineRule="auto"/>
        <w:rPr>
          <w:sz w:val="20"/>
          <w:szCs w:val="20"/>
          <w:color w:val="auto"/>
        </w:rPr>
      </w:pPr>
      <w:r>
        <w:rPr>
          <w:rFonts w:ascii="Courier New" w:cs="Courier New" w:eastAsia="Courier New" w:hAnsi="Courier New"/>
          <w:sz w:val="14"/>
          <w:szCs w:val="14"/>
          <w:color w:val="auto"/>
        </w:rPr>
        <w:t>At February 3, 2001, the Company operated 102 stores of which 34 are in the new Levi's(R)/Dockers(R) Outlet by Designs store format. The Company also operates 14 Dockers(R) Outlet stores, which sell exclusively Dockers(R) and Slates(R) brand products, and 15 Levi's(R) Outlet stores, which sell exclusively Levi's(R) brand product. Several of these smaller Dockers(R) and Levi's(R) only stores are located in the same outlet center and a few are even adjacent to each other. In January 2001, the Company combined three pairs of its standalone Dockers(R) and Levi's(R) outlet stores that were adjacent to each other into three Levi's(R)/Dockers(R) Outlet stores. By combining the individual stores into one store, the Company was able to reduce total square footage, reduce labor costs and provide a cross-over environment for the brands. The Company will continue to review other opportunities to combine similar store locations. The remaining 39 stores are the older Levi's(R) Outlet stores that carry a combination of Levi's(R), Dockers(R) and Slates(R) apparel. The Company plans to continue to update its store base by remodeling its remaining older stores to the new format, relocating or closing stores and combining the individual Dockers(R) and Levi's(R) outlet stores where feasible.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operated 103 outlet stores under the names, "Levi's(R) Outlet by Designs," "Dockers(R) Outlet by Designs" and "Levi's(R)/Dockers(R) Outlet by Designs" in fiscal 2000 and 95 of these outlets in fiscal 1999. In fiscal 1999, the Company also operated 18 stores, under various names such as "Buffalo Jeans(R) Factory Outlets," "Boston Trading Co.(R)," "Designs/BTC(TM)" and "Boston Traders(R) Outlet stores." These 18 stores were closed as part of the Company's store closing program initiated in fiscal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Expansion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2001, the Company opened six new Levi's(R)/Dockers(R) Outlet stores, remodeled nine of its older locations and completed the combination of stores in three centers where the Company had adjoining Dockers(R) Outlet stores with Levi's(R) Outlet stores. In fiscal 2002, the Company expects to remodel or relocate up to an additional eleven stores and combine two additional Dockers(R) and Levi's(R) outlet store pairs. In addition, the Company has also opened three new stores in fiscal 2002 and plans to open an additional two new stores, one of which will be an additional location in Puerto Rico which is tentatively scheduled to open in August 2001.</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capital expenditures for fiscal 2002 related to these new and remodeled stores are expected to total approximately $6.0 million. The Company continually evaluates the performance of its stores and may, from time to time, decide to close or reduce the size of or remodel certain store locations.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Base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believes that its customer base primarily reflects that of the Levi's(R), Dockers(R) and Slates(R) brand customer. The Company's Levi's(R) and Dockers(R) Outlet stores also attract foreign travelers looking for these well-known brands. The product selection offered in these stores is designed to satisfy the casual apparel needs of customers in all age groups and income brackets.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Merchandising</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offers exclusively a selection of Levi Strauss &amp; Co. brands of merchandise which include Levis (R), Dockers(R) and Slates(R). The Levis Strauss</w:t>
      </w:r>
    </w:p>
    <w:p>
      <w:pPr>
        <w:spacing w:after="0" w:line="1" w:lineRule="exact"/>
        <w:rPr>
          <w:sz w:val="20"/>
          <w:szCs w:val="20"/>
          <w:color w:val="auto"/>
        </w:rPr>
      </w:pPr>
    </w:p>
    <w:p>
      <w:pPr>
        <w:ind w:right="3339" w:firstLine="8"/>
        <w:spacing w:after="0" w:line="250" w:lineRule="auto"/>
        <w:tabs>
          <w:tab w:leader="none" w:pos="17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brands target customers in all age groups and income levels. The Levis (R) brand includes various men's and women's jeanswear products as well as an assortment of woven and knit tops and accessories. Much of the jeanswear sold by the Company is from the Levis(R) Red Tab(TM) product lines. The Dockers(R) brand includes a broad range of casual khaki pants and are complemented by a variety of tops and seasonal pant products in a range of fits, fabrics, colors and styles. The Dockers(R) brand is primarily targeted towards the casual workplace attire customer. According to a 2000 report by the Society for Human Resource Managers, approximately 80% of U.S. workplaces today allow casual business wear at least one day a week. The Slates(R) brand collection of pants, shirts, sweaters and outerwear combines contemporary styles with modern fabrics and colors. The Slates(R) brand for both men and women targets the 25- to</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34-year-old consumer's desire for a younger and more sophisticated casual look.</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 w:name="page5"/>
    <w:bookmarkEnd w:id="4"/>
    <w:p>
      <w:pPr>
        <w:ind w:right="3339"/>
        <w:spacing w:after="0" w:line="250" w:lineRule="auto"/>
        <w:rPr>
          <w:sz w:val="20"/>
          <w:szCs w:val="20"/>
          <w:color w:val="auto"/>
        </w:rPr>
      </w:pPr>
      <w:r>
        <w:rPr>
          <w:rFonts w:ascii="Courier New" w:cs="Courier New" w:eastAsia="Courier New" w:hAnsi="Courier New"/>
          <w:sz w:val="14"/>
          <w:szCs w:val="14"/>
          <w:color w:val="auto"/>
        </w:rPr>
        <w:t>The Company's merchandise sales performance is partially dependent upon the acceptance and growth of the Levi Strauss &amp; Co. brands of merchandise. Since 1996, Levi Strauss &amp; Co., sales have declined 35% from approximately $7.1 billion to $4.6 billion for that company's year ended November 26, 2000. The Levi Strauss &amp; Co. brands have significant competition across all brands from private labels and fashion labels which include VF Corporation, marketer of the Lee, Wrangler and Rustler brands; fashion-oriented designer apparel marketers, including Polo Ralph Lauren Corporation, Calvin Klein, Nautica Enterprises, Guess?, Inc. and Tommy Hilfiger Corp.; vertically integrated specialty stores, including Gap Inc., Abercrombie &amp; Fitch, American Eagle Outfitters Inc., J. Crew and Eddie Bauer, Inc.; lower-volume but high visibility fashion-forward jeanswear brands that appeal to the teenage market, including the FUBU, JNCO, Lucky, MUDD and Diesel brands; casual wear manufacturers, including Haggar Corp., Liz Claiborne, Inc. and Savane International Corp.; retailer private labels, including J.C. Penney's Arizona brand and Sears' Canyon River Blues and Canyon River Khakis brands; and mass merchandisers, including Wal-Mart Stores, Inc., Target and Kmart. However, Levi Strauss &amp; Co. has placed great emphasis on its business turnaround strategy through supply chain improvements, product innovation, new marketing campaigns and improved retail presentation.</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Through the Company's license agreement with Levi Strauss &amp; Co., merchandise product is made available to the Company throughout the year. The Company has worked closely with Levi Strauss &amp; Co. to make wider assortments of its brand offerings regularly available to the Company. As a result of these efforts, the Company believes that its comparative sales performance will improve in the second half of fiscal 2002 since many of the merchandising initiatives developed in conjunction with Levi Strauss &amp; Co. are scheduled for the Fall and Holiday selling seasons. However, quarterly comparisons will likely be unfavorable during the first half of the fiscal year, because the comparison will be against prior-year sales and margins which benefited from significant price reductions on inventories for which reserves were established at the end of fiscal 2000. In addition, sales have been significantly impacted in all of the Company's retail locations due to the liquidation of Bugle Boy, a 300-store retail chain selling similar categories of casual apparel. Therefore, in the first quarter of fiscal 2002 we expect comparable store sales to reflect declines approximating in the mid-teens.</w:t>
      </w:r>
    </w:p>
    <w:p>
      <w:pPr>
        <w:spacing w:after="0" w:line="32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has historically purchased manufacturing overruns, discontinued lines and irregulars from Levi Strauss &amp; Co. at wholesale cost which has historically been much less than the wholesale cost of other merchandise purchases from Levi Strauss &amp; Co. The Company's gross margins have been influenced in part by the varying availability of this lower wholesale cost merchandise from Levi Strauss &amp; Co. If the availability of that merchandise is decreased, the Company's gross margin percentages could be negatively impacted in the future.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August 2000, the Company opened a new 60,000 square foot distribution facility in Orlando, Florida for the purpose of distributing much of the Company's purchases of jeanswear and casual slacks to its stores. Prior to opening this facility, much of this product was shipped directly to the stores. The new distribution facility was opened with the objective of better controlling the Company's purchases and improving its inventory management. The Company also utilizes a third party vendor to operate a 30,000 square foot distribution center in Mansfield, Massachusetts.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distribution strategy is (1) to maintain warehouse facilities to regulate the flow of merchandise into the stores to facilitate store level handling, and (2) to flow through (cross-dock) the higher volume product in order to maintain optimum inventory levels in the stores and maximize sales.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 License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operates under a trademark license agreement with Levi Strauss &amp; Co., which was most recently amended in October 1998 (as amended, the "Outlet License Agreement"). This Outlet License Agreement authorizes the Company to use certain Levi Strauss &amp; Co. trademarks in connection with the operation of the Company's Levi's(R) Outlet by Designs and Dockers(R) Outlet by Designs stores in 25 states in the eastern portion of the United States and in Puerto Rico. Subject to certain default provisions, the term of the Outlet License Agreement was extended to September 30, 2004, and the license for any particular store is the period co-terminous with the lease term for such store (including extension options). The Outlet License Agreement now provides that the Company has the opportunity to extend the term of the license associated with one or more of the Company's older Levi's(R) Outlet by Designs stores by either renovating the store or replacing the store with a new store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5" w:name="page6"/>
    <w:bookmarkEnd w:id="5"/>
    <w:p>
      <w:pPr>
        <w:ind w:right="3339"/>
        <w:spacing w:after="0" w:line="251" w:lineRule="auto"/>
        <w:rPr>
          <w:sz w:val="20"/>
          <w:szCs w:val="20"/>
          <w:color w:val="auto"/>
        </w:rPr>
      </w:pPr>
      <w:r>
        <w:rPr>
          <w:rFonts w:ascii="Courier New" w:cs="Courier New" w:eastAsia="Courier New" w:hAnsi="Courier New"/>
          <w:sz w:val="14"/>
          <w:szCs w:val="14"/>
          <w:color w:val="auto"/>
        </w:rPr>
        <w:t>that has updated format and fixturing. In order to extend the license associated with each of the Company's 59 older outlet stores, the Company must, subject to certain grace periods, complete these renovations or the construction of replacement stores by December 31, 2004. As leases expire, the Company may lose the right to use the Levi's(R) trademark in connection with certain Levi's(R) Outlet by Designs stores and Dockers(R) Outlet by Designs stores. At February 3, 2001, the average remaining lease term (including extension options) of the Company's Levi's(R) Outlet by Designs and Dockers(R) Outlet by Designs stores was approximately 8.8 years.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with the approval of Levi Strauss &amp; Co., initiated a program to remodel its existing outlet store base in fiscal 1999. This program allows the Company to substitute new locations in the Company's existing territory for older locations in maturing centers as management deems it appropriate to do. See "Store Formats" above for more discussion concerning the Company's progress with its remodel program.</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Levi Strauss &amp; Co. are presently in discussions aimed at re-negotiating the Outlet License Agreement in certain respects. The Company anticipates that the main areas of focus within the agreement will be (i) product availability and selection, (ii) expansion of the Company's existing territorial rights, (iii) price structure for wholesale merchandise and (iv) the extension of the term of the Outlet License Agreement, although no agreement regarding such matters have been reached.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"Dockers(R)," "Levi's(R)" and "Slates(R)" are registered trademarks of Levi Strauss &amp; Co.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Operations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currently employs one Vice President and Director of Store Operations who reports directly to the President and Chief Executive Officer of the Company. Two regional managers, who report to the Vice President and Director of Store Operations, are responsible for the operations and profitability of stores within specific geographic regions.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order to provide management development and guidance to individual store managers, the Company employs approximately 12 district managers. Each district manager is responsible for hiring and developing store managers at the stores assigned to that district manager's area and for the sales and overall profitability of those stores. District managers report directly to a regional manager.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stores utilize interior design and merchandise layout plans designed by the Company's visual merchandising team which are specifically designed to promote customer identification as a specialty outlet store selling quality branded apparel and accessories. The merchandise layout is further customized by store management and the Company's visual merchandising department to suit each particular store location. The stores prominently display Levi's(R), Dockers(R) and Slates(R) brand logos and utilize distinctive promotional displays. The Company uses Levi Strauss &amp; Co. logos and trademarks on store signs with the permission of Levi Strauss &amp; Co.</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During fiscal 2001, in conjunction with the Company's initiatives to improve shrink and inventory management, the Company outsourced its loss prevention department to LP Innovations, Inc., a leader in loss prevention management.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Service &amp; Training</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"Designs University" was established in fiscal 1996 to implement associate training and development programs throughout the organization. The Company's Operational Support and Development team is responsible for developing and teaching creative programs that will enhance associate performance.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associate expectations are established at all levels of training, beginning with the Sales Associate Development Program. This program introduces the associate to the Company's operational policies, product information and customer service objectives. Through this program, associates are taught that servicing the customer is the highest priority. Management believes that sales associates are trained towards accomplishing the goal of reinforcing the customer's perception of the Company's stores as branded specialty stores and of differentiating its stores from those of the Company's competitors.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6" w:name="page7"/>
    <w:bookmarkEnd w:id="6"/>
    <w:p>
      <w:pPr>
        <w:ind w:right="3419"/>
        <w:spacing w:after="0" w:line="252" w:lineRule="auto"/>
        <w:rPr>
          <w:sz w:val="20"/>
          <w:szCs w:val="20"/>
          <w:color w:val="auto"/>
        </w:rPr>
      </w:pPr>
      <w:r>
        <w:rPr>
          <w:rFonts w:ascii="Courier New" w:cs="Courier New" w:eastAsia="Courier New" w:hAnsi="Courier New"/>
          <w:sz w:val="14"/>
          <w:szCs w:val="14"/>
          <w:color w:val="auto"/>
        </w:rPr>
        <w:t>All members of store management participate in the Store Management Development Program. Associates learn how to perform critical management functions required to successfully operate a store. The Store Management Development Program focuses on fundamental operational procedures, expense control and personnel management.</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Each Levi's(R) Outlet by Designs and Dockers(R) Outlet by Designs store employs approximately 20 associates. Store staffing typically includes a store manager, one or more assistant managers and shift supervisors, and a team of full-time and part-time sales associates. Store manager candidates or assistant manager candidates may also be included on the team in specific stores. The store management team is responsible for all operational matters in the store, including the hiring and training of sales associates.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Information Systems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management information systems, located at both its corporate headquarters in Needham, Massachusetts and all of its retail stores, consist of a full range of retail merchandising and financial systems which include merchandise planning and reporting, distribution center processing, inventory allocation, in-store systems, sales reporting, and financial processing and reporting. The Company's primary business applications, JDA Merchandising Management Systems and Lawson Financial Systems, operate on an AS/400 platform.</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of the Company's stores have point-of-sale terminals supplied by IBM and supported by point-of-sale business application provided by CRS, that captures daily transaction information by item, color and size (SKU). The Company utilizes barcode technology in tracking sales, inventory and pricing information. Communications between the corporate office and all stores is facilitated on a daily basis through the use of an electronic mail system. The JDA Merchandising Management System is updated daily with all store transactions and provide daily sales, inventory, pricing and merchandise information and management reports in assisting the Company operate its retail business. Its merchandising system applications also facilitate the placement of purchase orders and their tracking, primarily through electronic data interchange (EDI). The Company evaluates this information, together with weekly reports on merchandise statistics, prior to making merchandising decisions regarding reorders of fast-selling items and the allocation of merchandise.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2001, the Company purchased JDA Arthur, a planning and allocation system that should further enhance the Company's inventory management and visibility. The added inventory management applications will be installed and implemented during fiscal 2002. In addition, the Company will be enhancing its warehouse management systems either through the further development of its existing system with JDA, or through the purchase of a warehouse management application from a third-party provider. These added applications should greatly enhance the Company's inventory management capabilities.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utilizes a client server based network with mixed NT and Novel environment running on a local area network to communicate and work share within its corporate headquarters. The Company also utilizes the services of an outside payroll processing provider, ADP, in preparing, distributing and reporting its weekly payroll.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relies on the visibility and recognition of the Levi's(R), Dockers(R) and Slates(R) brand names, as well as the natural flow of traffic that results from locating stores in areas of high retail activity including destination outlet centers and regional malls. The Company's Outlet License Agreement with Levi Strauss &amp; Co. limits the Company's advertising ability to billboards and specific outlet center promotions.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complete visual merchandising program that, through the use of in-store signage, focuses on product knowledge and marketing of the individual Levi's(R), Dockers(R) and Slates(R) brands and communicates its value to the customer. During fiscal 2002, the Company plans to update its visual marketing programs by redesigning its communication and education in-store signage with the intention of better guiding the customer through the shopping experience.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United States casual apparel market is highly competitive with many national and regional department stores, specialty apparel retailers and discount stores offering a broad range of apparel products similar to those sold by the Company. The Company considers any casual apparel manufacturer operating in outlet parks throughout the United States to be a competitor in the casual apparel market.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business involves the sale of branded apparel and accessories sold by or manufactured under license from Levi Strauss &amp; Co. Levi Strauss &amp; Co. is involved in the highly competitive fashion apparel industry. Levi's(R) brand jeans have been impacted by the increased competition from private label as well as fashion jeans market entrants and by a decrease in national sales trends of Levi's(R) brand products.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believes that the Company competes with other apparel retailers by offering superior selection, quality merchandise, knowledgeable in-store service and competitive price points. The Company stresses product training with its sales staff and, with the assistance of Levi Strauss &amp; Co. merchandise materials, provides its sales personnel with substantial product knowledge training across all product lines.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of February 3, 2001, the Company employed approximately 1,750 associates, of whom 418 were full-time personnel. The Company hires additional temporary employees during the peak Fall and Holiday seasons.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qualified full-time employees are entitled, when eligible, to life, medical, disability and dental insurance and to participate in the Company's 401(k) retirement savings plan. Store managers, district managers, regional managers and corporate office employees are eligible to receive incentive compensation subject to the achievement of specific performance objectives related to sales, profitability and expense control. Vice Presidents, regional managers and district managers are also entitled to use an automobile provided by the Company or to receive an automobile allowance. Sales personnel are compensated on an hourly basis and, generally, receive no commissions, but from time to time are eligible to earn sales incentive payments from individual store sales contests. Regional and district managers, store managers and certain corporate office employees have been granted stock options to purchase shares of the Company's common stock. None of the Company's employees are represented by any collective bargaining agreement.</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February 3, 2001, the Company operated 102 Levi's(R) Outlet by Designs and Dockers(R) Outlet by Designs stores. All of these stores are leased by the Company directly from outlet center owners. The average square footage of the chain had decreased to approximately 9,700 as the Company opens new smaller size stores and remodels its existing stores to a smaller, more profitable prototype. The store leases are generally five years in length and contain renewal options extending their terms to between 10 and 15 years. Most of the Company's outlet store leases provide for annual rent based on a percentage of store sales, subject to guaranteed minimum amounts.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center and the attractiveness of the store layout. The Company also utilizes financial models to project the profitability of each location using assumptions such as the center's sales per square foot averages, estimated occupancy costs and return on investment requirements. The Company believes that its selection of locations enables the Company's stores to attract customers from the general shopping traffic and to generate its own customers from surrounding areas.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lease for the Company's headquarters office at 66 B Street, Needham, Massachusetts, which began in November 1995, is for a period of ten years. The lease provides for the Company to pay all occupancy costs associated with the land and the 80,000 square foot building. Beginning in fiscal 1998, the Company began subleasing excess office space as a result of its downsizing. As of February 3, 2001, the Company has three subtenants who combined lease approximately 43,000 of the 80,000 square feet. These leases are for various terms ranging from five to seven years.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November 13, 2000, the Company announced that it had entered into an option agreement with the landlord of its corporate headquarters. The agreement provides the landlord with the option, if exercised within 15 months from November 2000 which was the date of the agreement, to terminate the Company's lease for its corporate headquarters, which currently will expire on January 31, 2006. If such option is exercised by the landlord, then the Company will be entitled to receive $8.9 million provided that certain conditions in connection with vacating the leased property are met. If the option is exercised, the Company would have seven months thereafter to vacate the premises. If the Company failed to perform all the conditions of the option agreement, the Company would forfeit its right up to the entire $8.9 million payment.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2001, the Company opened its own 60,000 square foot distribution center located in Orlando, Florida. The Company has leased the property for five years through August 14, 2005 at which time the Company has the option to extend its lease for an additional five years. The lease also contains certain exit rights, which would allow the Company to terminate the lease on August 14, 2002 with six months prior notice. Subsequent to fiscal year end, the Company also entered into another lease agreement to lease an additional 16,000 square feet of warehouse space in Orlando, Florida. The lease for the additional space expires March 31, 2005 and also contains certain exit rights which would allow the Company to terminate the lease on March 31, 2003 with three months prior notice. The Company utilizes a 30,000 square foot third-party distribution center in Mansfield, Massachusetts.</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See "Management's Discussion and Analysis of Financial Condition and Results of Operations - Liquidity and Capital Resources - Capital Expenditures."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Company is a party to litigation and claims arising in the course of its business. Management does not expect the results of these actions to have a material adverse effect on the Company's business or financial condition.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May 1995, the Company purchased from Boston Trading Ltd., Inc. certain assets including various trademarks and license agreements. The terms of the Asset Purchase Agreement, which was dated April 25, 1995 (the "Purchase Agreement"), included the Company delivering a $1 million promissory note ("Purchase Note") for the balance of the purchase price. The principal amount of the Purchase Note was stated to be payable in two equal annual installments through May 1997. In the first quarter of fiscal 1997, the Company asserted certain indemnification rights under the Purchase Agreement. In accordance with the terms of the Purchase Agreement, the Company, when exercising its indemnification rights, had the right, among other courses of action, to offset against the payment of principal and interest due and payable under the Purchase Note. Accordingly, the Company did not make the two $500,000 principal payments on the Purchase Note that were due on May 2, 1996 and May 2, 1997. The Company paid all interest on the original principal amount through May 2, 1996 and continued to pay interest thereafter through January 31, 1998 on $500,000 of principal. In January 1998, Atlantic Harbor, Inc. filed a lawsuit against the Company for failing to pay the outstanding principal amount of the Purchase Note, which was issued to Boston Trading Ltd., Inc. (d/b/a Atlantic Harbor, Inc.). In March 1998, the Company filed a counterclaim against Atlantic Harbor, Inc. alleging that the Company suffered damages in excess of $1 million because of the breach of certain representations and warranties made by Atlantic Harbor, Inc. and its stockholders concerning the existence and condition of certain foreign trademark registrations and license agreements.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to fiscal 2001, the Company has entered into a settlement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Atlantic Harbor, Inc. whereby the Company has agreed to pay cash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$450,000 to Atlantic Harbor, Inc. as settlement for all obligations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Purchase Note. In exchange, the Company agreed to transfer and assign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trademarks and license agreements acquired as part of the Purchase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 new entity in which the Company would have a 15% equity interest,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Atlantic Harbor, Inc. and its affiliates retaining the remaining interest.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would also be entitled to receive up to an additional $150,000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license royalties over the next four years. At February 3, 2001,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recorded a gain related to the settlement of this matter in the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$550,000, which is included in "Provision for impairment of assets, store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closings and severance" on the Consolidated Statements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700" w:right="3939" w:hanging="688"/>
        <w:spacing w:after="0" w:line="255"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Company's common stock trades on the Nasdaq National Market tier of The Nasdaq Stock Market under the symbol "DESI."</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following table sets forth, for the periods indicated, the high and low per share closing sales prices for the common stock, as reported on the Nasdaq consolidated reporting system.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Ending</w:t>
      </w:r>
    </w:p>
    <w:p>
      <w:pPr>
        <w:spacing w:after="0" w:line="7" w:lineRule="exact"/>
        <w:rPr>
          <w:sz w:val="20"/>
          <w:szCs w:val="20"/>
          <w:color w:val="auto"/>
        </w:rPr>
      </w:pPr>
    </w:p>
    <w:p>
      <w:pPr>
        <w:spacing w:after="0"/>
        <w:tabs>
          <w:tab w:leader="none" w:pos="4720" w:val="left"/>
          <w:tab w:leader="none" w:pos="6280" w:val="left"/>
        </w:tabs>
        <w:rPr>
          <w:sz w:val="20"/>
          <w:szCs w:val="20"/>
          <w:color w:val="auto"/>
        </w:rPr>
      </w:pPr>
      <w:r>
        <w:rPr>
          <w:rFonts w:ascii="Courier New" w:cs="Courier New" w:eastAsia="Courier New" w:hAnsi="Courier New"/>
          <w:sz w:val="14"/>
          <w:szCs w:val="14"/>
          <w:color w:val="auto"/>
        </w:rPr>
        <w:t>February 3, 2001</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2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1.5000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1.0938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2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2.1250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1.1875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2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2.5625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1.9375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2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2.4688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Fiscal Year Ending</w:t>
            </w:r>
          </w:p>
        </w:tc>
        <w:tc>
          <w:tcPr>
            <w:tcW w:w="2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January 29, 2000</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High</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Low</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2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2.7812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1.8437</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2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2.5625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1.3750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2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1.1562</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28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1.7187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1.1875</w:t>
            </w:r>
          </w:p>
        </w:tc>
      </w:tr>
    </w:tbl>
    <w:p>
      <w:pPr>
        <w:spacing w:after="0" w:line="1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of April 20, 2001, based upon data provided by independent shareholder communication services and the transfer agent for the common stock, there were approximately 308 holders of record of common stock and approximately 3,200 beneficial holders of common stock.</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has not paid and does not anticipate paying cash dividends on its common stock. For a description of financial covenants in the Company's loan agreement that may restrict dividend payments, see Note C of Notes to Consolidated Financial Statements.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Fiscal Years Ended (1)</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February 3,</w:t>
            </w:r>
          </w:p>
        </w:tc>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January 29,</w:t>
            </w:r>
          </w:p>
        </w:tc>
        <w:tc>
          <w:tcPr>
            <w:tcW w:w="220" w:type="dxa"/>
            <w:vAlign w:val="bottom"/>
          </w:tcPr>
          <w:p>
            <w:pPr>
              <w:spacing w:after="0"/>
              <w:rPr>
                <w:sz w:val="24"/>
                <w:szCs w:val="24"/>
                <w:color w:val="auto"/>
              </w:rPr>
            </w:pP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January 30,</w:t>
            </w:r>
          </w:p>
        </w:tc>
        <w:tc>
          <w:tcPr>
            <w:tcW w:w="180" w:type="dxa"/>
            <w:vAlign w:val="bottom"/>
          </w:tcPr>
          <w:p>
            <w:pPr>
              <w:spacing w:after="0"/>
              <w:rPr>
                <w:sz w:val="24"/>
                <w:szCs w:val="2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January 31,</w:t>
            </w:r>
          </w:p>
        </w:tc>
        <w:tc>
          <w:tcPr>
            <w:tcW w:w="2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February 1,</w:t>
            </w:r>
          </w:p>
        </w:tc>
      </w:tr>
      <w:tr>
        <w:trPr>
          <w:trHeight w:val="166"/>
        </w:trPr>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60" w:type="dxa"/>
            <w:vAlign w:val="bottom"/>
          </w:tcPr>
          <w:p>
            <w:pPr>
              <w:spacing w:after="0"/>
              <w:rPr>
                <w:sz w:val="14"/>
                <w:szCs w:val="14"/>
                <w:color w:val="auto"/>
              </w:rPr>
            </w:pPr>
          </w:p>
        </w:tc>
        <w:tc>
          <w:tcPr>
            <w:tcW w:w="14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14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1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(Fiscal 2001)</w:t>
            </w:r>
          </w:p>
        </w:tc>
        <w:tc>
          <w:tcPr>
            <w:tcW w:w="1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(Fiscal 2000)</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(Fiscal 1999)</w:t>
            </w:r>
          </w:p>
        </w:tc>
        <w:tc>
          <w:tcPr>
            <w:tcW w:w="16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1998)</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(Fiscal 1997)</w:t>
            </w:r>
          </w:p>
        </w:tc>
      </w:tr>
      <w:tr>
        <w:trPr>
          <w:trHeight w:val="166"/>
        </w:trPr>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00" w:type="dxa"/>
            <w:vAlign w:val="bottom"/>
            <w:gridSpan w:val="5"/>
          </w:tcPr>
          <w:p>
            <w:pPr>
              <w:spacing w:after="0"/>
              <w:rPr>
                <w:sz w:val="20"/>
                <w:szCs w:val="20"/>
                <w:color w:val="auto"/>
              </w:rPr>
            </w:pPr>
            <w:r>
              <w:rPr>
                <w:rFonts w:ascii="Courier New" w:cs="Courier New" w:eastAsia="Courier New" w:hAnsi="Courier New"/>
                <w:sz w:val="14"/>
                <w:szCs w:val="14"/>
                <w:color w:val="auto"/>
              </w:rPr>
              <w:t>(IN THOUSANDS, EXCEPT PER SHARE AND OPERATING DATA)</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194,530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192,192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201,634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265,726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289,593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Gross profit, net of occupancy costs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54,985</w:t>
            </w:r>
          </w:p>
        </w:tc>
        <w:tc>
          <w:tcPr>
            <w:tcW w:w="16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47,440(3)</w:t>
            </w:r>
          </w:p>
        </w:tc>
        <w:tc>
          <w:tcPr>
            <w:tcW w:w="220" w:type="dxa"/>
            <w:vAlign w:val="bottom"/>
          </w:tcPr>
          <w:p>
            <w:pPr>
              <w:spacing w:after="0"/>
              <w:rPr>
                <w:sz w:val="14"/>
                <w:szCs w:val="14"/>
                <w:color w:val="auto"/>
              </w:rPr>
            </w:pPr>
          </w:p>
        </w:tc>
        <w:tc>
          <w:tcPr>
            <w:tcW w:w="1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42,249(4)</w:t>
            </w:r>
          </w:p>
        </w:tc>
        <w:tc>
          <w:tcPr>
            <w:tcW w:w="18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38,358(5)</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86,229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Provision for impairment of assets,</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store closing and severance</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c>
          <w:tcPr>
            <w:tcW w:w="16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14,535(3)</w:t>
            </w:r>
          </w:p>
        </w:tc>
        <w:tc>
          <w:tcPr>
            <w:tcW w:w="220" w:type="dxa"/>
            <w:vAlign w:val="bottom"/>
          </w:tcPr>
          <w:p>
            <w:pPr>
              <w:spacing w:after="0"/>
              <w:rPr>
                <w:sz w:val="14"/>
                <w:szCs w:val="14"/>
                <w:color w:val="auto"/>
              </w:rPr>
            </w:pPr>
          </w:p>
        </w:tc>
        <w:tc>
          <w:tcPr>
            <w:tcW w:w="1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15,729(4)</w:t>
            </w:r>
          </w:p>
        </w:tc>
        <w:tc>
          <w:tcPr>
            <w:tcW w:w="18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21,600(5)</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EBITDA (2)</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12,671</w:t>
            </w:r>
          </w:p>
        </w:tc>
        <w:tc>
          <w:tcPr>
            <w:tcW w:w="1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(2,569)</w:t>
            </w:r>
          </w:p>
        </w:tc>
        <w:tc>
          <w:tcPr>
            <w:tcW w:w="2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(20,659)</w:t>
            </w:r>
          </w:p>
        </w:tc>
        <w:tc>
          <w:tcPr>
            <w:tcW w:w="18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(34,945)</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Pre-tax income (loss)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5,488</w:t>
            </w:r>
          </w:p>
        </w:tc>
        <w:tc>
          <w:tcPr>
            <w:tcW w:w="16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(10,278)(3)</w:t>
            </w:r>
          </w:p>
        </w:tc>
        <w:tc>
          <w:tcPr>
            <w:tcW w:w="2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(29,269)(4)</w:t>
            </w:r>
          </w:p>
        </w:tc>
        <w:tc>
          <w:tcPr>
            <w:tcW w:w="1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(46,562)(5)</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10,364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5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3,216</w:t>
            </w:r>
          </w:p>
        </w:tc>
        <w:tc>
          <w:tcPr>
            <w:tcW w:w="1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(12,493)</w:t>
            </w:r>
          </w:p>
        </w:tc>
        <w:tc>
          <w:tcPr>
            <w:tcW w:w="2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(18,541)</w:t>
            </w:r>
          </w:p>
        </w:tc>
        <w:tc>
          <w:tcPr>
            <w:tcW w:w="18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(29,063)</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6,264</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Earnings (loss) per share- basic</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Earnings (loss) per share- diluted</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shares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earnings per</w:t>
            </w:r>
          </w:p>
        </w:tc>
        <w:tc>
          <w:tcPr>
            <w:tcW w:w="2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 basic</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16,015</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16,088</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15,810</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15,649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15,755</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shares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earnings per</w:t>
            </w:r>
          </w:p>
        </w:tc>
        <w:tc>
          <w:tcPr>
            <w:tcW w:w="20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 -diluted</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16,292</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16,088</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15,810</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15,649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15,833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16,306</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19,624</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24,078</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42,104</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72,320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57,675</w:t>
            </w:r>
          </w:p>
        </w:tc>
        <w:tc>
          <w:tcPr>
            <w:tcW w:w="4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57,022</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57,925</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54,972</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79,958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5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18,577</w:t>
            </w:r>
          </w:p>
        </w:tc>
        <w:tc>
          <w:tcPr>
            <w:tcW w:w="4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16,737</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17,788</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35,307</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39,216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95,070</w:t>
            </w:r>
          </w:p>
        </w:tc>
        <w:tc>
          <w:tcPr>
            <w:tcW w:w="4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95,077</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99,317</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116,399</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141,760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5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49,825</w:t>
            </w:r>
          </w:p>
        </w:tc>
        <w:tc>
          <w:tcPr>
            <w:tcW w:w="4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52,269</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63,956</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82,380</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111,045</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sales per square foot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192</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220</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Number of stores open at fiscal year end</w:t>
            </w:r>
          </w:p>
        </w:tc>
        <w:tc>
          <w:tcPr>
            <w:tcW w:w="5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4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125</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bl>
    <w:p>
      <w:pPr>
        <w:spacing w:after="0" w:line="335" w:lineRule="exact"/>
        <w:rPr>
          <w:sz w:val="20"/>
          <w:szCs w:val="20"/>
          <w:color w:val="auto"/>
        </w:rPr>
      </w:pPr>
    </w:p>
    <w:p>
      <w:pPr>
        <w:ind w:left="520" w:right="4640" w:hanging="512"/>
        <w:spacing w:after="0" w:line="252"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 week period ending on the Saturday closest to January 31. The fiscal year ended February 3, 2001 covered 53 weeks.</w:t>
      </w:r>
    </w:p>
    <w:p>
      <w:pPr>
        <w:spacing w:after="0" w:line="162" w:lineRule="exact"/>
        <w:rPr>
          <w:rFonts w:ascii="Courier New" w:cs="Courier New" w:eastAsia="Courier New" w:hAnsi="Courier New"/>
          <w:sz w:val="14"/>
          <w:szCs w:val="14"/>
          <w:color w:val="auto"/>
        </w:rPr>
      </w:pPr>
    </w:p>
    <w:p>
      <w:pPr>
        <w:ind w:left="520" w:right="4900" w:hanging="512"/>
        <w:spacing w:after="0" w:line="255"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defines EBITDA as Net Income before Taxes, Interest expense net and Depreciation and amortization.</w:t>
      </w:r>
    </w:p>
    <w:p>
      <w:pPr>
        <w:spacing w:after="0" w:line="159" w:lineRule="exact"/>
        <w:rPr>
          <w:rFonts w:ascii="Courier New" w:cs="Courier New" w:eastAsia="Courier New" w:hAnsi="Courier New"/>
          <w:sz w:val="14"/>
          <w:szCs w:val="14"/>
          <w:color w:val="auto"/>
        </w:rPr>
      </w:pPr>
    </w:p>
    <w:p>
      <w:pPr>
        <w:ind w:left="520" w:right="472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2000 includes the $15.2 million charge taken in the fourth quarter related to inventory markdowns, the abandonment of the Company's Boston Traders(R) trademark, severance, and the closure of the Company's five remaining Designs/BTC(TM) stores and its five Buffalo(R) Jeans Factory stores. Of the $15.2 million charge, $7.8 million, or 4.1% of sales, is reflected in gross margin. The pre-tax loss for fiscal 2000 also includes $717,000 of non-recurring income related to excess reserves from the fiscal 1999 restructuring program.</w:t>
      </w:r>
    </w:p>
    <w:p>
      <w:pPr>
        <w:spacing w:after="0" w:line="163" w:lineRule="exact"/>
        <w:rPr>
          <w:rFonts w:ascii="Courier New" w:cs="Courier New" w:eastAsia="Courier New" w:hAnsi="Courier New"/>
          <w:sz w:val="14"/>
          <w:szCs w:val="14"/>
          <w:color w:val="auto"/>
        </w:rPr>
      </w:pPr>
    </w:p>
    <w:p>
      <w:pPr>
        <w:ind w:left="520" w:right="464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1999 includes the $13.4 million charge taken in the third quarter related to closing 30 unprofitable stores. Also included in the pre-tax loss for fiscal 1999 is the $5.2 million charge related to the closing of one Designs store, three BTC(TM) stores and four Boston Traders(R) outlet stores, all eight of which were closed in fiscal 2000. Of the $5.2 million charge, $800,000, or 0.4% of sales, is reflected in gross margin. In addition, the Company recognized $2.9 million in restructuring income in the fourth quarter which was the result of favorable lease negotiations associated with the original estimated $13.4 million charge.</w:t>
      </w:r>
    </w:p>
    <w:p>
      <w:pPr>
        <w:spacing w:after="0" w:line="329" w:lineRule="exact"/>
        <w:rPr>
          <w:rFonts w:ascii="Courier New" w:cs="Courier New" w:eastAsia="Courier New" w:hAnsi="Courier New"/>
          <w:sz w:val="14"/>
          <w:szCs w:val="14"/>
          <w:color w:val="auto"/>
        </w:rPr>
      </w:pPr>
    </w:p>
    <w:p>
      <w:pPr>
        <w:ind w:left="520" w:right="472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1998 includes the $20 million charge taken in the second quarter related to the Company's strategy shift and the fourth quarter charge of $1.6 million for the Company's reduction in work force. Of the $20 million charge, $13.9 million, or 5.2% of sales, is reflected in gross margin.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540"/>
          </w:cols>
          <w:pgMar w:left="220" w:top="616" w:right="13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Item 7. Management's Discussion and Analysis of Financial Condition and Results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 Operations</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The following table provides a five-year history of the total sales results of the Company, together with a summary of the number of stores in operation and the change in the Company's comparable store sales. "Changes in comparable store sales" measures the percentage change in sales in comparable stores, which are those stores open for at least one full fiscal year.</w:t>
      </w:r>
    </w:p>
    <w:p>
      <w:pPr>
        <w:spacing w:after="0" w:line="200" w:lineRule="exact"/>
        <w:rPr>
          <w:sz w:val="20"/>
          <w:szCs w:val="20"/>
          <w:color w:val="auto"/>
        </w:rPr>
      </w:pPr>
    </w:p>
    <w:p>
      <w:pPr>
        <w:spacing w:after="0" w:line="296" w:lineRule="exact"/>
        <w:rPr>
          <w:sz w:val="20"/>
          <w:szCs w:val="20"/>
          <w:color w:val="auto"/>
        </w:rPr>
      </w:pPr>
    </w:p>
    <w:tbl>
      <w:tblPr>
        <w:tblLayout w:type="fixed"/>
        <w:tblInd w:w="458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414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FISCAL YEARS ENDED (1)</w:t>
            </w:r>
          </w:p>
        </w:tc>
        <w:tc>
          <w:tcPr>
            <w:tcW w:w="1240" w:type="dxa"/>
            <w:vAlign w:val="bottom"/>
          </w:tcPr>
          <w:p>
            <w:pPr>
              <w:spacing w:after="0"/>
              <w:rPr>
                <w:sz w:val="14"/>
                <w:szCs w:val="14"/>
                <w:color w:val="auto"/>
              </w:rPr>
            </w:pPr>
          </w:p>
        </w:tc>
      </w:tr>
      <w:tr>
        <w:trPr>
          <w:trHeight w:val="166"/>
        </w:trPr>
        <w:tc>
          <w:tcPr>
            <w:tcW w:w="66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Feb. 3,</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 29,</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 30,</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Jan. 31,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 1,</w:t>
            </w:r>
          </w:p>
        </w:tc>
      </w:tr>
      <w:tr>
        <w:trPr>
          <w:trHeight w:val="166"/>
        </w:trPr>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(Fiscal 2001)</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(Fiscal 2000)</w:t>
            </w:r>
          </w:p>
        </w:tc>
        <w:tc>
          <w:tcPr>
            <w:tcW w:w="1380" w:type="dxa"/>
            <w:vAlign w:val="bottom"/>
          </w:tcPr>
          <w:p>
            <w:pPr>
              <w:ind w:left="120"/>
              <w:spacing w:after="0"/>
              <w:rPr>
                <w:sz w:val="20"/>
                <w:szCs w:val="20"/>
                <w:color w:val="auto"/>
              </w:rPr>
            </w:pPr>
            <w:r>
              <w:rPr>
                <w:rFonts w:ascii="Courier New" w:cs="Courier New" w:eastAsia="Courier New" w:hAnsi="Courier New"/>
                <w:sz w:val="14"/>
                <w:szCs w:val="14"/>
                <w:color w:val="auto"/>
              </w:rPr>
              <w:t>(Fiscal 1999)</w:t>
            </w:r>
          </w:p>
        </w:tc>
        <w:tc>
          <w:tcPr>
            <w:tcW w:w="1380" w:type="dxa"/>
            <w:vAlign w:val="bottom"/>
          </w:tcPr>
          <w:p>
            <w:pPr>
              <w:ind w:left="120"/>
              <w:spacing w:after="0"/>
              <w:rPr>
                <w:sz w:val="20"/>
                <w:szCs w:val="20"/>
                <w:color w:val="auto"/>
              </w:rPr>
            </w:pPr>
            <w:r>
              <w:rPr>
                <w:rFonts w:ascii="Courier New" w:cs="Courier New" w:eastAsia="Courier New" w:hAnsi="Courier New"/>
                <w:sz w:val="14"/>
                <w:szCs w:val="14"/>
                <w:color w:val="auto"/>
              </w:rPr>
              <w:t>(Fiscal 1998)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(Fiscal 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Sales (In Thousands)</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$ 194,530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$ 192,192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$ 201,634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$ 265,726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$ 289,593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Number of stores in operation at end of the</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fiscal year:</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Store Type</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Levi's(R) Outlet and Dockers(R) Outlet by Designs</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Designs and BTC(TM) (2)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Buffalo Jeans(R) Factory Outlets(2)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Boston Trading Co.(R) (2)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Boston Traders(R) outlets(2)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Joint Venture:</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Original Levi's Stores(TM)(2)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Levi's(R) Outlet stores (2)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stores</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Comparable stores</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w:t>
            </w:r>
          </w:p>
        </w:tc>
      </w:tr>
      <w:tr>
        <w:trPr>
          <w:trHeight w:val="166"/>
        </w:trPr>
        <w:tc>
          <w:tcPr>
            <w:tcW w:w="4400" w:type="dxa"/>
            <w:vAlign w:val="bottom"/>
          </w:tcPr>
          <w:p>
            <w:pPr>
              <w:spacing w:after="0"/>
              <w:rPr>
                <w:sz w:val="14"/>
                <w:szCs w:val="14"/>
                <w:color w:val="auto"/>
              </w:rPr>
            </w:pPr>
          </w:p>
        </w:tc>
        <w:tc>
          <w:tcPr>
            <w:tcW w:w="6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Changes in total sales</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Changes in comparable store sales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335" w:lineRule="exact"/>
        <w:rPr>
          <w:sz w:val="20"/>
          <w:szCs w:val="20"/>
          <w:color w:val="auto"/>
        </w:rPr>
      </w:pPr>
    </w:p>
    <w:p>
      <w:pPr>
        <w:ind w:left="520" w:right="4480" w:hanging="512"/>
        <w:spacing w:after="0" w:line="252"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 week period ending on the Saturday closest to January 31. The fiscal year ended February 3, 2001 covered 53 weeks. Comparable store sales for fiscal 2001 were based upon 52-week comparisons.</w:t>
      </w:r>
    </w:p>
    <w:p>
      <w:pPr>
        <w:spacing w:after="0" w:line="162" w:lineRule="exact"/>
        <w:rPr>
          <w:rFonts w:ascii="Courier New" w:cs="Courier New" w:eastAsia="Courier New" w:hAnsi="Courier New"/>
          <w:sz w:val="14"/>
          <w:szCs w:val="14"/>
          <w:color w:val="auto"/>
        </w:rPr>
      </w:pPr>
    </w:p>
    <w:p>
      <w:pPr>
        <w:ind w:left="520" w:right="5000" w:hanging="512"/>
        <w:spacing w:after="0" w:line="255"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store closing programs in fiscal 1998, 1999 and 2000, the Company closed all of its non-profitable store concepts.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Sales for fiscal 2001 were $194.5 million, an increase of 1.2% compared with fiscal 2000 sales of $192.2 million. There were 53 weeks in fiscal 2001 and 52 weeks in fiscal years 2000 and 1999. The increase in sales in fiscal 2001, as compared to fiscal 2000, was due to an additional week of sales of approximately $2 million and sales from new and remodeled stores offset slightly by a comparable store sale decrease of 3.8% from the prior year. Sales for fiscal 2000 decreased 4.7% compared with fiscal 1999 sales of $201.6 million.. The decrease in sales in fiscal 2000 as compared to fiscal 1999 was due to an 1% decrease in comparable store sales and 23 store closings in fiscal 2000 and 37 store closings in fiscal 1999. This decrease was partially offset by sales from new stores of $32.6 million.</w:t>
      </w:r>
    </w:p>
    <w:p>
      <w:pPr>
        <w:spacing w:after="0" w:line="16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Comparable store sales decreases in both fiscal 2001 and fiscal 2000 were due primarily to lower sales in men's Levi's(R) brand jeans and tops resulting from limited availability and reduced demand for Levi's(R) brand products. These sales decreases were partially offset by increased sales of women's Levi's(R) brand jeans and men's and women's Dockers(R) brand apparel.</w:t>
      </w:r>
    </w:p>
    <w:p>
      <w:pPr>
        <w:spacing w:after="0" w:line="165" w:lineRule="exact"/>
        <w:rPr>
          <w:sz w:val="20"/>
          <w:szCs w:val="20"/>
          <w:color w:val="auto"/>
        </w:rPr>
      </w:pPr>
    </w:p>
    <w:p>
      <w:pPr>
        <w:ind w:right="4480"/>
        <w:spacing w:after="0" w:line="250" w:lineRule="auto"/>
        <w:rPr>
          <w:sz w:val="20"/>
          <w:szCs w:val="20"/>
          <w:color w:val="auto"/>
        </w:rPr>
      </w:pPr>
      <w:r>
        <w:rPr>
          <w:rFonts w:ascii="Courier New" w:cs="Courier New" w:eastAsia="Courier New" w:hAnsi="Courier New"/>
          <w:sz w:val="14"/>
          <w:szCs w:val="14"/>
          <w:color w:val="auto"/>
        </w:rPr>
        <w:t>The Company has worked closely with Levi Strauss &amp; Co. to make wider assortments of its brand offerings available to the Company throughout the upcoming year. As a result of these efforts, the Company believes that its comparative sales performance should improve in the second half of fiscal 2002 since many of the merchandising initiatives developed in conjunction with Levi Strauss &amp; Co. are scheduled for the Fall and Holiday selling seasons. However, the Company expects that quarterly comparisons will likely be unfavorable during the first half of fiscal 2002 because the comparison will be against prior-year sales and margins which benefited from significant price reductions on inventories for which reserves were established at the end of fiscal 2000. In addition, sales in the first quarter of fiscal 2002 have been significantly impacted in all of the Company's retail locations due to the liquidation of Bugle Boy, a 300-store retail chain selling similar categories of casual apparel. Therefore, in the first quarter of fiscal 2002 we expect comparable store sales to reflect declines approximating in the mid-teens.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380"/>
          </w:cols>
          <w:pgMar w:left="220" w:top="616" w:right="29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GROSS MARGIN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Gross margin, which includes occupancy costs, was 28.3% for fiscal 2001 as compared with 24.7% in fiscal 2000. The improved gross margin was primarily due to a substantial markdown reserve recorded in fiscal 2000 of $7.8 million, which was not recurring in fiscal 2001. In addition, through favorable lease negotiations with several existing landlords, the Company has reduced its occupancy costs as a percentage of sales by 0.3 percentage points. These favorable improvements in gross margin are partially offset by a slight deterioration in initial margins due to increasing costs on merchandise purchases. During fiscal 2001, in an effort by the Company to provide full merchandise assortments, the Company's average cost of merchandise purchased increased while retail selling prices remained constant. Merchandise margins in fiscal 2000 included a LIFO benefit of approximately $558,000.</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Gross margin in fiscal 2000 was 24.7% as compared with 20.9% in fiscal 1999. The improved margin in fiscal 2000 as compared to fiscal 1999 was due to the shift in the Company's store portfolio away from lower margin specialty, generally mall-based stores, towards the traditionally higher margin outlet store operations and a benefit of approximately $558,000 from LIFO. Included in gross margin for fiscal 2000 is approximately $7.8 million for markdowns related to reserves established for aged and excess outlet store inventory and liquidation markdowns associated with the ten stores closed in the fourth quarter of fiscal 2000, discussed below under "Restructuring - Fiscal 2000." Based on the recent changes in the Company and its shift to an exclusively outlet business, the Company changed its current markdown strategy in the fourth quarter of fiscal 2000 in an effort to improve inventory turnover and significantly reduce the amount of aged merchandise on hand. Included in gross margin for fiscal 1999 is approximately $800,000 of markdowns related to store closings in fiscal 1999, discussed below under "Restructuring Fiscal 1999."</w:t>
      </w:r>
    </w:p>
    <w:p>
      <w:pPr>
        <w:spacing w:after="0" w:line="17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fiscal 2002, the Company anticipates that the average cost of merchandise should continue to increase which may negatively impact gross margin, after considering anticipated favorable improvements in shrinkage and reduced freight expense.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Selling, general and administrative expenses as a percentage of sales were 21.7% or $42.2 million in fiscal 2001, 22.6% or $43.4 million in fiscal 2000 and 23.8% or $48.0 million in fiscal 1999. The steady decrease in selling, general and administrative expenses as a percentage of sales over the past three years is a result of a series of expense reduction actions undertaken over the past three years that are still ongoing. Expenses in prior years which have been reduced or are not recurring include the Company's proxy expenses, expenses reimbursed to Jewelcor Management, Inc., costs related to the termination of the Company's Shareholder Rights Agreement, and other costs associated with the change-in-control.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accounts for long-lived assets in accordance with Statement of Financial Accounting Standards No. 121, "Accounting for the Impairment of Long-Lived Assets and for Long-Lived Assets To Be Disposed Of." The Company reviews its long-lived assets for events or changes in circumstances that indicate the carrying amount of the assets may not be recoverable. The Company assesses the recoverability of the assets by determining whether the carrying value of such assets over the remaining lives can be recovered through projected undiscounted future cash flows. The amount of impairment, if any, is measured based on projected discounted future cash flows using a discount rate reflecting the Company's average cost of funds. At February 3, 2001, the Company recorded an impairment charge of $837,000 for the write-down of fixed assets. The impairment charge related to stores whose expected cash flows from operations are not expected to exceed their net book value prior to the expiration of their expected lease term. In fiscal 2000, the Company had recorded an impairment charge of $611,000 for the write-down of fixed assets which was included as part of the $15.2 million non-recurring charge recorded in the fourth quarter of fiscal 2000. See "Restructuring - Fiscal 2000" below. No such impairment charge was recorded in fiscal 1999. These charges are reflected in Provision for impairment of assets, store closings and severance on the Consolidated Statements of Operations for fiscal 2001 and 2000.</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Jeans(R) Factory Stores and its five remaining Designs stores. Of the $15.2 million charge, $7.8 million relating to inventory markdowns was reflected in gross margin in fiscal 2000. This pre-tax charge of $15.2 million included cash costs of approximately $3.6 million related to lease terminations and corporate and store severance, and approximately $11.6 million of non-cash costs related to inventory markdowns and the impairment of trademarks and store assets. At February 3, 2001, the remaining reserve balance related to this $15.2 million charge was $852,000, which primarily related to landlord settlements and remaining severance payments.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above charges recorded, the Company recorded a net operating loss for fiscal 2000. Because of an additional year of net operating losses, the Company recorded a further write-down of tax assets of $6.0 million or $0.37 per share after tax attributable to the potential that certain deferred federal and state tax assets may not be realizable.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After the recording of these restructuring charges, all operating assets related to businesses other than the remaining Levi's(R)/Dockers(R) Outlet stores had been written off leaving only the operations and related assets of its retail outlet and factory stores which sell exclusively product made by or for Levi Strauss &amp; Co.</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Based on management's review of the Company's Levi's(R) and Dockers(R) Outlet by Designs stores at the end of fiscal 2001, no additional store closing reserves were needed at February 3,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third quarter of fiscal 1999, the Company announced its plans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close, through lease terminations and expirations, 14 unprofitable Designs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stores, eight unprofitable Boston Trading Co.(R)/BTC(TM) stores and eight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Levi's Stores(TM) operated by the the Designs/OLS Partnership.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closing strategy resulted in the Company recording a pre-tax charge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$13.4 million. The total cost to close these stores was $10.5 million, which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 million less than the original charge, primarily due to favorable landlord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negotiations on lease termination payments. As a result, the Company recognized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pre-tax income of $2.9 million in the fourth quarter of fiscal 1999. Total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were $4.2 million related to lease terminations, employee severance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related expenses. The remainder of the $10.5 million charge consists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non-cash costs of approximately $6.3 million in store fixed asset write-offs.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of these stores were closed by the end of fiscal 1999.</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fourth quarter of fiscal 1999, the Company recorded a pre-tax charge of $5.2 million, or $0.20 per share after tax, related to the decision to close three BTC(TM) mall stores, one Designs mall store, and four Boston Traders(R) Outlet stores and to further reduce corporate headcount. The pre-tax charge included cash costs of approximately $2.8 million related to lease terminations and corporate severance and other related expenses. The total cost of severance and store closings was $717,000 less than the original charge due to favorable landlord negotiations on lease termination payments. As a result, the Company recognized income of $717,000 or $0.03 earnings per share after tax in the fourth quarter of fiscal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Depreciation and amortization expense for fiscal year 2001 decreased to $5.4 million from $6.5 million in fiscal 2000 and $9.7 million in 1999, primarily due to the aging of the Company's older stores and stores closed in fiscal 2000 offset slightly by depreciation for new and remodeled stores. "See Liquidity and Capital Resources -Capital Expenditures."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 NET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interest expense for fiscal 2001 was $1.8 million compared to $1.2 million in fiscal 2000 and $576,000 in fiscal 1999. This increase, as compared to fiscal 2000, is primarily a result of higher average borrowing levels and increased interest rates under the Company's credit facility as compared to the prior year. Similarly, the increase in interest expense in fiscal 2000 as compared with fiscal 1999, was due to higher average borrowings and increased interest rates. See "Liquidity and Capital Resources."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INCOME TAX PROVISION/(BENEFITS)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tax rate for fiscal 2001 was 41.4% as compared with an effective rate of 21.6% in fiscal 2000. The effective tax rate for fiscal 2000 included an increase to the Company's valuation allowance of $6.0 million which was attributable to the potential that certain federal and state tax assets may not be realized.</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Realization of the Company's deferred tax assets, which relate principally to net operating loss carryforwards which expire 2017 through 2019, is dependent on generating sufficient taxable income during the carryforward period. Accordingly, the valuation allowance at February 3, 2001 is primarily attributable to the potential that certain deferred federal and state tax assets will not be realizable. Although realization is not assured, management believes it is more likely than not that all of the remaining deferred tax assets will be realized. In reaching this determination, management considered the Company's historical performance, noting that the losses in fiscal 1998, 1999 and 2000 which generated the net operating loss carryforwards described above were principally the result of charges incurred to exit unprofitable businesses and that the Company's core business of selling Levi Strauss branded apparel in outlet stores has been consistently profitable. Assuming future operating results consistent with fiscal 2001, the Company could expect to realize its deferred tax assets in the next 6 to 7 years; however, management projections of future results, which are based, in part, on results from new stores expected to open over the next two to three years, anticipate increases in profitability which are expected to result in realization of the deferred tax assets over the next three years. As a result, no additional charge to the valuation allowance was deemed necessary at February 3, 2001. The amount of the deferred tax assets considered realizable could be reduced in the near term if projections of future taxable income during the carryforward period are reduced.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February 3, 2001, the Company has net operating loss carryforwards of</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$33,997,000 for federal income tax purposes and $75,035,000 for state income tax purposes, which are available to offset future taxable income through fiscal year 2019. Additionally, the Company has alternative minimum tax credit carryforwards of $1,138,000, which are available to reduce further income taxes over an indefinite period.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first quarter of fiscal year 1999, the Internal Revenue Service ("IRS") completed an examination of the Company's federal income tax returns for fiscal years 1992 through 1996. Taxes on the adjustments proposed by the IRS, excluding interest, amount to approximately $4.9 million. The IRS has challenged the fiscal tax years in which various income and expense deductions were recognized, resulting in potential timing differences of previously paid federal income taxes. The Company appealed these proposed adjustments through the IRS appeals process. The Company and the IRS have reached a preliminary settlement, which the Company believes will result in final cash payments of approximately $1.9 million as compared to the original assessment of $4.9 million. In the opinion of management, adequate provisions have been made for all related income taxes and interest.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reported net income of $3.2 million or $0.20 per diluted share for fiscal 2001 as compared to a net loss of $(12.5) million or $(0.78) per diluted share for fiscal 2000 and a net loss of $(18.5) million or $(1.17) per diluted share in fiscal 1999. Fiscal 2000 and fiscal 1999 included non-recurring restructuring charges of $15.2 million and $18.6 million, respectively. Fiscal 2000 also included the write-down of certain tax assets in the amount of $6.0 million. See "Restructuring" for further discussion.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tabs>
          <w:tab w:leader="none" w:pos="4720" w:val="left"/>
          <w:tab w:leader="none" w:pos="6960" w:val="left"/>
        </w:tabs>
        <w:rPr>
          <w:sz w:val="20"/>
          <w:szCs w:val="20"/>
          <w:color w:val="auto"/>
        </w:rPr>
      </w:pPr>
      <w:r>
        <w:rPr>
          <w:rFonts w:ascii="Courier New" w:cs="Courier New" w:eastAsia="Courier New" w:hAnsi="Courier New"/>
          <w:sz w:val="14"/>
          <w:szCs w:val="14"/>
          <w:color w:val="auto"/>
        </w:rPr>
        <w:t>FISCAL 2001</w:t>
      </w:r>
      <w:r>
        <w:rPr>
          <w:sz w:val="20"/>
          <w:szCs w:val="20"/>
          <w:color w:val="auto"/>
        </w:rPr>
        <w:tab/>
      </w:r>
      <w:r>
        <w:rPr>
          <w:rFonts w:ascii="Courier New" w:cs="Courier New" w:eastAsia="Courier New" w:hAnsi="Courier New"/>
          <w:sz w:val="14"/>
          <w:szCs w:val="14"/>
          <w:color w:val="auto"/>
        </w:rPr>
        <w:t>FISCAL 2000</w:t>
      </w:r>
      <w:r>
        <w:rPr>
          <w:sz w:val="20"/>
          <w:szCs w:val="20"/>
          <w:color w:val="auto"/>
        </w:rPr>
        <w:tab/>
      </w:r>
      <w:r>
        <w:rPr>
          <w:rFonts w:ascii="Courier New" w:cs="Courier New" w:eastAsia="Courier New" w:hAnsi="Courier New"/>
          <w:sz w:val="14"/>
          <w:szCs w:val="14"/>
          <w:color w:val="auto"/>
        </w:rPr>
        <w:t>FISCAL 1999</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(SALES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$ 39,379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39,835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$ 43,400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45,693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w:t>
            </w:r>
          </w:p>
        </w:tc>
        <w:tc>
          <w:tcPr>
            <w:tcW w:w="34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42,907</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56,587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w:t>
            </w:r>
          </w:p>
        </w:tc>
        <w:tc>
          <w:tcPr>
            <w:tcW w:w="34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56,703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58,714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52,871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w:t>
            </w:r>
          </w:p>
        </w:tc>
        <w:tc>
          <w:tcPr>
            <w:tcW w:w="34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52,747</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52,442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1520" w:type="dxa"/>
            <w:vAlign w:val="bottom"/>
          </w:tcPr>
          <w:p>
            <w:pPr>
              <w:spacing w:after="0"/>
              <w:rPr>
                <w:sz w:val="14"/>
                <w:szCs w:val="14"/>
                <w:color w:val="auto"/>
              </w:rPr>
            </w:pPr>
          </w:p>
        </w:tc>
        <w:tc>
          <w:tcPr>
            <w:tcW w:w="68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$194,530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192,192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$201,634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comparison of sales in each quarter of the past three fiscal years is presented above. The amounts shown are not necessarily indicative of actual trends, since such amounts also reflect the addition of new stores and the remodeling and closing of others during these periods. Historically, the Company has experienced seasonal fluctuations in revenues and income, exclusive of</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6" w:name="page17"/>
    <w:bookmarkEnd w:id="16"/>
    <w:p>
      <w:pPr>
        <w:ind w:right="3519"/>
        <w:spacing w:after="0" w:line="251" w:lineRule="auto"/>
        <w:rPr>
          <w:sz w:val="20"/>
          <w:szCs w:val="20"/>
          <w:color w:val="auto"/>
        </w:rPr>
      </w:pPr>
      <w:r>
        <w:rPr>
          <w:rFonts w:ascii="Courier New" w:cs="Courier New" w:eastAsia="Courier New" w:hAnsi="Courier New"/>
          <w:sz w:val="14"/>
          <w:szCs w:val="14"/>
          <w:color w:val="auto"/>
        </w:rPr>
        <w:t>non-recurring charges, with increases occurring during the Company's third and fourth quarters as a result of "Fall" and "Holiday" seasons. A comparison of quarterly sales, gross profit, net income (loss) per share for the past two fiscal years is presented in Note M of Notes to Consolidated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primary cash needs are for operating expenses, including cash outlays associated with inventory purchases and capital expenditures for new and remodeled stores. The Company expects that cash flow from operations, short-term revolving borrowings and trade credit will enable it to finance its current working capital, remodeling and expansion requirements.</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following table sets forth financial data regarding the Company's liquidity position at the end of the past three fiscal years:</w:t>
      </w:r>
    </w:p>
    <w:p>
      <w:pPr>
        <w:spacing w:after="0" w:line="160" w:lineRule="exact"/>
        <w:rPr>
          <w:sz w:val="20"/>
          <w:szCs w:val="20"/>
          <w:color w:val="auto"/>
        </w:rPr>
      </w:pPr>
    </w:p>
    <w:p>
      <w:pPr>
        <w:jc w:val="center"/>
        <w:ind w:right="-820"/>
        <w:spacing w:after="0"/>
        <w:rPr>
          <w:sz w:val="20"/>
          <w:szCs w:val="20"/>
          <w:color w:val="auto"/>
        </w:rPr>
      </w:pPr>
      <w:r>
        <w:rPr>
          <w:rFonts w:ascii="Courier New" w:cs="Courier New" w:eastAsia="Courier New" w:hAnsi="Courier New"/>
          <w:sz w:val="14"/>
          <w:szCs w:val="14"/>
          <w:color w:val="auto"/>
        </w:rPr>
        <w:t>FISCAL YEARS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tabs>
          <w:tab w:leader="none" w:pos="5420" w:val="left"/>
          <w:tab w:leader="none" w:pos="654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Cash provided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by operations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$ 9,025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$ 1,936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Working</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capital</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16,306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24,078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ratio</w:t>
            </w:r>
          </w:p>
        </w:tc>
        <w:tc>
          <w:tcPr>
            <w:tcW w:w="202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financed its working capital requirements, store remodel and expansion program, and stock repurchase programs with cash flow from operations, borrowings under the Company's credit facility, and proceeds from common stock offerings. Cash provided by operating activities was $9.0 million, $863,000, and $1.9 million in fiscal 2001, 2000 and 1999, respectively. The favorable cash flow from operations in fiscal 2001 is due to the Company's return to profitability and the utilization of net operating loss carryforwards to reduce its tax liabilities. During fiscal 2001, the Company used its $9.0 million of cash flow from operations to finance its store expansion and remodel programs in addition to other capital requirements in the amount of $7.2 million and the Company's repurchase of its Common Stock in the amount of $6.6 million. Therefore, the Company's net borrowing position increased to $24.3 million compared to a net borrowing position of $22.2 million at January 29, 2000.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to the Company's cash flow from operations, its other primary source of working capital is its Credit Agreement with Fleet Retail Finance, Inc. This agreement, which was amended most recently on December 7, 2000, provides a revolving line of credit of up to $45 million and the ability to issue documentary and standby letters of credit up to $10 million. The Credit Agreement, which expires on November 30, 2003, was amended to reduce the borrowing costs and tie future interest costs to excess borrowing availability, eliminate all existing financial performance covenants and adopt a minimum availability covenant, increase the amount that can potentially be borrowed by increasing the advance rate formula to 68% of the Company's eligible inventory, provide the Company the ability to enter into stock buyback programs and reduce the total commitment from $50 million to $45 million. The Company's obligation under the Credit Agreement continues to be secured by a lien on all of its assets. The Company is subject to a prepayment penalty for the first two years of the extended facility.</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February 3, 2001, the Company had borrowings of approximately $23.9 million outstanding under this credit facility and had five outstanding standby letters of credit totaling approximately $3.8 million. Average borrowings outstanding under this credit facility for fiscal year 2001 were approximately $18.3 million. In fiscal 2001, the average unused availability under this credit facility was approximately $15.0 million. This access to working capital was further enhanced by the re-negotiation of the credit facility through the increasing of the advance rate on eligible borrowings, the reduction of outstanding letters of credit by approximately $1 million and the benefit of entering into collateralized-based letters of credit for merchandise if needed.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Company's favorable cash flow from operations in fiscal 1999 was principally due to an income tax refund of $12.9 million resulting from tax carrybacks related to fiscal 1998 operating losses.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February 3, 2001, total inventories increased 1.2% to $57.7 million from</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$57.0 million at January 29, 2000. This increase was mainly due to the change in the inventory markdown reserve from January 29, 2000. Inventory at January 29, 2000 included a markdown reserve of $3.5 million. This remaining reserve was part of the $15.2 million charge recorded by the Company in the fourth quarter of fiscal 2000, see discussion "Restructuring - Fiscal 2000."</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7" w:name="page18"/>
    <w:bookmarkEnd w:id="17"/>
    <w:p>
      <w:pPr>
        <w:ind w:right="3339"/>
        <w:spacing w:after="0" w:line="252" w:lineRule="auto"/>
        <w:rPr>
          <w:sz w:val="20"/>
          <w:szCs w:val="20"/>
          <w:color w:val="auto"/>
        </w:rPr>
      </w:pPr>
      <w:r>
        <w:rPr>
          <w:rFonts w:ascii="Courier New" w:cs="Courier New" w:eastAsia="Courier New" w:hAnsi="Courier New"/>
          <w:sz w:val="14"/>
          <w:szCs w:val="14"/>
          <w:color w:val="auto"/>
        </w:rPr>
        <w:t>The Company continues to evaluate and, within the discretion of management, act upon opportunities to purchase substantial quantities of Levi's(R) and Dockers(R) brand products for its Levi's(R) Outlet and Dockers(R) Outlet stores.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Repurchase Programs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During the second and third quarters of fiscal 2000, the Company repurchased 863,000 shares of its Common Stock at an aggregate cost of $1,861,000 under a Stock Repurchase Program that was approved by the Company's Board of Directors in June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December 28, 2000, the Company purchased 1.8 million shares at $2.50 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"Dutch Auction" tender offer. Under the terms of the offer,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invited its shareholders to tender their shares to the Company at prices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by the tendering shareholders not in excess of $3.00 nor less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per share, in ten-cent ($0.10) increments. The Company selected the lowest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single per-share purchase price that would allow it to buy 1.5 million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up to an additional 1.0 million shares at the Company's option.</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These shares were purchased in the open market and were recorded by the Company as treasury stock and are reflected as a reduction in stockholders' equity.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At February 3, 2000, the Company had a $1 million promissory note which was payable to Atlantic Harbor, Inc. in conjunction with the Company's acquisition of certain assets from Boston Trading Ltd., Inc. ("Boston Trading") in May 1995. In the first quarter of fiscal 1997, the Company asserted certain indemnification rights. Accordingly, the Company did not make the two $500,000 payments of principal on the promissory note which were due on May 2, 1996 and May 2, 1997. In January 1998, Atlantic Harbor, Inc. filed a lawsuit against the Company for failing to pay the outstanding principal amount of the promissory note, and in March 1998, the Company filed a counterclaim against Atlantic Harbor, Inc. alleging that the Company suffered damaged in excess of $1 million because of the breach of certain representations and warranties made by Atlantic Harbor, Inc. and its stockholders concerning the existence and condition of certain foreign trademark registrations and license agreements. In March 2001, the Company has entered into a settlement agreement with Atlantic Harbor, Inc. whereby the Company has agreed to pay cash of $450,000 to Atlantic Harbor, Inc. as settlement for all obligations under the outstanding promissory note. In exchange, the Company agreed to transfer and assign all trademarks and license agreements acquired as part of the original purchase agreement to a new entity in which the Company would have a 15% equity interest, with Atlantic Harbor, Inc and its affiliates retaining the remaining interest. In addition, the Company would also be entitled to receive up to an additional $150,000 from existing license royalties over the next four years. At February 3, 2001, the Company recorded a gain on the settlement of this matter in the amount of $550,000, which is included in "Provision for impairment of assets, store closing and severance" on the Consolidated Statement of Operations. See "Item 3. Legal Proceedings" for more discussion.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following table sets forth the stores opened, remodeled and closed and the capital expenditures incurred for the fiscal years presented:</w:t>
      </w:r>
    </w:p>
    <w:p>
      <w:pPr>
        <w:spacing w:after="0" w:line="160" w:lineRule="exact"/>
        <w:rPr>
          <w:sz w:val="20"/>
          <w:szCs w:val="20"/>
          <w:color w:val="auto"/>
        </w:rPr>
      </w:pPr>
    </w:p>
    <w:p>
      <w:pPr>
        <w:ind w:left="4060"/>
        <w:spacing w:after="0"/>
        <w:tabs>
          <w:tab w:leader="none" w:pos="5160" w:val="left"/>
          <w:tab w:leader="none" w:pos="628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1999(1)</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right="7899" w:hanging="60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Stores: Levi's(R)/Dockers(R)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Outlets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Dockers(R) Outlets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Remodeled Stores:</w:t>
            </w:r>
          </w:p>
        </w:tc>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Remodeled Levi's(R) Outlet</w:t>
            </w:r>
          </w:p>
        </w:tc>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By Designs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4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new and remodeled</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4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closed stores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r>
      <w:tr>
        <w:trPr>
          <w:trHeight w:val="166"/>
        </w:trPr>
        <w:tc>
          <w:tcPr>
            <w:tcW w:w="2540" w:type="dxa"/>
            <w:vAlign w:val="bottom"/>
          </w:tcPr>
          <w:p>
            <w:pPr>
              <w:spacing w:after="0"/>
              <w:rPr>
                <w:sz w:val="14"/>
                <w:szCs w:val="14"/>
                <w:color w:val="auto"/>
              </w:rPr>
            </w:pPr>
          </w:p>
        </w:tc>
        <w:tc>
          <w:tcPr>
            <w:tcW w:w="4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Capital expenditures (000's)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$5,823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$6,006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4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right="4019" w:hanging="512"/>
        <w:spacing w:after="0" w:line="255"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16 Dockers(R) Outlet stores and 9 Levi's(R) Outlet stores acquired by the Company on September 30, 1998.</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8" w:name="page19"/>
    <w:bookmarkEnd w:id="18"/>
    <w:p>
      <w:pPr>
        <w:ind w:right="3419"/>
        <w:spacing w:after="0" w:line="251" w:lineRule="auto"/>
        <w:rPr>
          <w:sz w:val="20"/>
          <w:szCs w:val="20"/>
          <w:color w:val="auto"/>
        </w:rPr>
      </w:pPr>
      <w:r>
        <w:rPr>
          <w:rFonts w:ascii="Courier New" w:cs="Courier New" w:eastAsia="Courier New" w:hAnsi="Courier New"/>
          <w:sz w:val="14"/>
          <w:szCs w:val="14"/>
          <w:color w:val="auto"/>
        </w:rPr>
        <w:t>During fiscal 2001, the Company received approximately $2.9 million in landlord allowances against the total store capital expenditures of $5.8 million. The Company incurred capital expenditures of $1.4 million in fiscal 2001 related to miscellaneous leasehold improvements at the Company's corporate headquarters, technology expenditures and other store capital.</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present plans for expansion in fiscal 2002, barring unforeseen circumstances, includes opening up to 5 new stores and remodeling or relocating up to 11 existing Levi's(R) Outlet by Designs stores. As previously announced, Levi Strauss &amp; Co. has given the Company approval to open an additional Levi's(R)/Dockers(R) Outlet by Designs stores in Puerto Rico in fiscal 2001. The capital expenditures related to these 5 new stores and the remodeled or relocated stores are expected, barring unforeseen circumstances, to total approximately $3.2 million. This amount is net of committed landlord allowances that the Company will receive during fiscal 2002. The estimated cost to remodel or build a new Levi's(R)/Dockers(R) Outlet store is approximately $30-$35 per square foot.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Financial Accounting Standards Board issued SFAS No.137, "Accounting for Derivative Instruments and Hedging Activities- Deferral of the Effective Date of FASB Statement No. 133," in July 1999 making SFAS No. 133, "Accounting for Derivative Instruments and Hedging Activities," effective for all fiscal quarters of all fiscal years beginning after June 15, 2000. SFAS No. 133 requires companies to record derivatives on the balance sheet as assets or liabilities, measured at their fair value. Gains or losses resulting from changes in the values of those derivatives would be accounted for depending on the use of the derivative and whether it qualifies for hedge accounting. The adoption of SFAS No. 133 will not have a significant effect on the Company's results of operations or financial position.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INFLATION</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Although the Company's operations are influenced by general economic trends, the Company does not believe that inflation has had a material effect on the results of its operations in the last three fiscal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Annual Report on Form 10-K, including the foregoing discussion of results of operations, liquidity, capital resources and capital expenditures, contains certain forward-looking statements within the meaning of Section 27A of the Securities Exchange Act of 1933 and Section 21E of the Securities Exchange Act of 1934. Forward-looking statements are statements other than historical information or statements of current conditions. Some forward-looking statements may be identified by use of terms such as "believe," "anticipate," "intends," or "expects." These forward-looking statements in this Annual Report on Form 10-K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28, 2000, which identifies certain risks and uncertainties that may have an impact on future earnings and the direction of the Company. The Company undertakes no obligation to release publicly the results of any future revisions it may make to forward-looking statements to reflect events or circumstances after the date hereof or to reflect the occurrence of unanticipated events.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 of these and other potential exposures. The Company utilizes cash from operations and a revolving credit facility to fund its working capital needs. The Company's revolving credit facility is not used for trading or speculative purposes. In addition, the Company has available letters of credit as sources of financing for its working capital requirements. Borrowings under this credit agreement, which expires in November 2003, bear interest at variable rates based on FleetBoston, N.A.'s prime rate or the London Interbank Offering Rate ("LIBOR"). These interest rates at February 3, 2001 were 9.0% for prime and included various LIBOR contracts with interest rates ranging from 7.573% to 7.805%. Based upon sensitivity analysis as of February 3, 2001, a 10% increase in interest rates would result in a potential loss to future earnings of approximately $165,000.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600" w:type="dxa"/>
            <w:vAlign w:val="bottom"/>
          </w:tcPr>
          <w:p>
            <w:pPr>
              <w:spacing w:after="0"/>
              <w:rPr>
                <w:sz w:val="14"/>
                <w:szCs w:val="14"/>
                <w:color w:val="auto"/>
              </w:rPr>
            </w:pPr>
          </w:p>
        </w:tc>
      </w:tr>
      <w:tr>
        <w:trPr>
          <w:trHeight w:val="331"/>
        </w:trPr>
        <w:tc>
          <w:tcPr>
            <w:tcW w:w="6300" w:type="dxa"/>
            <w:vAlign w:val="bottom"/>
          </w:tcPr>
          <w:p>
            <w:pPr>
              <w:ind w:left="2940"/>
              <w:spacing w:after="0"/>
              <w:rPr>
                <w:sz w:val="20"/>
                <w:szCs w:val="20"/>
                <w:color w:val="auto"/>
              </w:rPr>
            </w:pPr>
            <w:r>
              <w:rPr>
                <w:rFonts w:ascii="Courier New" w:cs="Courier New" w:eastAsia="Courier New" w:hAnsi="Courier New"/>
                <w:sz w:val="14"/>
                <w:szCs w:val="14"/>
                <w:color w:val="auto"/>
              </w:rPr>
              <w:t>DESIGNS, INC.</w:t>
            </w:r>
          </w:p>
        </w:tc>
        <w:tc>
          <w:tcPr>
            <w:tcW w:w="600" w:type="dxa"/>
            <w:vAlign w:val="bottom"/>
          </w:tcPr>
          <w:p>
            <w:pPr>
              <w:spacing w:after="0"/>
              <w:rPr>
                <w:sz w:val="24"/>
                <w:szCs w:val="24"/>
                <w:color w:val="auto"/>
              </w:rPr>
            </w:pPr>
          </w:p>
        </w:tc>
      </w:tr>
      <w:tr>
        <w:trPr>
          <w:trHeight w:val="166"/>
        </w:trPr>
        <w:tc>
          <w:tcPr>
            <w:tcW w:w="6300" w:type="dxa"/>
            <w:vAlign w:val="bottom"/>
          </w:tcPr>
          <w:p>
            <w:pPr>
              <w:ind w:left="1640"/>
              <w:spacing w:after="0"/>
              <w:rPr>
                <w:sz w:val="20"/>
                <w:szCs w:val="20"/>
                <w:color w:val="auto"/>
              </w:rPr>
            </w:pPr>
            <w:r>
              <w:rPr>
                <w:rFonts w:ascii="Courier New" w:cs="Courier New" w:eastAsia="Courier New" w:hAnsi="Courier New"/>
                <w:sz w:val="14"/>
                <w:szCs w:val="14"/>
                <w:color w:val="auto"/>
              </w:rPr>
              <w:t>INDEX TO CONSOLIDATED FINANCIAL STATEMENTS</w:t>
            </w:r>
          </w:p>
        </w:tc>
        <w:tc>
          <w:tcPr>
            <w:tcW w:w="600" w:type="dxa"/>
            <w:vAlign w:val="bottom"/>
          </w:tcPr>
          <w:p>
            <w:pPr>
              <w:spacing w:after="0"/>
              <w:rPr>
                <w:sz w:val="14"/>
                <w:szCs w:val="14"/>
                <w:color w:val="auto"/>
              </w:rPr>
            </w:pPr>
          </w:p>
        </w:tc>
      </w:tr>
      <w:tr>
        <w:trPr>
          <w:trHeight w:val="331"/>
        </w:trPr>
        <w:tc>
          <w:tcPr>
            <w:tcW w:w="630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6300" w:type="dxa"/>
            <w:vAlign w:val="bottom"/>
          </w:tcPr>
          <w:p>
            <w:pPr>
              <w:spacing w:after="0"/>
              <w:rPr>
                <w:sz w:val="14"/>
                <w:szCs w:val="14"/>
                <w:color w:val="auto"/>
              </w:rPr>
            </w:pP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Management's Responsibility for Financial Reporting</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22</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Report of Independent Auditors</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23</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Independent Auditors' Report</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24</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25</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Consolidated Financial Statements:</w:t>
            </w:r>
          </w:p>
        </w:tc>
        <w:tc>
          <w:tcPr>
            <w:tcW w:w="600" w:type="dxa"/>
            <w:vAlign w:val="bottom"/>
          </w:tcPr>
          <w:p>
            <w:pPr>
              <w:spacing w:after="0"/>
              <w:rPr>
                <w:sz w:val="24"/>
                <w:szCs w:val="24"/>
                <w:color w:val="auto"/>
              </w:rPr>
            </w:pPr>
          </w:p>
        </w:tc>
      </w:tr>
      <w:tr>
        <w:trPr>
          <w:trHeight w:val="331"/>
        </w:trPr>
        <w:tc>
          <w:tcPr>
            <w:tcW w:w="6300" w:type="dxa"/>
            <w:vAlign w:val="bottom"/>
          </w:tcPr>
          <w:p>
            <w:pPr>
              <w:ind w:left="520"/>
              <w:spacing w:after="0"/>
              <w:rPr>
                <w:sz w:val="20"/>
                <w:szCs w:val="20"/>
                <w:color w:val="auto"/>
              </w:rPr>
            </w:pPr>
            <w:r>
              <w:rPr>
                <w:rFonts w:ascii="Courier New" w:cs="Courier New" w:eastAsia="Courier New" w:hAnsi="Courier New"/>
                <w:sz w:val="14"/>
                <w:szCs w:val="14"/>
                <w:color w:val="auto"/>
              </w:rPr>
              <w:t>Consolidated Balance Sheets at February 3, 2001</w:t>
            </w:r>
          </w:p>
        </w:tc>
        <w:tc>
          <w:tcPr>
            <w:tcW w:w="600" w:type="dxa"/>
            <w:vAlign w:val="bottom"/>
          </w:tcPr>
          <w:p>
            <w:pPr>
              <w:spacing w:after="0"/>
              <w:rPr>
                <w:sz w:val="24"/>
                <w:szCs w:val="24"/>
                <w:color w:val="auto"/>
              </w:rPr>
            </w:pPr>
          </w:p>
        </w:tc>
      </w:tr>
      <w:tr>
        <w:trPr>
          <w:trHeight w:val="166"/>
        </w:trPr>
        <w:tc>
          <w:tcPr>
            <w:tcW w:w="6300" w:type="dxa"/>
            <w:vAlign w:val="bottom"/>
          </w:tcPr>
          <w:p>
            <w:pPr>
              <w:ind w:left="700"/>
              <w:spacing w:after="0"/>
              <w:rPr>
                <w:sz w:val="20"/>
                <w:szCs w:val="20"/>
                <w:color w:val="auto"/>
              </w:rPr>
            </w:pPr>
            <w:r>
              <w:rPr>
                <w:rFonts w:ascii="Courier New" w:cs="Courier New" w:eastAsia="Courier New" w:hAnsi="Courier New"/>
                <w:sz w:val="14"/>
                <w:szCs w:val="14"/>
                <w:color w:val="auto"/>
              </w:rPr>
              <w:t>and January 29, 2000</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26</w:t>
            </w:r>
          </w:p>
        </w:tc>
      </w:tr>
      <w:tr>
        <w:trPr>
          <w:trHeight w:val="331"/>
        </w:trPr>
        <w:tc>
          <w:tcPr>
            <w:tcW w:w="6300" w:type="dxa"/>
            <w:vAlign w:val="bottom"/>
          </w:tcPr>
          <w:p>
            <w:pPr>
              <w:ind w:left="520"/>
              <w:spacing w:after="0"/>
              <w:rPr>
                <w:sz w:val="20"/>
                <w:szCs w:val="20"/>
                <w:color w:val="auto"/>
              </w:rPr>
            </w:pPr>
            <w:r>
              <w:rPr>
                <w:rFonts w:ascii="Courier New" w:cs="Courier New" w:eastAsia="Courier New" w:hAnsi="Courier New"/>
                <w:sz w:val="14"/>
                <w:szCs w:val="14"/>
                <w:color w:val="auto"/>
              </w:rPr>
              <w:t>Consolidated Statements of Operations for the Fiscal Years Ended</w:t>
            </w:r>
          </w:p>
        </w:tc>
        <w:tc>
          <w:tcPr>
            <w:tcW w:w="600" w:type="dxa"/>
            <w:vAlign w:val="bottom"/>
          </w:tcPr>
          <w:p>
            <w:pPr>
              <w:spacing w:after="0"/>
              <w:rPr>
                <w:sz w:val="24"/>
                <w:szCs w:val="24"/>
                <w:color w:val="auto"/>
              </w:rPr>
            </w:pPr>
          </w:p>
        </w:tc>
      </w:tr>
      <w:tr>
        <w:trPr>
          <w:trHeight w:val="166"/>
        </w:trPr>
        <w:tc>
          <w:tcPr>
            <w:tcW w:w="6300" w:type="dxa"/>
            <w:vAlign w:val="bottom"/>
          </w:tcPr>
          <w:p>
            <w:pPr>
              <w:ind w:left="700"/>
              <w:spacing w:after="0"/>
              <w:rPr>
                <w:sz w:val="20"/>
                <w:szCs w:val="20"/>
                <w:color w:val="auto"/>
              </w:rPr>
            </w:pPr>
            <w:r>
              <w:rPr>
                <w:rFonts w:ascii="Courier New" w:cs="Courier New" w:eastAsia="Courier New" w:hAnsi="Courier New"/>
                <w:sz w:val="14"/>
                <w:szCs w:val="14"/>
                <w:color w:val="auto"/>
              </w:rPr>
              <w:t>February 3, 2001, January 29, 2000 and January 30, 1999</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27</w:t>
            </w:r>
          </w:p>
        </w:tc>
      </w:tr>
      <w:tr>
        <w:trPr>
          <w:trHeight w:val="331"/>
        </w:trPr>
        <w:tc>
          <w:tcPr>
            <w:tcW w:w="6300" w:type="dxa"/>
            <w:vAlign w:val="bottom"/>
          </w:tcPr>
          <w:p>
            <w:pPr>
              <w:ind w:left="520"/>
              <w:spacing w:after="0"/>
              <w:rPr>
                <w:sz w:val="20"/>
                <w:szCs w:val="20"/>
                <w:color w:val="auto"/>
              </w:rPr>
            </w:pPr>
            <w:r>
              <w:rPr>
                <w:rFonts w:ascii="Courier New" w:cs="Courier New" w:eastAsia="Courier New" w:hAnsi="Courier New"/>
                <w:sz w:val="14"/>
                <w:szCs w:val="14"/>
                <w:color w:val="auto"/>
              </w:rPr>
              <w:t>Consolidated Statements of Changes in Stockholders'</w:t>
            </w:r>
          </w:p>
        </w:tc>
        <w:tc>
          <w:tcPr>
            <w:tcW w:w="600" w:type="dxa"/>
            <w:vAlign w:val="bottom"/>
          </w:tcPr>
          <w:p>
            <w:pPr>
              <w:spacing w:after="0"/>
              <w:rPr>
                <w:sz w:val="24"/>
                <w:szCs w:val="24"/>
                <w:color w:val="auto"/>
              </w:rPr>
            </w:pPr>
          </w:p>
        </w:tc>
      </w:tr>
      <w:tr>
        <w:trPr>
          <w:trHeight w:val="166"/>
        </w:trPr>
        <w:tc>
          <w:tcPr>
            <w:tcW w:w="6300" w:type="dxa"/>
            <w:vAlign w:val="bottom"/>
          </w:tcPr>
          <w:p>
            <w:pPr>
              <w:ind w:left="700"/>
              <w:spacing w:after="0"/>
              <w:rPr>
                <w:sz w:val="20"/>
                <w:szCs w:val="20"/>
                <w:color w:val="auto"/>
              </w:rPr>
            </w:pPr>
            <w:r>
              <w:rPr>
                <w:rFonts w:ascii="Courier New" w:cs="Courier New" w:eastAsia="Courier New" w:hAnsi="Courier New"/>
                <w:sz w:val="14"/>
                <w:szCs w:val="14"/>
                <w:color w:val="auto"/>
              </w:rPr>
              <w:t>Equity for the Fiscal Years Ended February 3, 2001,</w:t>
            </w:r>
          </w:p>
        </w:tc>
        <w:tc>
          <w:tcPr>
            <w:tcW w:w="600" w:type="dxa"/>
            <w:vAlign w:val="bottom"/>
          </w:tcPr>
          <w:p>
            <w:pPr>
              <w:spacing w:after="0"/>
              <w:rPr>
                <w:sz w:val="14"/>
                <w:szCs w:val="14"/>
                <w:color w:val="auto"/>
              </w:rPr>
            </w:pPr>
          </w:p>
        </w:tc>
      </w:tr>
      <w:tr>
        <w:trPr>
          <w:trHeight w:val="166"/>
        </w:trPr>
        <w:tc>
          <w:tcPr>
            <w:tcW w:w="6300" w:type="dxa"/>
            <w:vAlign w:val="bottom"/>
          </w:tcPr>
          <w:p>
            <w:pPr>
              <w:ind w:left="700"/>
              <w:spacing w:after="0"/>
              <w:rPr>
                <w:sz w:val="20"/>
                <w:szCs w:val="20"/>
                <w:color w:val="auto"/>
              </w:rPr>
            </w:pPr>
            <w:r>
              <w:rPr>
                <w:rFonts w:ascii="Courier New" w:cs="Courier New" w:eastAsia="Courier New" w:hAnsi="Courier New"/>
                <w:sz w:val="14"/>
                <w:szCs w:val="14"/>
                <w:color w:val="auto"/>
              </w:rPr>
              <w:t>January 29, 2000 and January 30, 1999</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28</w:t>
            </w:r>
          </w:p>
        </w:tc>
      </w:tr>
      <w:tr>
        <w:trPr>
          <w:trHeight w:val="331"/>
        </w:trPr>
        <w:tc>
          <w:tcPr>
            <w:tcW w:w="6300" w:type="dxa"/>
            <w:vAlign w:val="bottom"/>
          </w:tcPr>
          <w:p>
            <w:pPr>
              <w:ind w:left="520"/>
              <w:spacing w:after="0"/>
              <w:rPr>
                <w:sz w:val="20"/>
                <w:szCs w:val="20"/>
                <w:color w:val="auto"/>
              </w:rPr>
            </w:pPr>
            <w:r>
              <w:rPr>
                <w:rFonts w:ascii="Courier New" w:cs="Courier New" w:eastAsia="Courier New" w:hAnsi="Courier New"/>
                <w:sz w:val="14"/>
                <w:szCs w:val="14"/>
                <w:color w:val="auto"/>
              </w:rPr>
              <w:t>Consolidated Statements of Cash Flows for the Fiscal Years</w:t>
            </w:r>
          </w:p>
        </w:tc>
        <w:tc>
          <w:tcPr>
            <w:tcW w:w="600" w:type="dxa"/>
            <w:vAlign w:val="bottom"/>
          </w:tcPr>
          <w:p>
            <w:pPr>
              <w:spacing w:after="0"/>
              <w:rPr>
                <w:sz w:val="24"/>
                <w:szCs w:val="24"/>
                <w:color w:val="auto"/>
              </w:rPr>
            </w:pPr>
          </w:p>
        </w:tc>
      </w:tr>
      <w:tr>
        <w:trPr>
          <w:trHeight w:val="166"/>
        </w:trPr>
        <w:tc>
          <w:tcPr>
            <w:tcW w:w="6300" w:type="dxa"/>
            <w:vAlign w:val="bottom"/>
          </w:tcPr>
          <w:p>
            <w:pPr>
              <w:ind w:left="700"/>
              <w:spacing w:after="0"/>
              <w:rPr>
                <w:sz w:val="20"/>
                <w:szCs w:val="20"/>
                <w:color w:val="auto"/>
              </w:rPr>
            </w:pPr>
            <w:r>
              <w:rPr>
                <w:rFonts w:ascii="Courier New" w:cs="Courier New" w:eastAsia="Courier New" w:hAnsi="Courier New"/>
                <w:sz w:val="14"/>
                <w:szCs w:val="14"/>
                <w:color w:val="auto"/>
              </w:rPr>
              <w:t>Ended February 3, 2001, January 29, 2000 and January 30, 1999</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29</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30</w:t>
            </w:r>
          </w:p>
        </w:tc>
      </w:tr>
      <w:tr>
        <w:trPr>
          <w:trHeight w:val="497"/>
        </w:trPr>
        <w:tc>
          <w:tcPr>
            <w:tcW w:w="6300" w:type="dxa"/>
            <w:vAlign w:val="bottom"/>
          </w:tcPr>
          <w:p>
            <w:pPr>
              <w:ind w:left="3360"/>
              <w:spacing w:after="0"/>
              <w:rPr>
                <w:sz w:val="20"/>
                <w:szCs w:val="20"/>
                <w:color w:val="auto"/>
              </w:rPr>
            </w:pPr>
            <w:r>
              <w:rPr>
                <w:rFonts w:ascii="Courier New" w:cs="Courier New" w:eastAsia="Courier New" w:hAnsi="Courier New"/>
                <w:sz w:val="14"/>
                <w:szCs w:val="14"/>
                <w:color w:val="auto"/>
              </w:rPr>
              <w:t>21</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0" w:name="page21"/>
    <w:bookmarkEnd w:id="20"/>
    <w:p>
      <w:pPr>
        <w:ind w:left="1300"/>
        <w:spacing w:after="0"/>
        <w:rPr>
          <w:sz w:val="20"/>
          <w:szCs w:val="20"/>
          <w:color w:val="auto"/>
        </w:rPr>
      </w:pPr>
      <w:r>
        <w:rPr>
          <w:rFonts w:ascii="Courier New" w:cs="Courier New" w:eastAsia="Courier New" w:hAnsi="Courier New"/>
          <w:sz w:val="14"/>
          <w:szCs w:val="14"/>
          <w:color w:val="auto"/>
        </w:rPr>
        <w:t>MANAGEMENT'S RESPONSIBILITY FOR FINANCIAL REPORTING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Audit Committee of the Board of Directors, consisting solely of outside directors, meets periodically with management and the Company's independent auditors to review matters relating to the Company's financial reporting, the adequacy of internal accounting control and the scope and results of audit work. The independent auditors have free access to the Audit Committee.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Ernst &amp; Young LLP, independent auditors, have been engaged to examine the financial statements of the Company for the fiscal year ended February 3, 2001. The Report of Independent Auditors expresses an opinion as to the fair presentation of the financial statements in accordance with generally accepted accounting principles and is based on an audit conducted in accordance with auditing standards generally accepted in the United States.</w:t>
      </w:r>
    </w:p>
    <w:p>
      <w:pPr>
        <w:sectPr>
          <w:pgSz w:w="11900" w:h="16838" w:orient="portrait"/>
          <w:cols w:equalWidth="0" w:num="1">
            <w:col w:w="10239"/>
          </w:cols>
          <w:pgMar w:left="220" w:top="616"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A. LEVIN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 DENNIS R. HERNREICH</w:t>
      </w:r>
    </w:p>
    <w:p>
      <w:pPr>
        <w:spacing w:after="0" w:line="173" w:lineRule="exact"/>
        <w:rPr>
          <w:sz w:val="20"/>
          <w:szCs w:val="20"/>
          <w:color w:val="auto"/>
        </w:rPr>
      </w:pPr>
    </w:p>
    <w:p>
      <w:pPr>
        <w:sectPr>
          <w:pgSz w:w="11900" w:h="16838" w:orient="portrait"/>
          <w:cols w:equalWidth="0" w:num="2">
            <w:col w:w="4120" w:space="720"/>
            <w:col w:w="53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Dennis R. Hernreich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&amp; Treasurer</w:t>
      </w:r>
    </w:p>
    <w:p>
      <w:pPr>
        <w:spacing w:after="0" w:line="200" w:lineRule="exact"/>
        <w:rPr>
          <w:sz w:val="20"/>
          <w:szCs w:val="20"/>
          <w:color w:val="auto"/>
        </w:rPr>
      </w:pPr>
    </w:p>
    <w:p>
      <w:pPr>
        <w:sectPr>
          <w:pgSz w:w="11900" w:h="16838" w:orient="portrait"/>
          <w:cols w:equalWidth="0" w:num="2">
            <w:col w:w="4120" w:space="720"/>
            <w:col w:w="539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type w:val="continuous"/>
        </w:sectPr>
      </w:pPr>
    </w:p>
    <w:bookmarkStart w:id="21" w:name="page22"/>
    <w:bookmarkEnd w:id="21"/>
    <w:p>
      <w:pPr>
        <w:ind w:left="2160"/>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Designs, Inc. as of February 3, 2001 and the related consolidated statements of operations, changes in stockholders' equity and cash flows for the year then ended. Our audit also included the financial statement schedule for the year ended February 3, 2001 listed in the Index at Item 14 (a). These financial statements and schedule are the responsibility of the Company's management. Our responsibility is to express an opinion on the financial statements and schedule based on our audit.</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Designs, Inc. as of February 3, 2001, and the consolidated results of its operations and its cash flows for the year then ended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2001</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 ERNST &amp; YOUNG LLP</w:t>
      </w:r>
    </w:p>
    <w:p>
      <w:pPr>
        <w:spacing w:after="0" w:line="200" w:lineRule="exact"/>
        <w:rPr>
          <w:sz w:val="20"/>
          <w:szCs w:val="20"/>
          <w:color w:val="auto"/>
        </w:rPr>
      </w:pPr>
    </w:p>
    <w:p>
      <w:pPr>
        <w:sectPr>
          <w:pgSz w:w="11900" w:h="16838" w:orient="portrait"/>
          <w:cols w:equalWidth="0" w:num="2">
            <w:col w:w="4380" w:space="720"/>
            <w:col w:w="513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type w:val="continuous"/>
        </w:sectPr>
      </w:pPr>
    </w:p>
    <w:bookmarkStart w:id="22" w:name="page23"/>
    <w:bookmarkEnd w:id="22"/>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Designs, Inc. as of January 29, 2000 and the related consolidated statements of operations, changes in stockholders' equity and cash flows for the year then ended. Our audit also included the financial statement schedule for the year ended January 29, 2000 listing in the Index as Item 14 (a)(2). These financial statements and financial statement schedule are the responsibility of the Company's management. Our responsibility is to express an opinion on the financial statements and financial statement schedule based on our audit.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such financial statements present fairly, in all material respects, the consolidated financial position of Designs, Inc. as of January 29, 2000, and the consolidated results of its operations and its cash flows for the year then ended in conformity with accounting principles generally accepted in the United States of America. Also, in our opinion, such financial statement schedule for the year ended January 29, 2000, when considered in relation to the basic financial statements taken as a whole, presents fairly in all material respects, the information set forth therein.</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11, 2000</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200" w:lineRule="exact"/>
        <w:rPr>
          <w:sz w:val="20"/>
          <w:szCs w:val="20"/>
          <w:color w:val="auto"/>
        </w:rPr>
      </w:pPr>
    </w:p>
    <w:p>
      <w:pPr>
        <w:sectPr>
          <w:pgSz w:w="11900" w:h="16838" w:orient="portrait"/>
          <w:cols w:equalWidth="0" w:num="2">
            <w:col w:w="4020" w:space="720"/>
            <w:col w:w="549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type w:val="continuous"/>
        </w:sectPr>
      </w:pPr>
    </w:p>
    <w:bookmarkStart w:id="23" w:name="page24"/>
    <w:bookmarkEnd w:id="23"/>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statements of operations, changes in stockholders' equity and cash flows of Designs, Inc. and subsidiaries for the year ended January 30, 1999. These financial statements are the responsibility of the Company's management. Our responsibility is to express an opinion on the financial statements based on our audit.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32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results of operations and the cash flows of Designs, Inc. and subsidiaries for the year ended January 30, 1999 in conformity with accounting principles generally accepted in the United States.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Our audit was made for the purpose of forming an opinion on the basic financial statements taken as a whole. The schedule listed in Item 14(a)(2) is presented for purposes of complying with the Securities and Exchange Commission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16, 1999</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 ARTHUR ANDERSEN LLP</w:t>
      </w:r>
    </w:p>
    <w:p>
      <w:pPr>
        <w:spacing w:after="0" w:line="200" w:lineRule="exact"/>
        <w:rPr>
          <w:sz w:val="20"/>
          <w:szCs w:val="20"/>
          <w:color w:val="auto"/>
        </w:rPr>
      </w:pPr>
    </w:p>
    <w:p>
      <w:pPr>
        <w:sectPr>
          <w:pgSz w:w="11900" w:h="16838" w:orient="portrait"/>
          <w:cols w:equalWidth="0" w:num="2">
            <w:col w:w="4200" w:space="720"/>
            <w:col w:w="531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type w:val="continuous"/>
        </w:sectPr>
      </w:pPr>
    </w:p>
    <w:bookmarkStart w:id="24" w:name="page25"/>
    <w:bookmarkEnd w:id="24"/>
    <w:p>
      <w:pPr>
        <w:jc w:val="center"/>
        <w:ind w:right="323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ind w:left="1900"/>
              <w:spacing w:after="0"/>
              <w:rPr>
                <w:sz w:val="20"/>
                <w:szCs w:val="20"/>
                <w:color w:val="auto"/>
              </w:rPr>
            </w:pPr>
            <w:r>
              <w:rPr>
                <w:rFonts w:ascii="Courier New" w:cs="Courier New" w:eastAsia="Courier New" w:hAnsi="Courier New"/>
                <w:sz w:val="14"/>
                <w:szCs w:val="14"/>
                <w:color w:val="auto"/>
              </w:rPr>
              <w:t>February 3, 2001 and January 29, 2000</w:t>
            </w: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5820" w:type="dxa"/>
            <w:vAlign w:val="bottom"/>
          </w:tcPr>
          <w:p>
            <w:pPr>
              <w:spacing w:after="0"/>
              <w:rPr>
                <w:sz w:val="24"/>
                <w:szCs w:val="24"/>
                <w:color w:val="auto"/>
              </w:rPr>
            </w:pPr>
          </w:p>
        </w:tc>
        <w:tc>
          <w:tcPr>
            <w:tcW w:w="20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February 3, 2001</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 29, 2000</w:t>
            </w:r>
          </w:p>
        </w:tc>
      </w:tr>
      <w:tr>
        <w:trPr>
          <w:trHeight w:val="166"/>
        </w:trPr>
        <w:tc>
          <w:tcPr>
            <w:tcW w:w="5820" w:type="dxa"/>
            <w:vAlign w:val="bottom"/>
          </w:tcPr>
          <w:p>
            <w:pPr>
              <w:spacing w:after="0"/>
              <w:rPr>
                <w:sz w:val="14"/>
                <w:szCs w:val="14"/>
                <w:color w:val="auto"/>
              </w:rPr>
            </w:pPr>
          </w:p>
        </w:tc>
        <w:tc>
          <w:tcPr>
            <w:tcW w:w="20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(Fiscal 2001)</w:t>
            </w: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(Fiscal 2000)</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(In thousands, except share data)</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Restricted investment</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2,365</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57,675</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57,022</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765</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1,920</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3,093</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61,551</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62,432</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Property and equipment, net of</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18,577</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16,737</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14,347</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15,215</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595</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693</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95,070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95,077</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6,280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6,801</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10,809</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7,730</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Accrued rent</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2,376</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2,253</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Reserve for severance and store closings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852</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3,228</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Payable to affiliate</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583</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594</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Notes payable</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24,345</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22,202</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45,245</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42,808</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 $0.01 par value, 1,000,000 shares</w:t>
            </w: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authorized, none issued</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Common stock, $0.01 par value, 50,000,000 shares authorized,</w:t>
            </w: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17,488,000 and 16,690,490 shares issued at</w:t>
            </w: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February 3, 2001 and January 29, 2000, respectively</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175</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55,697</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54,571</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 (deficit)</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2,577</w:t>
            </w:r>
          </w:p>
        </w:tc>
        <w:tc>
          <w:tcPr>
            <w:tcW w:w="10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(639)</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Treasury stock at cost, 3,035,000 and 286,650 shares at</w:t>
            </w: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February 3, 2001 and January 29, 2000, respectively</w:t>
            </w:r>
          </w:p>
        </w:tc>
        <w:tc>
          <w:tcPr>
            <w:tcW w:w="56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(8,427)</w:t>
            </w:r>
          </w:p>
        </w:tc>
        <w:tc>
          <w:tcPr>
            <w:tcW w:w="10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(1,830)</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Note receivable from officer</w:t>
            </w:r>
          </w:p>
        </w:tc>
        <w:tc>
          <w:tcPr>
            <w:tcW w:w="56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Total stockholders' equity</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49,825</w:t>
            </w: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52,269</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95,070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95,077</w:t>
            </w:r>
          </w:p>
        </w:tc>
      </w:tr>
      <w:tr>
        <w:trPr>
          <w:trHeight w:val="166"/>
        </w:trPr>
        <w:tc>
          <w:tcPr>
            <w:tcW w:w="5820" w:type="dxa"/>
            <w:vAlign w:val="bottom"/>
          </w:tcPr>
          <w:p>
            <w:pPr>
              <w:spacing w:after="0"/>
              <w:rPr>
                <w:sz w:val="14"/>
                <w:szCs w:val="14"/>
                <w:color w:val="auto"/>
              </w:rPr>
            </w:pPr>
          </w:p>
        </w:tc>
        <w:tc>
          <w:tcPr>
            <w:tcW w:w="38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accompanying notes are an integral part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 the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5" w:name="page26"/>
    <w:bookmarkEnd w:id="25"/>
    <w:p>
      <w:pPr>
        <w:jc w:val="center"/>
        <w:ind w:right="3239"/>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fiscal years ended February 3, 2001,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January 29, 2000, and January 30,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Fiscal</w:t>
            </w:r>
          </w:p>
        </w:tc>
        <w:tc>
          <w:tcPr>
            <w:tcW w:w="26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Fiscal</w:t>
            </w:r>
          </w:p>
        </w:tc>
        <w:tc>
          <w:tcPr>
            <w:tcW w:w="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(53 weeks)</w:t>
            </w:r>
          </w:p>
        </w:tc>
        <w:tc>
          <w:tcPr>
            <w:tcW w:w="12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(52 weeks)</w:t>
            </w:r>
          </w:p>
        </w:tc>
        <w:tc>
          <w:tcPr>
            <w:tcW w:w="1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(52 weeks)</w:t>
            </w:r>
          </w:p>
        </w:tc>
      </w:tr>
      <w:tr>
        <w:trPr>
          <w:trHeight w:val="166"/>
        </w:trPr>
        <w:tc>
          <w:tcPr>
            <w:tcW w:w="6220" w:type="dxa"/>
            <w:vAlign w:val="bottom"/>
          </w:tcPr>
          <w:p>
            <w:pPr>
              <w:spacing w:after="0"/>
              <w:rPr>
                <w:sz w:val="14"/>
                <w:szCs w:val="14"/>
                <w:color w:val="auto"/>
              </w:rPr>
            </w:pPr>
          </w:p>
        </w:tc>
        <w:tc>
          <w:tcPr>
            <w:tcW w:w="35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5"/>
          </w:tcPr>
          <w:p>
            <w:pPr>
              <w:ind w:left="120"/>
              <w:spacing w:after="0"/>
              <w:rPr>
                <w:sz w:val="20"/>
                <w:szCs w:val="20"/>
                <w:color w:val="auto"/>
              </w:rPr>
            </w:pPr>
            <w:r>
              <w:rPr>
                <w:rFonts w:ascii="Courier New" w:cs="Courier New" w:eastAsia="Courier New" w:hAnsi="Courier New"/>
                <w:sz w:val="14"/>
                <w:szCs w:val="14"/>
                <w:color w:val="auto"/>
              </w:rPr>
              <w:t>(In thousands, except share data)</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38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194,530</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192,192</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201,634</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Cost of goods sold including occupancy</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139,545</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144,752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159,385</w:t>
            </w:r>
          </w:p>
        </w:tc>
      </w:tr>
      <w:tr>
        <w:trPr>
          <w:trHeight w:val="166"/>
        </w:trPr>
        <w:tc>
          <w:tcPr>
            <w:tcW w:w="6220" w:type="dxa"/>
            <w:vAlign w:val="bottom"/>
          </w:tcPr>
          <w:p>
            <w:pPr>
              <w:spacing w:after="0"/>
              <w:rPr>
                <w:sz w:val="14"/>
                <w:szCs w:val="14"/>
                <w:color w:val="auto"/>
              </w:rPr>
            </w:pPr>
          </w:p>
        </w:tc>
        <w:tc>
          <w:tcPr>
            <w:tcW w:w="35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54,985</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47,440</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42,249</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42,207</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43,401</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47,979</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Provision for impairment of assets, store closings and severance</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6,608</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14,929</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5,373</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6,502</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9,727</w:t>
            </w:r>
          </w:p>
        </w:tc>
      </w:tr>
      <w:tr>
        <w:trPr>
          <w:trHeight w:val="166"/>
        </w:trPr>
        <w:tc>
          <w:tcPr>
            <w:tcW w:w="6220" w:type="dxa"/>
            <w:vAlign w:val="bottom"/>
          </w:tcPr>
          <w:p>
            <w:pPr>
              <w:spacing w:after="0"/>
              <w:rPr>
                <w:sz w:val="14"/>
                <w:szCs w:val="14"/>
                <w:color w:val="auto"/>
              </w:rPr>
            </w:pPr>
          </w:p>
        </w:tc>
        <w:tc>
          <w:tcPr>
            <w:tcW w:w="35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47,687</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56,511</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72,635</w:t>
            </w:r>
          </w:p>
        </w:tc>
      </w:tr>
      <w:tr>
        <w:trPr>
          <w:trHeight w:val="166"/>
        </w:trPr>
        <w:tc>
          <w:tcPr>
            <w:tcW w:w="6220" w:type="dxa"/>
            <w:vAlign w:val="bottom"/>
          </w:tcPr>
          <w:p>
            <w:pPr>
              <w:spacing w:after="0"/>
              <w:rPr>
                <w:sz w:val="14"/>
                <w:szCs w:val="14"/>
                <w:color w:val="auto"/>
              </w:rPr>
            </w:pPr>
          </w:p>
        </w:tc>
        <w:tc>
          <w:tcPr>
            <w:tcW w:w="35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3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7,298</w:t>
            </w:r>
          </w:p>
        </w:tc>
        <w:tc>
          <w:tcPr>
            <w:tcW w:w="26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(9,071)</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(30,386)</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1,810</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1,207</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Income (loss) before minority interest and income taxes</w:t>
            </w:r>
          </w:p>
        </w:tc>
        <w:tc>
          <w:tcPr>
            <w:tcW w:w="3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5,488</w:t>
            </w:r>
          </w:p>
        </w:tc>
        <w:tc>
          <w:tcPr>
            <w:tcW w:w="26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(10,278)</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(30,962)</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Less minority interest</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r>
      <w:tr>
        <w:trPr>
          <w:trHeight w:val="166"/>
        </w:trPr>
        <w:tc>
          <w:tcPr>
            <w:tcW w:w="6220" w:type="dxa"/>
            <w:vAlign w:val="bottom"/>
          </w:tcPr>
          <w:p>
            <w:pPr>
              <w:spacing w:after="0"/>
              <w:rPr>
                <w:sz w:val="14"/>
                <w:szCs w:val="14"/>
                <w:color w:val="auto"/>
              </w:rPr>
            </w:pPr>
          </w:p>
        </w:tc>
        <w:tc>
          <w:tcPr>
            <w:tcW w:w="35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5,488</w:t>
            </w:r>
          </w:p>
        </w:tc>
        <w:tc>
          <w:tcPr>
            <w:tcW w:w="2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(10,278)</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(29,269)</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2,272</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2,215</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(10,728)</w:t>
            </w:r>
          </w:p>
        </w:tc>
      </w:tr>
      <w:tr>
        <w:trPr>
          <w:trHeight w:val="166"/>
        </w:trPr>
        <w:tc>
          <w:tcPr>
            <w:tcW w:w="6220" w:type="dxa"/>
            <w:vAlign w:val="bottom"/>
          </w:tcPr>
          <w:p>
            <w:pPr>
              <w:spacing w:after="0"/>
              <w:rPr>
                <w:sz w:val="14"/>
                <w:szCs w:val="14"/>
                <w:color w:val="auto"/>
              </w:rPr>
            </w:pPr>
          </w:p>
        </w:tc>
        <w:tc>
          <w:tcPr>
            <w:tcW w:w="35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8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3,216</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(12,493)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(18,541)</w:t>
            </w:r>
          </w:p>
        </w:tc>
      </w:tr>
      <w:tr>
        <w:trPr>
          <w:trHeight w:val="166"/>
        </w:trPr>
        <w:tc>
          <w:tcPr>
            <w:tcW w:w="6220" w:type="dxa"/>
            <w:vAlign w:val="bottom"/>
          </w:tcPr>
          <w:p>
            <w:pPr>
              <w:spacing w:after="0"/>
              <w:rPr>
                <w:sz w:val="14"/>
                <w:szCs w:val="14"/>
                <w:color w:val="auto"/>
              </w:rPr>
            </w:pPr>
          </w:p>
        </w:tc>
        <w:tc>
          <w:tcPr>
            <w:tcW w:w="35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Net income (loss) per share - basic and diluted</w:t>
            </w:r>
          </w:p>
        </w:tc>
        <w:tc>
          <w:tcPr>
            <w:tcW w:w="3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w:t>
            </w:r>
          </w:p>
        </w:tc>
        <w:tc>
          <w:tcPr>
            <w:tcW w:w="26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$(0.78)</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Weighted-average number of common shares outstanding:</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16,015</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16,088</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15,810</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16,292</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16,088</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15,810</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accompanying notes are an integral part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 the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6" w:name="page27"/>
    <w:bookmarkEnd w:id="26"/>
    <w:p>
      <w:pPr>
        <w:ind w:left="9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For the fiscal years ending February 3, 2001,</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January 29, 2000 and January 30,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Additional</w:t>
            </w:r>
          </w:p>
        </w:tc>
      </w:tr>
      <w:tr>
        <w:trPr>
          <w:trHeight w:val="166"/>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Common Stock</w:t>
            </w:r>
          </w:p>
        </w:tc>
        <w:tc>
          <w:tcPr>
            <w:tcW w:w="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Treasury</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Paid-in</w:t>
            </w:r>
          </w:p>
        </w:tc>
      </w:tr>
      <w:tr>
        <w:trPr>
          <w:trHeight w:val="166"/>
        </w:trPr>
        <w:tc>
          <w:tcPr>
            <w:tcW w:w="4740" w:type="dxa"/>
            <w:vAlign w:val="bottom"/>
          </w:tcPr>
          <w:p>
            <w:pPr>
              <w:spacing w:after="0"/>
              <w:rPr>
                <w:sz w:val="14"/>
                <w:szCs w:val="14"/>
                <w:color w:val="auto"/>
              </w:rPr>
            </w:pPr>
          </w:p>
        </w:tc>
        <w:tc>
          <w:tcPr>
            <w:tcW w:w="17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Shares</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Amounts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Amounts</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Capital</w:t>
            </w:r>
          </w:p>
        </w:tc>
      </w:tr>
      <w:tr>
        <w:trPr>
          <w:trHeight w:val="166"/>
        </w:trPr>
        <w:tc>
          <w:tcPr>
            <w:tcW w:w="4740" w:type="dxa"/>
            <w:vAlign w:val="bottom"/>
          </w:tcPr>
          <w:p>
            <w:pPr>
              <w:spacing w:after="0"/>
              <w:rPr>
                <w:sz w:val="14"/>
                <w:szCs w:val="14"/>
                <w:color w:val="auto"/>
              </w:rPr>
            </w:pPr>
          </w:p>
        </w:tc>
        <w:tc>
          <w:tcPr>
            <w:tcW w:w="1720" w:type="dxa"/>
            <w:vAlign w:val="bottom"/>
            <w:gridSpan w:val="2"/>
          </w:tcPr>
          <w:p>
            <w:pPr>
              <w:ind w:left="440"/>
              <w:spacing w:after="0"/>
              <w:rPr>
                <w:sz w:val="20"/>
                <w:szCs w:val="20"/>
                <w:color w:val="auto"/>
              </w:rPr>
            </w:pPr>
            <w:r>
              <w:rPr>
                <w:rFonts w:ascii="Courier New" w:cs="Courier New" w:eastAsia="Courier New" w:hAnsi="Courier New"/>
                <w:sz w:val="10"/>
                <w:szCs w:val="10"/>
                <w:color w:val="auto"/>
                <w:w w:val="72"/>
              </w:rPr>
              <w:t>-----------------------------</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(In thousands)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Balance at January 31, 1998</w:t>
            </w:r>
          </w:p>
        </w:tc>
        <w:tc>
          <w:tcPr>
            <w:tcW w:w="960" w:type="dxa"/>
            <w:vAlign w:val="bottom"/>
          </w:tcPr>
          <w:p>
            <w:pPr>
              <w:spacing w:after="0"/>
              <w:rPr>
                <w:sz w:val="24"/>
                <w:szCs w:val="2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16,012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$ 160</w:t>
            </w:r>
          </w:p>
        </w:tc>
        <w:tc>
          <w:tcPr>
            <w:tcW w:w="52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(1,827)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53,652</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 award to associates</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Vesting of restricted stock award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 cancelled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6640" w:type="dxa"/>
            <w:vAlign w:val="bottom"/>
            <w:gridSpan w:val="8"/>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Balance at January 30, 1999</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16,178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$ 162</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(1,830)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53,908</w:t>
            </w:r>
          </w:p>
        </w:tc>
      </w:tr>
      <w:tr>
        <w:trPr>
          <w:trHeight w:val="166"/>
        </w:trPr>
        <w:tc>
          <w:tcPr>
            <w:tcW w:w="4740" w:type="dxa"/>
            <w:vAlign w:val="bottom"/>
          </w:tcPr>
          <w:p>
            <w:pPr>
              <w:spacing w:after="0"/>
              <w:rPr>
                <w:sz w:val="14"/>
                <w:szCs w:val="14"/>
                <w:color w:val="auto"/>
              </w:rPr>
            </w:pPr>
          </w:p>
        </w:tc>
        <w:tc>
          <w:tcPr>
            <w:tcW w:w="6640" w:type="dxa"/>
            <w:vAlign w:val="bottom"/>
            <w:gridSpan w:val="8"/>
          </w:tcPr>
          <w:p>
            <w:pPr>
              <w:ind w:left="440"/>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Vesting of restricted stock award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6640" w:type="dxa"/>
            <w:vAlign w:val="bottom"/>
            <w:gridSpan w:val="8"/>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Balance at January 29, 2000</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16,690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$ 167</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(1,830)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54,571</w:t>
            </w:r>
          </w:p>
        </w:tc>
      </w:tr>
      <w:tr>
        <w:trPr>
          <w:trHeight w:val="166"/>
        </w:trPr>
        <w:tc>
          <w:tcPr>
            <w:tcW w:w="4740" w:type="dxa"/>
            <w:vAlign w:val="bottom"/>
          </w:tcPr>
          <w:p>
            <w:pPr>
              <w:spacing w:after="0"/>
              <w:rPr>
                <w:sz w:val="14"/>
                <w:szCs w:val="14"/>
                <w:color w:val="auto"/>
              </w:rPr>
            </w:pPr>
          </w:p>
        </w:tc>
        <w:tc>
          <w:tcPr>
            <w:tcW w:w="6640" w:type="dxa"/>
            <w:vAlign w:val="bottom"/>
            <w:gridSpan w:val="8"/>
          </w:tcPr>
          <w:p>
            <w:pPr>
              <w:ind w:left="440"/>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Exercises under option program</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Repurchase of common stock</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(6,314)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 cancelled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Exercise of options and repurchase of shares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from director</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Sale of stock to officer</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 from stock option exercised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6640" w:type="dxa"/>
            <w:vAlign w:val="bottom"/>
            <w:gridSpan w:val="8"/>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Balance at February 3, 2001</w:t>
            </w:r>
          </w:p>
        </w:tc>
        <w:tc>
          <w:tcPr>
            <w:tcW w:w="9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17,488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$ 175</w:t>
            </w:r>
          </w:p>
        </w:tc>
        <w:tc>
          <w:tcPr>
            <w:tcW w:w="5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(3,035)</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(8,427)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55,697</w:t>
            </w:r>
          </w:p>
        </w:tc>
      </w:tr>
      <w:tr>
        <w:trPr>
          <w:trHeight w:val="166"/>
        </w:trPr>
        <w:tc>
          <w:tcPr>
            <w:tcW w:w="4740" w:type="dxa"/>
            <w:vAlign w:val="bottom"/>
          </w:tcPr>
          <w:p>
            <w:pPr>
              <w:spacing w:after="0"/>
              <w:rPr>
                <w:sz w:val="14"/>
                <w:szCs w:val="14"/>
                <w:color w:val="auto"/>
              </w:rPr>
            </w:pPr>
          </w:p>
        </w:tc>
        <w:tc>
          <w:tcPr>
            <w:tcW w:w="6640" w:type="dxa"/>
            <w:vAlign w:val="bottom"/>
            <w:gridSpan w:val="8"/>
          </w:tcPr>
          <w:p>
            <w:pPr>
              <w:ind w:left="440"/>
              <w:spacing w:after="0"/>
              <w:rPr>
                <w:sz w:val="20"/>
                <w:szCs w:val="20"/>
                <w:color w:val="auto"/>
              </w:rPr>
            </w:pPr>
            <w:r>
              <w:rPr>
                <w:rFonts w:ascii="Courier New" w:cs="Courier New" w:eastAsia="Courier New" w:hAnsi="Courier New"/>
                <w:sz w:val="14"/>
                <w:szCs w:val="14"/>
                <w:color w:val="auto"/>
              </w:rPr>
              <w:t>========================================================================</w:t>
            </w:r>
          </w:p>
        </w:tc>
      </w:tr>
      <w:tr>
        <w:trPr>
          <w:trHeight w:val="497"/>
        </w:trPr>
        <w:tc>
          <w:tcPr>
            <w:tcW w:w="4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gridSpan w:val="2"/>
          </w:tcPr>
          <w:p>
            <w:pPr>
              <w:jc w:val="center"/>
              <w:ind w:left="128"/>
              <w:spacing w:after="0"/>
              <w:rPr>
                <w:sz w:val="20"/>
                <w:szCs w:val="20"/>
                <w:color w:val="auto"/>
              </w:rPr>
            </w:pPr>
            <w:r>
              <w:rPr>
                <w:rFonts w:ascii="Courier New" w:cs="Courier New" w:eastAsia="Courier New" w:hAnsi="Courier New"/>
                <w:sz w:val="14"/>
                <w:szCs w:val="14"/>
                <w:color w:val="auto"/>
              </w:rPr>
              <w:t>Note</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Retained</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4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Deferred</w:t>
            </w:r>
          </w:p>
        </w:tc>
        <w:tc>
          <w:tcPr>
            <w:tcW w:w="1380" w:type="dxa"/>
            <w:vAlign w:val="bottom"/>
            <w:gridSpan w:val="2"/>
          </w:tcPr>
          <w:p>
            <w:pPr>
              <w:jc w:val="center"/>
              <w:ind w:left="128"/>
              <w:spacing w:after="0"/>
              <w:rPr>
                <w:sz w:val="20"/>
                <w:szCs w:val="20"/>
                <w:color w:val="auto"/>
              </w:rPr>
            </w:pPr>
            <w:r>
              <w:rPr>
                <w:rFonts w:ascii="Courier New" w:cs="Courier New" w:eastAsia="Courier New" w:hAnsi="Courier New"/>
                <w:sz w:val="14"/>
                <w:szCs w:val="14"/>
                <w:color w:val="auto"/>
              </w:rPr>
              <w:t>Receivable</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Earnings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Compensation</w:t>
            </w:r>
          </w:p>
        </w:tc>
        <w:tc>
          <w:tcPr>
            <w:tcW w:w="13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from Officer</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(Deficit)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17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(In thousands)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Balance at January 31, 1998</w:t>
            </w:r>
          </w:p>
        </w:tc>
        <w:tc>
          <w:tcPr>
            <w:tcW w:w="9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$ 30,395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$ 82,380</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 award to associates</w:t>
            </w:r>
          </w:p>
        </w:tc>
        <w:tc>
          <w:tcPr>
            <w:tcW w:w="96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(178)</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Vesting of restricted stock award</w:t>
            </w:r>
          </w:p>
        </w:tc>
        <w:tc>
          <w:tcPr>
            <w:tcW w:w="960" w:type="dxa"/>
            <w:vAlign w:val="bottom"/>
          </w:tcPr>
          <w:p>
            <w:pPr>
              <w:spacing w:after="0"/>
              <w:rPr>
                <w:sz w:val="14"/>
                <w:szCs w:val="14"/>
                <w:color w:val="auto"/>
              </w:rPr>
            </w:pP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 cancelled</w:t>
            </w:r>
          </w:p>
        </w:tc>
        <w:tc>
          <w:tcPr>
            <w:tcW w:w="960" w:type="dxa"/>
            <w:vAlign w:val="bottom"/>
          </w:tcPr>
          <w:p>
            <w:pPr>
              <w:spacing w:after="0"/>
              <w:rPr>
                <w:sz w:val="14"/>
                <w:szCs w:val="14"/>
                <w:color w:val="auto"/>
              </w:rPr>
            </w:pP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(18,541)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(18,541)</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54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Balance at January 30, 1999</w:t>
            </w: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(138)</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$ 11,854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$ 63,956</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54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Vesting of restricted stock award</w:t>
            </w:r>
          </w:p>
        </w:tc>
        <w:tc>
          <w:tcPr>
            <w:tcW w:w="960" w:type="dxa"/>
            <w:vAlign w:val="bottom"/>
          </w:tcPr>
          <w:p>
            <w:pPr>
              <w:spacing w:after="0"/>
              <w:rPr>
                <w:sz w:val="14"/>
                <w:szCs w:val="14"/>
                <w:color w:val="auto"/>
              </w:rPr>
            </w:pP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138</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410</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(12,493)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(12,493)</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54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Balance at January 29, 2000</w:t>
            </w:r>
          </w:p>
        </w:tc>
        <w:tc>
          <w:tcPr>
            <w:tcW w:w="9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(639)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$ 52,269</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54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Exercises under option program</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Repurchase of common stock</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(6,314)</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 cancelled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Exercise of options and repurchase of shares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from director</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Sale of stock to officer</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(197)</w:t>
            </w: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 from stock option exercised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3,216</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54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Balance at February 3, 2001</w:t>
            </w:r>
          </w:p>
        </w:tc>
        <w:tc>
          <w:tcPr>
            <w:tcW w:w="9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$ 2,577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$ 49,825</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54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The accompanying notes are an integral part</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of the consolidated financial statements.</w:t>
      </w:r>
    </w:p>
    <w:p>
      <w:pPr>
        <w:sectPr>
          <w:pgSz w:w="11900" w:h="16838" w:orient="portrait"/>
          <w:cols w:equalWidth="0" w:num="1">
            <w:col w:w="11380"/>
          </w:cols>
          <w:pgMar w:left="220" w:top="616" w:right="299" w:bottom="0" w:gutter="0" w:footer="0" w:header="0"/>
        </w:sectPr>
      </w:pPr>
    </w:p>
    <w:bookmarkStart w:id="27" w:name="page28"/>
    <w:bookmarkEnd w:id="27"/>
    <w:p>
      <w:pPr>
        <w:ind w:left="21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019"/>
          </w:cols>
          <w:pgMar w:left="1440" w:top="307" w:right="1440" w:bottom="1440" w:gutter="0" w:footer="0" w:header="0"/>
        </w:sectPr>
      </w:pPr>
    </w:p>
    <w:bookmarkStart w:id="28" w:name="page29"/>
    <w:bookmarkEnd w:id="28"/>
    <w:p>
      <w:pPr>
        <w:jc w:val="center"/>
        <w:ind w:right="36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For the fiscal years ending February 3, 2001,</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January 29, 2000 and January 30,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Fiscal</w:t>
            </w:r>
          </w:p>
        </w:tc>
        <w:tc>
          <w:tcPr>
            <w:tcW w:w="360" w:type="dxa"/>
            <w:vAlign w:val="bottom"/>
          </w:tcPr>
          <w:p>
            <w:pPr>
              <w:spacing w:after="0"/>
              <w:rPr>
                <w:sz w:val="14"/>
                <w:szCs w:val="14"/>
                <w:color w:val="auto"/>
              </w:rPr>
            </w:pPr>
          </w:p>
        </w:tc>
        <w:tc>
          <w:tcPr>
            <w:tcW w:w="9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Fiscal</w:t>
            </w:r>
          </w:p>
        </w:tc>
        <w:tc>
          <w:tcPr>
            <w:tcW w:w="18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7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360" w:type="dxa"/>
            <w:vAlign w:val="bottom"/>
          </w:tcPr>
          <w:p>
            <w:pPr>
              <w:spacing w:after="0"/>
              <w:rPr>
                <w:sz w:val="14"/>
                <w:szCs w:val="14"/>
                <w:color w:val="auto"/>
              </w:rPr>
            </w:pPr>
          </w:p>
        </w:tc>
        <w:tc>
          <w:tcPr>
            <w:tcW w:w="9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2000</w:t>
            </w:r>
          </w:p>
        </w:tc>
        <w:tc>
          <w:tcPr>
            <w:tcW w:w="18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7240" w:type="dxa"/>
            <w:vAlign w:val="bottom"/>
          </w:tcPr>
          <w:p>
            <w:pPr>
              <w:spacing w:after="0"/>
              <w:rPr>
                <w:sz w:val="14"/>
                <w:szCs w:val="14"/>
                <w:color w:val="auto"/>
              </w:rPr>
            </w:pPr>
          </w:p>
        </w:tc>
        <w:tc>
          <w:tcPr>
            <w:tcW w:w="33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72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3,216</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(12,493)</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(18,541)</w:t>
            </w: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Adjustments to reconcile net income (loss) to net cash</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240" w:type="dxa"/>
            <w:vAlign w:val="bottom"/>
          </w:tcPr>
          <w:p>
            <w:pPr>
              <w:ind w:left="620"/>
              <w:spacing w:after="0"/>
              <w:rPr>
                <w:sz w:val="20"/>
                <w:szCs w:val="20"/>
                <w:color w:val="auto"/>
              </w:rPr>
            </w:pPr>
            <w:r>
              <w:rPr>
                <w:rFonts w:ascii="Courier New" w:cs="Courier New" w:eastAsia="Courier New" w:hAnsi="Courier New"/>
                <w:sz w:val="14"/>
                <w:szCs w:val="14"/>
                <w:color w:val="auto"/>
              </w:rPr>
              <w:t>provided by operating activities: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Depreciation and amortization</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5,373</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6,503</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9,727</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Deferred income taxes</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2,023</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(4,323)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(10,213)</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Minority interest</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Loss (gain) from disposal of property and equipment</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Vesting of restricted stock, net of cancellations</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Issuances of common stock to Board of Directors</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Issuance of common stock to related party</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524</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 net of acquisition of business:</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(761)</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(653)</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(6,944)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(712)</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Prepaid expenses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(2,051)</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(Increase) reduction in other assets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(739)</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Income taxes</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12,469</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(521)</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Reserve for severance, store closings and impairment charges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(2,376)</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14,844</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11,206</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Accrued expenses, other current liabilities and payable to affiliate</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3,068</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Accrued rent</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1,186</w:t>
            </w:r>
          </w:p>
        </w:tc>
      </w:tr>
      <w:tr>
        <w:trPr>
          <w:trHeight w:val="166"/>
        </w:trPr>
        <w:tc>
          <w:tcPr>
            <w:tcW w:w="72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9,025</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863</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1,936</w:t>
            </w:r>
          </w:p>
        </w:tc>
      </w:tr>
      <w:tr>
        <w:trPr>
          <w:trHeight w:val="166"/>
        </w:trPr>
        <w:tc>
          <w:tcPr>
            <w:tcW w:w="72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Cash flows from investing activities: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Additions to property and equipment</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(7,219)</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(7,136)</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(510)</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Payment for acquisition of a business</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(9,737)</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Proceeds from disposal of property and equipment</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Termination (establishment) of investment trust</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2,365</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(2,365)</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for investing activities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(4,797)</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(9,393)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(10,145)</w:t>
            </w:r>
          </w:p>
        </w:tc>
      </w:tr>
      <w:tr>
        <w:trPr>
          <w:trHeight w:val="166"/>
        </w:trPr>
        <w:tc>
          <w:tcPr>
            <w:tcW w:w="72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Cash flows from financing activities: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Net borrowings under credit facility</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2,143</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8,377</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Proceeds from minority equityholder of joint venture</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2,892</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Repurchase of common stock</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(6,597)</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780"/>
              <w:spacing w:after="0"/>
              <w:rPr>
                <w:sz w:val="20"/>
                <w:szCs w:val="20"/>
                <w:color w:val="auto"/>
              </w:rPr>
            </w:pPr>
            <w:r>
              <w:rPr>
                <w:rFonts w:ascii="Courier New" w:cs="Courier New" w:eastAsia="Courier New" w:hAnsi="Courier New"/>
                <w:sz w:val="14"/>
                <w:szCs w:val="14"/>
                <w:color w:val="auto"/>
              </w:rPr>
              <w:t>Issuances of common stock under Option Program (1)</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(used for) financing activities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(4,228)</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8,377</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6,889</w:t>
            </w:r>
          </w:p>
        </w:tc>
      </w:tr>
      <w:tr>
        <w:trPr>
          <w:trHeight w:val="166"/>
        </w:trPr>
        <w:tc>
          <w:tcPr>
            <w:tcW w:w="72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(1,320)</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Beginning of the year</w:t>
            </w: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1,473</w:t>
            </w:r>
          </w:p>
        </w:tc>
      </w:tr>
      <w:tr>
        <w:trPr>
          <w:trHeight w:val="166"/>
        </w:trPr>
        <w:tc>
          <w:tcPr>
            <w:tcW w:w="72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ind w:left="440"/>
              <w:spacing w:after="0"/>
              <w:rPr>
                <w:sz w:val="20"/>
                <w:szCs w:val="20"/>
                <w:color w:val="auto"/>
              </w:rPr>
            </w:pPr>
            <w:r>
              <w:rPr>
                <w:rFonts w:ascii="Courier New" w:cs="Courier New" w:eastAsia="Courier New" w:hAnsi="Courier New"/>
                <w:sz w:val="14"/>
                <w:szCs w:val="14"/>
                <w:color w:val="auto"/>
              </w:rPr>
              <w:t>End of the year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r>
      <w:tr>
        <w:trPr>
          <w:trHeight w:val="166"/>
        </w:trPr>
        <w:tc>
          <w:tcPr>
            <w:tcW w:w="72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Net of related tax benefit.</w:t>
      </w:r>
    </w:p>
    <w:p>
      <w:pPr>
        <w:spacing w:after="0" w:line="17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The accompanying notes are an integral part</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of the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600"/>
          </w:cols>
          <w:pgMar w:left="220" w:top="616" w:right="1079" w:bottom="1440" w:gutter="0" w:footer="0" w:header="0"/>
        </w:sectPr>
      </w:pPr>
    </w:p>
    <w:bookmarkStart w:id="29" w:name="page30"/>
    <w:bookmarkEnd w:id="29"/>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 of Business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Designs, Inc. (the "Company") is engaged in the retail sales of clothing and accessories. Levi Strauss &amp; Co. is the most significant vendor of the Company, representing substantially all of the Company's merchandise purchases, with the remainder of its purchases being with licensees of Levi Strauss &amp; Co. brand products. Designs, Inc. operates a chain of outlet stores located in the eastern part of the United States and Puerto Rico.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and affiliates. All intercompany accounts, transactions and profits are eliminated.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Company's fiscal year is a 52- or 53-week period ending on the Saturday closest to January 31. Fiscal years 2001, 2000 and 1999 ended on February 3, 2001, January 29, 2000 and January 30, 1999, respectively. Fiscal 2001 was a 53-week period, and fiscal years 2000 and 1999 were 52-week periods.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Revenue is recorded upon purchase of merchandise by customers. In connection with gift certificates, a deferred revenue amount is established upon purchase of the certificate by the customer and revenue is recognized upon redemption and purchase of merchandise.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Short-term investments, which have a maturity of ninety days or less when acquired, are considered cash equivalents. The carrying value approximates fair value.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Investment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2000, the Company had a $2.3 million restricted investment which represented a trust established for the purpose of securing pre-existing obligations of the Company to certain executives under their respective employment agreements. These funds were being held in a trust to pay the amounts that might become due under their employment agreements and also to pay any amounts that might become due to them pursuant to their indemnification agreements and the Company's by-laws. In the first quarter of fiscal 2001 the trust was terminated, and accordingly, the funds were no longer restricted.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All merchandise inventories were valued at the lower of cost or market using the retail method on the last-in, first-out ("LIFO") basis. If all inventory had been valued on the FIFO basis, inventory at February 3, 2001 and January 29,</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2000 would have been approximately $57,675,000 and $57,381,000, respectively. The benefit for LIFO was $350,000, , $558,000, and $795,000 in fiscal 2001, 2000 and 1999, respectively. The benefit in fiscal 2001 was offset by a provision for a lower of cost or market adjustment to merchandise inventories of $350,000.</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is reflected in income. Depreciation is computed on the straight-line method over the assets' estimated useful lives as follows:</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Motor vehicles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Store furnishings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Leasehold improvements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Software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to ten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to eight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useful lives or related lease life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to five years</w:t>
      </w:r>
    </w:p>
    <w:p>
      <w:pPr>
        <w:spacing w:after="0" w:line="173" w:lineRule="exact"/>
        <w:rPr>
          <w:sz w:val="20"/>
          <w:szCs w:val="20"/>
          <w:color w:val="auto"/>
        </w:rPr>
      </w:pPr>
    </w:p>
    <w:p>
      <w:pPr>
        <w:sectPr>
          <w:pgSz w:w="11900" w:h="16838" w:orient="portrait"/>
          <w:cols w:equalWidth="0" w:num="2">
            <w:col w:w="2600" w:space="50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Pre-opening Costs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accordance with Statement of Position 98-5, "Reporting on the Costs of Start-Up Activities," the Company expenses all pre-opening costs for its stores as incurred.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Advertising costs, which are included in selling, general and administrative expenses, are expensed when incurred. Advertising expense was $931,000, $1,034,000 and $1,225,000 for fiscal 2001, 2000 and 1999,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minority interest reflected on the Consolidated Statements of Operations for fiscal 1999, represented LDJV Inc.'s 30% interest in The Designs/OLS Partnership (the "OLS Partnership"), a joint venture between Designs JV Corp., a wholly-owned subsidiary of the Company, and LDJV Inc., a wholly-owned subsidiary of Levi's Only Stores, Inc. ("LOS"), which is a wholly-owned subsidiary of Levi Strauss &amp; Co. This partnership was dissolved in the fourth quarter of fiscal 1999.</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Statement of Financial Accounting Standards No. 128, "Earnings per Share" ("SFAS 128"), requires the computation of basic and diluted earnings per share. Basic earnings per share is computed by dividing net income by the weighted-average number of shares of common stock outstanding during the year. Diluted earnings per share is determined by giving effect to the exercise of stock options using the treasury stock method.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Fiscal Years Ended</w:t>
            </w:r>
          </w:p>
        </w:tc>
        <w:tc>
          <w:tcPr>
            <w:tcW w:w="156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February 3, 2001</w:t>
            </w: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January 29, 2000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January 30, 1999</w:t>
            </w:r>
          </w:p>
        </w:tc>
      </w:tr>
      <w:tr>
        <w:trPr>
          <w:trHeight w:val="166"/>
        </w:trPr>
        <w:tc>
          <w:tcPr>
            <w:tcW w:w="4020" w:type="dxa"/>
            <w:vAlign w:val="bottom"/>
          </w:tcPr>
          <w:p>
            <w:pPr>
              <w:spacing w:after="0"/>
              <w:rPr>
                <w:sz w:val="14"/>
                <w:szCs w:val="14"/>
                <w:color w:val="auto"/>
              </w:rPr>
            </w:pPr>
          </w:p>
        </w:tc>
        <w:tc>
          <w:tcPr>
            <w:tcW w:w="5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 thousands)</w:t>
            </w:r>
          </w:p>
        </w:tc>
        <w:tc>
          <w:tcPr>
            <w:tcW w:w="156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Basic weighted-average common shares</w:t>
            </w: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16,015</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16,088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15,810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Stock options, excluding anti-dilutive</w:t>
            </w:r>
          </w:p>
        </w:tc>
        <w:tc>
          <w:tcPr>
            <w:tcW w:w="1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options of 114 shares and 80 shares</w:t>
            </w:r>
          </w:p>
        </w:tc>
        <w:tc>
          <w:tcPr>
            <w:tcW w:w="1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for January 29, 2000 and January 30, 1999,</w:t>
            </w:r>
          </w:p>
        </w:tc>
        <w:tc>
          <w:tcPr>
            <w:tcW w:w="1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respectively</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Diluted weighted-average shares outstanding</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16,292</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16,088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15,810</w:t>
            </w:r>
          </w:p>
        </w:tc>
      </w:tr>
      <w:tr>
        <w:trPr>
          <w:trHeight w:val="166"/>
        </w:trPr>
        <w:tc>
          <w:tcPr>
            <w:tcW w:w="402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Options to purchase shares of the Company's Common Stock of 283,350, 320,700 and 1,876,350 for fiscal 2001, 2000 and 1999, respectively, were outstanding during the respective periods but were not included in the computation of diluted EPS because the exercise price of the options was greater than the average market price of the Common Stock for the period reported. These options, which expire between June 9, 2002 and November 27, 2010, have exercise prices ranging from $2.00 to $17.75 in fiscal 2001 and 2000 and $4.44 to $21.50 in fiscal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accounts for long-lived assets in accordance with Statement of Financial Accounting Standards No. 121, "Accounting for the Impairment of Long-Lived Assets and for Long-Lived Assets to be Disposed Of." The Company reviews its long-lived assets for events or changes in circumstances that might indicate the carrying amount of the assets may not be recoverable. The Company assesses the recoverability of the assets by determining whether the carrying value of such assets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type w:val="continuous"/>
        </w:sectPr>
      </w:pPr>
    </w:p>
    <w:bookmarkStart w:id="31" w:name="page32"/>
    <w:bookmarkEnd w:id="31"/>
    <w:p>
      <w:pPr>
        <w:ind w:right="3339"/>
        <w:spacing w:after="0" w:line="251" w:lineRule="auto"/>
        <w:rPr>
          <w:sz w:val="20"/>
          <w:szCs w:val="20"/>
          <w:color w:val="auto"/>
        </w:rPr>
      </w:pPr>
      <w:r>
        <w:rPr>
          <w:rFonts w:ascii="Courier New" w:cs="Courier New" w:eastAsia="Courier New" w:hAnsi="Courier New"/>
          <w:sz w:val="14"/>
          <w:szCs w:val="14"/>
          <w:color w:val="auto"/>
        </w:rPr>
        <w:t>over the remaining lives can be recovered through projected undiscounted future cash flows. The amount of impairment, if any, is measured based on projected discounted future cash flows using a discount rate reflecting the Company's average cost of funds. At February 3, 2001, the Company recorded an impairment charge of $837,000 for the write-down of fixed assets. The impairment charge related to stores whose expected cash flows from operations are not expected to exceed their net book value prior to the expiration of their expected lease term. In fiscal 2000, the Company had recorded an impairment charge of $611,000 for the write-down of fixed assets which was included as part of the $15.2 million non-recurring charge recorded in the fourth quarter of fiscal 2000. For further discussion, see Note J. The impairment charge of $611,000 was related to eight stores which the Company acquired from LOS in October 1998. It was not until the end of fiscal 2000 that the Company had a full year of operating results for these stores on which to make an assessment regarding their future profitability and the realizability of their assets. No impairment charge was recorded in fiscal 1999.</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Instruments and Hedging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Financial Accounting Standards Board issued SFAS No.137, "Accounting for Derivative Instruments and Hedging Activities- Deferral of the Effective Date of FASB Statement No. 133," in July 1999 making SFAS No. 133, "Accounting for Derivative Instruments and Hedging Activities," effective for all fiscal quarters of all fiscal years beginning after June 15, 2000. SFAS No. 133 requires companies to record derivatives on the balance sheet as assets or liabilities, measured at their fair value. Gains or losses resulting from changes in the values of those derivatives would be accounted for depending on the use of the derivative and whether it qualifies for hedge accounting. The adoption of SFAS No. 133 will not have a significant effect on the Company's results of operations or financial position.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PROPERTY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 consisted of the following at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February 3,</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 29,</w:t>
            </w:r>
          </w:p>
        </w:tc>
      </w:tr>
      <w:tr>
        <w:trPr>
          <w:trHeight w:val="166"/>
        </w:trPr>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4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360" w:type="dxa"/>
            <w:vAlign w:val="bottom"/>
          </w:tcPr>
          <w:p>
            <w:pPr>
              <w:spacing w:after="0"/>
              <w:rPr>
                <w:sz w:val="14"/>
                <w:szCs w:val="14"/>
                <w:color w:val="auto"/>
              </w:rPr>
            </w:pPr>
          </w:p>
        </w:tc>
        <w:tc>
          <w:tcPr>
            <w:tcW w:w="3280" w:type="dxa"/>
            <w:vAlign w:val="bottom"/>
            <w:gridSpan w:val="4"/>
          </w:tcPr>
          <w:p>
            <w:pPr>
              <w:ind w:left="860"/>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Motor vehicles</w:t>
            </w:r>
          </w:p>
        </w:tc>
        <w:tc>
          <w:tcPr>
            <w:tcW w:w="10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Store furnishings</w:t>
            </w:r>
          </w:p>
        </w:tc>
        <w:tc>
          <w:tcPr>
            <w:tcW w:w="10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17,869</w:t>
            </w:r>
          </w:p>
        </w:tc>
        <w:tc>
          <w:tcPr>
            <w:tcW w:w="4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16,073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0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6,429</w:t>
            </w:r>
          </w:p>
        </w:tc>
        <w:tc>
          <w:tcPr>
            <w:tcW w:w="4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0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19,323</w:t>
            </w:r>
          </w:p>
        </w:tc>
        <w:tc>
          <w:tcPr>
            <w:tcW w:w="4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16,929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Purchased software</w:t>
            </w:r>
          </w:p>
        </w:tc>
        <w:tc>
          <w:tcPr>
            <w:tcW w:w="10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5,931</w:t>
            </w:r>
          </w:p>
        </w:tc>
        <w:tc>
          <w:tcPr>
            <w:tcW w:w="4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Reserve on impaired assets</w:t>
            </w:r>
          </w:p>
        </w:tc>
        <w:tc>
          <w:tcPr>
            <w:tcW w:w="10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(875)</w:t>
            </w:r>
          </w:p>
        </w:tc>
        <w:tc>
          <w:tcPr>
            <w:tcW w:w="4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0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528</w:t>
            </w:r>
          </w:p>
        </w:tc>
        <w:tc>
          <w:tcPr>
            <w:tcW w:w="4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r>
      <w:tr>
        <w:trPr>
          <w:trHeight w:val="166"/>
        </w:trPr>
        <w:tc>
          <w:tcPr>
            <w:tcW w:w="3360" w:type="dxa"/>
            <w:vAlign w:val="bottom"/>
          </w:tcPr>
          <w:p>
            <w:pPr>
              <w:spacing w:after="0"/>
              <w:rPr>
                <w:sz w:val="14"/>
                <w:szCs w:val="14"/>
                <w:color w:val="auto"/>
              </w:rPr>
            </w:pPr>
          </w:p>
        </w:tc>
        <w:tc>
          <w:tcPr>
            <w:tcW w:w="3280" w:type="dxa"/>
            <w:vAlign w:val="bottom"/>
            <w:gridSpan w:val="4"/>
          </w:tcPr>
          <w:p>
            <w:pPr>
              <w:ind w:left="860"/>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49,251</w:t>
            </w:r>
          </w:p>
        </w:tc>
        <w:tc>
          <w:tcPr>
            <w:tcW w:w="4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43,671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0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30,674</w:t>
            </w:r>
          </w:p>
        </w:tc>
        <w:tc>
          <w:tcPr>
            <w:tcW w:w="4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26,934</w:t>
            </w:r>
          </w:p>
        </w:tc>
      </w:tr>
      <w:tr>
        <w:trPr>
          <w:trHeight w:val="166"/>
        </w:trPr>
        <w:tc>
          <w:tcPr>
            <w:tcW w:w="3360" w:type="dxa"/>
            <w:vAlign w:val="bottom"/>
          </w:tcPr>
          <w:p>
            <w:pPr>
              <w:spacing w:after="0"/>
              <w:rPr>
                <w:sz w:val="14"/>
                <w:szCs w:val="14"/>
                <w:color w:val="auto"/>
              </w:rPr>
            </w:pPr>
          </w:p>
        </w:tc>
        <w:tc>
          <w:tcPr>
            <w:tcW w:w="3280" w:type="dxa"/>
            <w:vAlign w:val="bottom"/>
            <w:gridSpan w:val="4"/>
          </w:tcPr>
          <w:p>
            <w:pPr>
              <w:ind w:left="860"/>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property and equipment</w:t>
            </w:r>
          </w:p>
        </w:tc>
        <w:tc>
          <w:tcPr>
            <w:tcW w:w="20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$ 18,577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16,737</w:t>
            </w:r>
          </w:p>
        </w:tc>
      </w:tr>
      <w:tr>
        <w:trPr>
          <w:trHeight w:val="166"/>
        </w:trPr>
        <w:tc>
          <w:tcPr>
            <w:tcW w:w="3360" w:type="dxa"/>
            <w:vAlign w:val="bottom"/>
          </w:tcPr>
          <w:p>
            <w:pPr>
              <w:spacing w:after="0"/>
              <w:rPr>
                <w:sz w:val="14"/>
                <w:szCs w:val="14"/>
                <w:color w:val="auto"/>
              </w:rPr>
            </w:pPr>
          </w:p>
        </w:tc>
        <w:tc>
          <w:tcPr>
            <w:tcW w:w="3280" w:type="dxa"/>
            <w:vAlign w:val="bottom"/>
            <w:gridSpan w:val="4"/>
          </w:tcPr>
          <w:p>
            <w:pPr>
              <w:ind w:left="86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Depreciation expense for fiscal 2001, 2000 and 1999 was $5,177,000, $5,949,000 and $9,210,000,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DEBT OBLIGATIONS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with Fleet Retail Finance, Inc.</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4, 1998, the Company entered into an Amended and Restated Loan and Security Agreement with BankBoston Retail Finance, Inc. (now known as Fleet Retail Finance, Inc.) (as amended, the "Credit Agreement") which provided for a revolving line of credit of up to $50 million. Under this Credit Agreement, the Company had the ability to cause the lenders to issue documentary and standby letters of credit up to $5 million. At the option of the Company, borrowings under this facility bear interest at FleetBoston, N.A.'s (formerly known as BankBoston, N.A.) prime rate or at LIBOR-based fixed rates. These interest rates at February 3, 2001 were 9.00% for prime with rates on varying LIBOR contracts of 7.57% to 7.81%. The Credit Agreement contained certain covenants and events of default customary for credit facilities of this nature, including change of control provisions and limitations on payment of dividends by the Company. The fair value of amounts outstanding under this credit facility approximate the carrying value at February 3, 2001.</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32" w:name="page33"/>
    <w:bookmarkEnd w:id="32"/>
    <w:p>
      <w:pPr>
        <w:ind w:right="3419"/>
        <w:spacing w:after="0" w:line="251" w:lineRule="auto"/>
        <w:rPr>
          <w:sz w:val="20"/>
          <w:szCs w:val="20"/>
          <w:color w:val="auto"/>
        </w:rPr>
      </w:pPr>
      <w:r>
        <w:rPr>
          <w:rFonts w:ascii="Courier New" w:cs="Courier New" w:eastAsia="Courier New" w:hAnsi="Courier New"/>
          <w:sz w:val="14"/>
          <w:szCs w:val="14"/>
          <w:color w:val="auto"/>
        </w:rPr>
        <w:t>The Credit Agreement was amended on July 17, 2000 to, among other things, exclude the stock repurchase program, which was approved by the Company's Board of Directors on June 26, 2000, from the Company's financial covenants. In addition, the Credit Agreement was amended to allow for the Company to provide an interest bearing loan to its Chief Executive Officer which has a maturity date which extends beyond the 90 days allowed under the Credit Agreement. For further discussion, see Note G.</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December 7, 2000, the Company amended and restated its existing credit facility with Fleet Retail Finance Inc. (the "Second Credit Agreement"). The Second Credit Agreement, among other things,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can potentially be borrowed by increasing the advance rate formula to 68% from 60% of the Company's eligible inventory, provided the Company the ability to enter into further stock buyback programs and reduced the total commitment from $50 million to $45 million. Under the Second Credit Facility, the Company is also able to issue documentary and standby letters of credit up to $10 million. The Company's obligation under the Second Credit Agreement continues to be secured by a lien on all of its assets. The Company is subject to a prepayment penalty for the first two years of the extended facility. The Second Credit Agreement continues to include certain covenants and events of default customary for credit facilities of this nature, including change of control provisions and limitations on payment of dividends by the Company.</w:t>
      </w:r>
    </w:p>
    <w:p>
      <w:pPr>
        <w:spacing w:after="0" w:line="33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February 3, 2001, the Company had borrowings of approximately $23.9 million outstanding under this credit facility and had five outstanding standby letters of credit totaling approximately $3.8 million. Average borrowings outstanding under this credit facility for fiscal year 2001 were approximately $18.3 million. The Company had average unused excess availability under this credit facility of approximately $15.0 million in fiscal 2001. The unused availability under this credit facility was $9.3 million at February 3,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Promissory Note with Boston Trading, Ltd., Inc.</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 1995, the Company delivered a non-negotiable promissory note in the principal amount of $1,000,000 (the "Purchase Note") in connection with the acquisition of certain assets of Boston Trading Ltd., Inc. ("Boston Trading") in accordance with the terms of an Asset Purchase Agreement dated April 21, 1995 among Boston Trading, its stockholders, Designs Acquisition Corp., and the Company (the "Purchase Agreement"). The principal amount of the Purchase Note was stated to be payable in two equal annual installments through May 1997. The note bore interest at the published prime rate, payable semi-annually from the date of acquisition.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first quarter of fiscal 1997, the Company asserted certain indemnification rights under the Purchase Agreement. In accordance with the Purchase Agreement, the Company, when exercising its indemnification rights, has the right, among other courses of action, to offset against the payment of principal and interest due under the Purchase Note. Accordingly, the Company did not make the two $500,000 payments of principal on the Purchase Note that were due on May 2, 1996 and May 2, 1997. The Company paid interest on the original principal amount of the Purchase Note through May 2, 1996 and continued to pay interest thereafter through January 31, 1998 on $500,000 of principal. In January 1998, Atlantic Harbor, Inc. filed a lawsuit against the Company for failing to pay the outstanding principal amount of the Purchase Note. In March 1998, the Company filed a counterclaim against Atlantic Harbor, Inc. alleging that the Company suffered damaged in excess of $1 million because of the breach of certain representations and warranties made by Atlantic Harbor, Inc. and its stockholders concerning the existence and condition of certain foreign trademark registrations and license agreements.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Subsequent to fiscal 2001 year end, the Company has entered into a settlement agreement with Atlantic Harbor, Inc. whereby the Company has agreed to pay cash of $450,000 to Atlantic Harbor, Inc. as settlement for all obligations under the outstanding Purchase Note. In exchange, the Company agreed to transfer and assign all trademarks and license agreements acquired as part of the Asset Purchase Agreement to a new entity in which the Company would have a 15% equity interest, with Atlantic Harbor, Inc and its affiliates retaining the remaining equity interest. In addition, the Company would also be entitled to receive up to an additional $150,000 from existing license royalties over the next four years. At February 3, 2001, the Company recorded a gain on settlement of this dispute in the amount of $550,000, which is included in "Provision for impairment of assets, store closing and severance" on the Consolidated Statements of Operations for fiscal 2001.</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3" w:name="page34"/>
    <w:bookmarkEnd w:id="33"/>
    <w:p>
      <w:pPr>
        <w:jc w:val="both"/>
        <w:ind w:right="3519"/>
        <w:spacing w:after="0" w:line="252" w:lineRule="auto"/>
        <w:rPr>
          <w:sz w:val="20"/>
          <w:szCs w:val="20"/>
          <w:color w:val="auto"/>
        </w:rPr>
      </w:pPr>
      <w:r>
        <w:rPr>
          <w:rFonts w:ascii="Courier New" w:cs="Courier New" w:eastAsia="Courier New" w:hAnsi="Courier New"/>
          <w:sz w:val="14"/>
          <w:szCs w:val="14"/>
          <w:color w:val="auto"/>
        </w:rPr>
        <w:t>The Company paid interest and fees on all the above described debt obligations totaling $2,112,000, $1,558,000 and $1,062,000 for fiscal 2001, 2000 and 1999,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INCOME TAXES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accounts for income taxes in accordance with Statement of Financial Accounting Standards No. 109, "Accounting for Income Taxes" ("SFAS 109"). Under SFAS 109, deferred tax assets and liabilities are recognized based on temporary differences between the financial statement and tax basis of assets and liabilities using enacted tax rates in effect in the years in which the differences are expected to reverse. SFAS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February 3, 2001, the Company has net operating loss carryforwards of</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$33,997,000 for federal income tax purposes and $75,035,000 for state income tax purposes, which are available to offset future taxable income through fiscal year 2019. Additionally, the Company has alternative minimum tax credit carryforwards of $1,138,000, which are available to reduce further income taxes over an indefinite period.</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components of the net deferred tax assets as of February 3, 2001 and January 29, 2000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February 3,</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January 29,</w:t>
            </w:r>
          </w:p>
        </w:tc>
      </w:tr>
      <w:tr>
        <w:trPr>
          <w:trHeight w:val="166"/>
        </w:trPr>
        <w:tc>
          <w:tcPr>
            <w:tcW w:w="4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280" w:type="dxa"/>
            <w:vAlign w:val="bottom"/>
          </w:tcPr>
          <w:p>
            <w:pPr>
              <w:spacing w:after="0"/>
              <w:rPr>
                <w:sz w:val="14"/>
                <w:szCs w:val="14"/>
                <w:color w:val="auto"/>
              </w:rPr>
            </w:pPr>
          </w:p>
        </w:tc>
        <w:tc>
          <w:tcPr>
            <w:tcW w:w="254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Deferred tax assets - current:</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Inventory reserves</w:t>
            </w:r>
          </w:p>
        </w:tc>
        <w:tc>
          <w:tcPr>
            <w:tcW w:w="5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LIFO reserve</w:t>
            </w:r>
          </w:p>
        </w:tc>
        <w:tc>
          <w:tcPr>
            <w:tcW w:w="50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280" w:type="dxa"/>
            <w:vAlign w:val="bottom"/>
          </w:tcPr>
          <w:p>
            <w:pPr>
              <w:spacing w:after="0"/>
              <w:rPr>
                <w:sz w:val="14"/>
                <w:szCs w:val="14"/>
                <w:color w:val="auto"/>
              </w:rPr>
            </w:pPr>
          </w:p>
        </w:tc>
        <w:tc>
          <w:tcPr>
            <w:tcW w:w="254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deferred tax assets - current</w:t>
            </w:r>
          </w:p>
        </w:tc>
        <w:tc>
          <w:tcPr>
            <w:tcW w:w="5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1,920</w:t>
            </w:r>
          </w:p>
        </w:tc>
      </w:tr>
      <w:tr>
        <w:trPr>
          <w:trHeight w:val="166"/>
        </w:trPr>
        <w:tc>
          <w:tcPr>
            <w:tcW w:w="4280" w:type="dxa"/>
            <w:vAlign w:val="bottom"/>
          </w:tcPr>
          <w:p>
            <w:pPr>
              <w:spacing w:after="0"/>
              <w:rPr>
                <w:sz w:val="14"/>
                <w:szCs w:val="14"/>
                <w:color w:val="auto"/>
              </w:rPr>
            </w:pPr>
          </w:p>
        </w:tc>
        <w:tc>
          <w:tcPr>
            <w:tcW w:w="254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Deferred tax assets - noncurrent: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Excess of book over tax</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280" w:type="dxa"/>
            <w:vAlign w:val="bottom"/>
          </w:tcPr>
          <w:p>
            <w:pPr>
              <w:ind w:left="620"/>
              <w:spacing w:after="0"/>
              <w:rPr>
                <w:sz w:val="20"/>
                <w:szCs w:val="20"/>
                <w:color w:val="auto"/>
              </w:rPr>
            </w:pPr>
            <w:r>
              <w:rPr>
                <w:rFonts w:ascii="Courier New" w:cs="Courier New" w:eastAsia="Courier New" w:hAnsi="Courier New"/>
                <w:sz w:val="14"/>
                <w:szCs w:val="14"/>
                <w:color w:val="auto"/>
              </w:rPr>
              <w:t>depreciation/amortization</w:t>
            </w:r>
          </w:p>
        </w:tc>
        <w:tc>
          <w:tcPr>
            <w:tcW w:w="5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3,275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2,684</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Restructuring reserve</w:t>
            </w:r>
          </w:p>
        </w:tc>
        <w:tc>
          <w:tcPr>
            <w:tcW w:w="50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w:t>
            </w:r>
          </w:p>
        </w:tc>
        <w:tc>
          <w:tcPr>
            <w:tcW w:w="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 carryforward</w:t>
            </w:r>
          </w:p>
        </w:tc>
        <w:tc>
          <w:tcPr>
            <w:tcW w:w="50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15,760</w:t>
            </w:r>
          </w:p>
        </w:tc>
        <w:tc>
          <w:tcPr>
            <w:tcW w:w="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16,346</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Alternative minimum tax credit carryforward</w:t>
            </w:r>
          </w:p>
        </w:tc>
        <w:tc>
          <w:tcPr>
            <w:tcW w:w="50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1,138</w:t>
            </w:r>
          </w:p>
        </w:tc>
        <w:tc>
          <w:tcPr>
            <w:tcW w:w="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1,138</w:t>
            </w:r>
          </w:p>
        </w:tc>
      </w:tr>
      <w:tr>
        <w:trPr>
          <w:trHeight w:val="166"/>
        </w:trPr>
        <w:tc>
          <w:tcPr>
            <w:tcW w:w="4280" w:type="dxa"/>
            <w:vAlign w:val="bottom"/>
          </w:tcPr>
          <w:p>
            <w:pPr>
              <w:spacing w:after="0"/>
              <w:rPr>
                <w:sz w:val="14"/>
                <w:szCs w:val="14"/>
                <w:color w:val="auto"/>
              </w:rPr>
            </w:pPr>
          </w:p>
        </w:tc>
        <w:tc>
          <w:tcPr>
            <w:tcW w:w="254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50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20,582</w:t>
            </w:r>
          </w:p>
        </w:tc>
        <w:tc>
          <w:tcPr>
            <w:tcW w:w="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21,449</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50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(6,234)</w:t>
            </w:r>
          </w:p>
        </w:tc>
        <w:tc>
          <w:tcPr>
            <w:tcW w:w="2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(6,234)</w:t>
            </w:r>
          </w:p>
        </w:tc>
      </w:tr>
      <w:tr>
        <w:trPr>
          <w:trHeight w:val="166"/>
        </w:trPr>
        <w:tc>
          <w:tcPr>
            <w:tcW w:w="4280" w:type="dxa"/>
            <w:vAlign w:val="bottom"/>
          </w:tcPr>
          <w:p>
            <w:pPr>
              <w:spacing w:after="0"/>
              <w:rPr>
                <w:sz w:val="14"/>
                <w:szCs w:val="14"/>
                <w:color w:val="auto"/>
              </w:rPr>
            </w:pPr>
          </w:p>
        </w:tc>
        <w:tc>
          <w:tcPr>
            <w:tcW w:w="254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deferred tax assets, net - noncurrent</w:t>
            </w:r>
          </w:p>
        </w:tc>
        <w:tc>
          <w:tcPr>
            <w:tcW w:w="14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$ 14,347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15,215</w:t>
            </w:r>
          </w:p>
        </w:tc>
      </w:tr>
      <w:tr>
        <w:trPr>
          <w:trHeight w:val="166"/>
        </w:trPr>
        <w:tc>
          <w:tcPr>
            <w:tcW w:w="4280" w:type="dxa"/>
            <w:vAlign w:val="bottom"/>
          </w:tcPr>
          <w:p>
            <w:pPr>
              <w:spacing w:after="0"/>
              <w:rPr>
                <w:sz w:val="14"/>
                <w:szCs w:val="14"/>
                <w:color w:val="auto"/>
              </w:rPr>
            </w:pPr>
          </w:p>
        </w:tc>
        <w:tc>
          <w:tcPr>
            <w:tcW w:w="254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a result of restructuring and other non-recurring charges recorded in fiscal 2000, the Company recorded a write-down of tax assets in fiscal 2000 of $6.0 million attributable to the potential that certain deferred federal and state tax assets may not be realizable.</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Realization of the Company's deferred tax assets, which relate principally to net operating loss carryforwards which expire 2017 through 2019, is dependent on generating sufficient taxable income during the carryforward period. Accordingly, the valuation allowance at February 3, 2001 is primarily attributable to the potential that certain deferred federal and state tax assets will not be realizable. Although realization is not assured, management believes it is more likely than not that all of the remaining deferred tax assets will be realized. In reaching this determination, management considered the Company's historical performance, noting that the losses in fiscal 1998, 1999 and 2000 which generated the net operating loss carryforwards described above were principally the result of charges incurred to exit unprofitable businesses and that the Company's core business of selling Levi Strauss branded apparel in outlet stores has been consistently profitable. Assuming future operating results consistent with fiscal 2001, the Company could expect to realize its deferred tax assets in the next 6 to 7 years; however, management projections of future results, which are based, in part, on results from new stores expected to open over the next two to three years, anticipate increases in profitability which are expected to result in realization of the deferred tax assets over the next three years. As a result, no additional charge to the valuation allowance was deemed necessary at February 3, 2001.</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4" w:name="page35"/>
    <w:bookmarkEnd w:id="34"/>
    <w:p>
      <w:pPr>
        <w:ind w:right="3419"/>
        <w:spacing w:after="0" w:line="252" w:lineRule="auto"/>
        <w:rPr>
          <w:sz w:val="20"/>
          <w:szCs w:val="20"/>
          <w:color w:val="auto"/>
        </w:rPr>
      </w:pPr>
      <w:r>
        <w:rPr>
          <w:rFonts w:ascii="Courier New" w:cs="Courier New" w:eastAsia="Courier New" w:hAnsi="Courier New"/>
          <w:sz w:val="14"/>
          <w:szCs w:val="14"/>
          <w:color w:val="auto"/>
        </w:rPr>
        <w:t>The amount of the deferred tax assets considered realizable could be reduced in the near term if projections of future taxable income during the carryforward period are reduced.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(benefit) for income taxes consists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YEARS ENDED</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February 3,</w:t>
            </w:r>
          </w:p>
        </w:tc>
        <w:tc>
          <w:tcPr>
            <w:tcW w:w="3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January 29,</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January 30,</w:t>
            </w:r>
          </w:p>
        </w:tc>
      </w:tr>
      <w:tr>
        <w:trPr>
          <w:trHeight w:val="166"/>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600" w:type="dxa"/>
            <w:vAlign w:val="bottom"/>
          </w:tcPr>
          <w:p>
            <w:pPr>
              <w:spacing w:after="0"/>
              <w:rPr>
                <w:sz w:val="14"/>
                <w:szCs w:val="14"/>
                <w:color w:val="auto"/>
              </w:rPr>
            </w:pPr>
          </w:p>
        </w:tc>
        <w:tc>
          <w:tcPr>
            <w:tcW w:w="4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 thousands)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c>
          <w:tcPr>
            <w:tcW w:w="3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508</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2600" w:type="dxa"/>
            <w:vAlign w:val="bottom"/>
          </w:tcPr>
          <w:p>
            <w:pPr>
              <w:spacing w:after="0"/>
              <w:rPr>
                <w:sz w:val="14"/>
                <w:szCs w:val="14"/>
                <w:color w:val="auto"/>
              </w:rPr>
            </w:pPr>
          </w:p>
        </w:tc>
        <w:tc>
          <w:tcPr>
            <w:tcW w:w="4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c>
          <w:tcPr>
            <w:tcW w:w="3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508</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2600" w:type="dxa"/>
            <w:vAlign w:val="bottom"/>
          </w:tcPr>
          <w:p>
            <w:pPr>
              <w:spacing w:after="0"/>
              <w:rPr>
                <w:sz w:val="14"/>
                <w:szCs w:val="14"/>
                <w:color w:val="auto"/>
              </w:rPr>
            </w:pPr>
          </w:p>
        </w:tc>
        <w:tc>
          <w:tcPr>
            <w:tcW w:w="4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c>
          <w:tcPr>
            <w:tcW w:w="3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439</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(10,006)</w:t>
            </w: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1,661</w:t>
            </w:r>
          </w:p>
        </w:tc>
        <w:tc>
          <w:tcPr>
            <w:tcW w:w="3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1,268</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(1,086)</w:t>
            </w:r>
          </w:p>
        </w:tc>
      </w:tr>
      <w:tr>
        <w:trPr>
          <w:trHeight w:val="166"/>
        </w:trPr>
        <w:tc>
          <w:tcPr>
            <w:tcW w:w="2600" w:type="dxa"/>
            <w:vAlign w:val="bottom"/>
          </w:tcPr>
          <w:p>
            <w:pPr>
              <w:spacing w:after="0"/>
              <w:rPr>
                <w:sz w:val="14"/>
                <w:szCs w:val="14"/>
                <w:color w:val="auto"/>
              </w:rPr>
            </w:pPr>
          </w:p>
        </w:tc>
        <w:tc>
          <w:tcPr>
            <w:tcW w:w="4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2,023</w:t>
            </w:r>
          </w:p>
        </w:tc>
        <w:tc>
          <w:tcPr>
            <w:tcW w:w="3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1,707</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(11,092)</w:t>
            </w:r>
          </w:p>
        </w:tc>
      </w:tr>
      <w:tr>
        <w:trPr>
          <w:trHeight w:val="166"/>
        </w:trPr>
        <w:tc>
          <w:tcPr>
            <w:tcW w:w="2600" w:type="dxa"/>
            <w:vAlign w:val="bottom"/>
          </w:tcPr>
          <w:p>
            <w:pPr>
              <w:spacing w:after="0"/>
              <w:rPr>
                <w:sz w:val="14"/>
                <w:szCs w:val="14"/>
                <w:color w:val="auto"/>
              </w:rPr>
            </w:pPr>
          </w:p>
        </w:tc>
        <w:tc>
          <w:tcPr>
            <w:tcW w:w="4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provision (benefit)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2,272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2,215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(10,728)</w:t>
            </w:r>
          </w:p>
        </w:tc>
      </w:tr>
      <w:tr>
        <w:trPr>
          <w:trHeight w:val="166"/>
        </w:trPr>
        <w:tc>
          <w:tcPr>
            <w:tcW w:w="2600" w:type="dxa"/>
            <w:vAlign w:val="bottom"/>
          </w:tcPr>
          <w:p>
            <w:pPr>
              <w:spacing w:after="0"/>
              <w:rPr>
                <w:sz w:val="14"/>
                <w:szCs w:val="14"/>
                <w:color w:val="auto"/>
              </w:rPr>
            </w:pPr>
          </w:p>
        </w:tc>
        <w:tc>
          <w:tcPr>
            <w:tcW w:w="4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is a reconciliation between the statutory and effective income tax rates: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FISCAL YEARS ENDED</w:t>
            </w:r>
          </w:p>
        </w:tc>
      </w:tr>
      <w:tr>
        <w:trPr>
          <w:trHeight w:val="166"/>
        </w:trPr>
        <w:tc>
          <w:tcPr>
            <w:tcW w:w="5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February 3,</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January 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January 30,</w:t>
            </w:r>
          </w:p>
        </w:tc>
      </w:tr>
      <w:tr>
        <w:trPr>
          <w:trHeight w:val="166"/>
        </w:trPr>
        <w:tc>
          <w:tcPr>
            <w:tcW w:w="510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5100" w:type="dxa"/>
            <w:vAlign w:val="bottom"/>
          </w:tcPr>
          <w:p>
            <w:pPr>
              <w:spacing w:after="0"/>
              <w:rPr>
                <w:sz w:val="14"/>
                <w:szCs w:val="14"/>
                <w:color w:val="auto"/>
              </w:rPr>
            </w:pPr>
          </w:p>
        </w:tc>
        <w:tc>
          <w:tcPr>
            <w:tcW w:w="3700" w:type="dxa"/>
            <w:vAlign w:val="bottom"/>
            <w:gridSpan w:val="3"/>
          </w:tcPr>
          <w:p>
            <w:pPr>
              <w:jc w:val="center"/>
              <w:ind w:lef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State income and other taxes, net of federal tax benefit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Change in valuation allowance</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55.4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Expiration of capital loss carryforward</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3700" w:type="dxa"/>
            <w:vAlign w:val="bottom"/>
            <w:gridSpan w:val="3"/>
          </w:tcPr>
          <w:p>
            <w:pPr>
              <w:jc w:val="center"/>
              <w:ind w:lef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w:t>
            </w:r>
          </w:p>
        </w:tc>
      </w:tr>
      <w:tr>
        <w:trPr>
          <w:trHeight w:val="166"/>
        </w:trPr>
        <w:tc>
          <w:tcPr>
            <w:tcW w:w="5100" w:type="dxa"/>
            <w:vAlign w:val="bottom"/>
          </w:tcPr>
          <w:p>
            <w:pPr>
              <w:spacing w:after="0"/>
              <w:rPr>
                <w:sz w:val="14"/>
                <w:szCs w:val="14"/>
                <w:color w:val="auto"/>
              </w:rPr>
            </w:pPr>
          </w:p>
        </w:tc>
        <w:tc>
          <w:tcPr>
            <w:tcW w:w="3700" w:type="dxa"/>
            <w:vAlign w:val="bottom"/>
            <w:gridSpan w:val="3"/>
          </w:tcPr>
          <w:p>
            <w:pPr>
              <w:jc w:val="center"/>
              <w:ind w:left="1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The Company received income tax refunds of $75,000 and $12,984,000 for fiscal years 2000 and 1999, respectively, and the Company paid income taxes of $184,000 during fiscal year 2001. These figures represent the net of payments and receipts.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first quarter of fiscal year 1999, the Internal Revenue Service ("IRS") completed an examination of the Company's federal income tax returns for fiscal years 1992 through 1996. Taxes on the adjustments proposed by the IRS, excluding interest, amount to approximately $4.9 million. The IRS has challenged the fiscal tax years in which various income and expense deductions were recognized, resulting in potential timing differences of previously paid federal income taxes. The Company appealed these proposed adjustments through the IRS appeals process. The Company and the IRS have reached a preliminary settlement, which the Company believes will result in final cash payments of approximately $1.9 million as compared to the original assessment of $4.9 million. In the opinion of management, adequate provisions have been made for all related income taxes and interest.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COMMITMENTS AND CONTINGENCIES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February 3, 2001, the Company was obligated under operating leases covering store and office space, automobiles and certain equipment for future minimum rentals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34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$16,831</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14,924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15,292</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12,894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8,572</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21,251</w:t>
            </w:r>
          </w:p>
        </w:tc>
      </w:tr>
      <w:tr>
        <w:trPr>
          <w:trHeight w:val="166"/>
        </w:trPr>
        <w:tc>
          <w:tcPr>
            <w:tcW w:w="2120" w:type="dxa"/>
            <w:vAlign w:val="bottom"/>
          </w:tcPr>
          <w:p>
            <w:pPr>
              <w:spacing w:after="0"/>
              <w:rPr>
                <w:sz w:val="14"/>
                <w:szCs w:val="14"/>
                <w:color w:val="auto"/>
              </w:rPr>
            </w:pP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14"/>
                <w:szCs w:val="14"/>
                <w:color w:val="auto"/>
              </w:rPr>
            </w:pP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$89,764</w:t>
            </w:r>
          </w:p>
        </w:tc>
      </w:tr>
      <w:tr>
        <w:trPr>
          <w:trHeight w:val="166"/>
        </w:trPr>
        <w:tc>
          <w:tcPr>
            <w:tcW w:w="2120" w:type="dxa"/>
            <w:vAlign w:val="bottom"/>
          </w:tcPr>
          <w:p>
            <w:pPr>
              <w:spacing w:after="0"/>
              <w:rPr>
                <w:sz w:val="14"/>
                <w:szCs w:val="14"/>
                <w:color w:val="auto"/>
              </w:rPr>
            </w:pP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2120" w:type="dxa"/>
            <w:vAlign w:val="bottom"/>
          </w:tcPr>
          <w:p>
            <w:pPr>
              <w:spacing w:after="0"/>
              <w:rPr>
                <w:sz w:val="24"/>
                <w:szCs w:val="24"/>
                <w:color w:val="auto"/>
              </w:rPr>
            </w:pPr>
          </w:p>
        </w:tc>
        <w:tc>
          <w:tcPr>
            <w:tcW w:w="340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35</w:t>
            </w:r>
          </w:p>
        </w:tc>
      </w:tr>
    </w:tbl>
    <w:p>
      <w:pPr>
        <w:sectPr>
          <w:pgSz w:w="11900" w:h="16838" w:orient="portrait"/>
          <w:cols w:equalWidth="0" w:num="1">
            <w:col w:w="10239"/>
          </w:cols>
          <w:pgMar w:left="220" w:top="616" w:right="1440" w:bottom="1440" w:gutter="0" w:footer="0" w:header="0"/>
        </w:sectPr>
      </w:pPr>
    </w:p>
    <w:bookmarkStart w:id="35" w:name="page36"/>
    <w:bookmarkEnd w:id="35"/>
    <w:p>
      <w:pPr>
        <w:ind w:right="3339"/>
        <w:spacing w:after="0" w:line="250" w:lineRule="auto"/>
        <w:rPr>
          <w:sz w:val="20"/>
          <w:szCs w:val="20"/>
          <w:color w:val="auto"/>
        </w:rPr>
      </w:pPr>
      <w:r>
        <w:rPr>
          <w:rFonts w:ascii="Courier New" w:cs="Courier New" w:eastAsia="Courier New" w:hAnsi="Courier New"/>
          <w:sz w:val="14"/>
          <w:szCs w:val="14"/>
          <w:color w:val="auto"/>
        </w:rPr>
        <w:t>The Company signed a lease for its corporate headquarters in Needham, Massachusetts, during fiscal 1996. The term of the lease is for ten years ending in November 2005. The lease provides for the Company to pay all related costs associated with the land and headquarters building. The Company entered into a lease agreement effective April 1, 1998 to sublease approximately 15,000 square feet to a sublessee for a term of five to eight years. The Company also entered into a second lease agreement effective July 1, 1998 to sublease 15,300 square feet to a sublessee for a term of five to seven years. During fiscal 2001, the Company subleased an additional 3,300 square feet to the same organization on a month to month basis. The Company entered into a third lease agreement effective September 1, 2001 to sublease 9,500 square feet for a term of five years. Under the lease for the corporate headquarters, a portion of the sublease income, net of the Company's rental cost and certain apportioned common area maintenance charges, is due back to the landlord when more than 30,000 square feet of the office space becomes subleased. At February 3, 2001, the Company had sub-leased approximately 43,000 of the 80,000 square feet of its corporate offices. The Company's commitment under this lease is reduced by the expected future rental income to be received from the Company's three sublessees, net of the sublease income due back to the landlord. The Company expects to receive approximately $1.0 million in fiscal 2002, $1.0 million in fiscal 2003, $477,000 in fiscal 2004, $228,000 in fiscal 2005 and $209,000 in fiscal 2006 in rental income under these sublease agreements.</w:t>
      </w:r>
    </w:p>
    <w:p>
      <w:pPr>
        <w:spacing w:after="0" w:line="17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November 13, 2000, the Company announced that it had entered into an option agreement with the landlord of its corporate headquarters. The agreement provides the landlord with the option, if exercised within 15 months from November 2000 which was the date of the agreement, to terminate the Company's lease for its corporate headquarters, which currently will expire on January 31, 2006. If such option is exercised by the landlord, then the Company will be entitled to receive $8.9 million provided that certain conditions in connection with vacating the leased property are met. If the option is exercised, the Company would have seven months thereafter to vacate the premises. If the Company failed to perform all the conditions of the option agreement, the Company would forfeit its right up to the entire $8.9 million payment.</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As of February 3, 2001, the Company had approximately $2.2 million in unamortized leasehold improvements relating to its corporate headquarters.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2001, the Company entered into a lease for its 60,000 square foot distribution center located in Orlando, Florida. Effective August 15, 2000, the lease has a term of five years ending August 14, 2005, at which time the Company has the option to extend its lease for an additional five years. Subsequent to fiscal 2001 year end, the Company also entered into another lease agreement to lease an additional 16,000 square feet of warehouse space also located in Orlando, Florida. The lease for the additional space expires March 31, 2005. The Company also utilizes a 30,000 square foot third party distribution center in Mansfield, Massachusetts.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Amounts charged to operations for the above occupancy costs, automobile and leased equipment expense were $22,250,000, $22,571,000 and $30,480,000 in fiscal 2001, 2000 and 1999, respectively. Of these amounts charged to operations, $75,000, $23,000 and $173,000 represent payments based upon a percentage of adjusted gross sales as provided in the lease agreement for fiscal 2001, 2000 and 1999, respectively.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remains principally liable on three leases which were assigned to Levi's Only Stores, Inc., a wholly-owned subsidiary of Levi Strauss &amp; Co., in connection with the sale of the Company's Original Levi's(R) Store(TM) located in Minneapolis, Minnesota, and the two Dockers(R) Shops located in Minneapolis, Minnesota, and Cambridge, Massachusetts. The store leases in Minneapolis and Cambridge expire in January 2003 and January 2002, respectively.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2000, the Company entered into severance agreements with three of its previous executives. Under the terms of the agreements, the Company is committed to pay severance to each executive for a two-year period. One of the three severance agreements requires the Company to maintain a letter of credit equal to the outstanding severance liability. At February 3, 2001, the Company has an outstanding liability related to these agreements of $617,000. The balance of the letter of credit outstanding at February 3, 2001 is $236,000.</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6" w:name="page37"/>
    <w:bookmarkEnd w:id="36"/>
    <w:p>
      <w:pPr>
        <w:ind w:right="3519"/>
        <w:spacing w:after="0" w:line="252" w:lineRule="auto"/>
        <w:rPr>
          <w:sz w:val="20"/>
          <w:szCs w:val="20"/>
          <w:color w:val="auto"/>
        </w:rPr>
      </w:pPr>
      <w:r>
        <w:rPr>
          <w:rFonts w:ascii="Courier New" w:cs="Courier New" w:eastAsia="Courier New" w:hAnsi="Courier New"/>
          <w:sz w:val="14"/>
          <w:szCs w:val="14"/>
          <w:color w:val="auto"/>
        </w:rPr>
        <w:t>The Company is also subject to various legal proceedings and claims that arise in the ordinary course of business. Management believes that the resolution of these matters will not have an adverse impact on the results of operations or the financial position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F.STOCK OPTIONS</w:t>
      </w:r>
    </w:p>
    <w:p>
      <w:pPr>
        <w:spacing w:after="0" w:line="173"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On April 3, 1992, the Board of Directors adopted the 1992 Stock Incentive Plan (the "1992 Plan"), which became effective on June 9, 1992 when it was approved by the stockholders of the Company. Under the original 1992 Plan, up to</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1,850,000 shares of Common Stock may be issued pursuant to "incentive stock options" (as defined in Section 422 of the Internal Revenue Code of 1986,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 determinations with respect to amounts and conditions covering awards under the 1992 Plan. No incentive stock options may be granted under the 1992 Plan after April 2, 2002. Options have never been granted at a price less than fair value on the date of the grant. Options granted to employees, executives and directors typically vest over five, three and three years, respectively, with the exception of the premium priced options issued to the executives which vest over a five-year period. Options granted under the 1992 Plan expire ten years from the date of grant. The 1992 Plan terminates when all shares issuable thereunder have been issued.</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written consent dated as of April 28, 1997, the Board of Directors authorized an increase in the number of shares issuable under the 1992 Plan to 2,430,000 shares. In addition, the Board of Directors authorized an increase in the number of shares that may be granted during any fiscal year to any individual participant from 75,000 to 270,000 shares, but only if all such stock options have a per share exercise price not less than 200% of fair market value of one share of Common Stock on the date of grant. Furthermore, they authorized the elimination of certain provisions of the 1992 Plan that are no longer required by Rule 16b-3 under the Securities Exchange Act of 1934, as amended. The stockholders approved this increase and the other amendments to the 1992 Plan at the Annual Meeting of Stockholders held on June 10, 1997.</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May 19, 2000, the Board of Directors approved an amendment to the 1992 Plan to increase the number of shares authorized for issuance from 2,430,000 shares to 4,430,000 shares and to extend the date of termination of the 1992 Plan from April 2, 2002 to April 2, 2007. This amendment was subsequently approved by the Company's stockholders at the Annual Meeting of Stockholders on June 26,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shares subject to the 1992 Plan:</w:t>
      </w:r>
    </w:p>
    <w:p>
      <w:pPr>
        <w:spacing w:after="0" w:line="173"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240" w:val="left"/>
          <w:tab w:leader="none" w:pos="628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at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beginning of year</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501,075</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2,103,225</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2,041,749</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886,352</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261,106</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304,478</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354,225</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1,625,600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191,649</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181,352</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237,656</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51,353</w:t>
            </w:r>
          </w:p>
        </w:tc>
      </w:tr>
      <w:tr>
        <w:trPr>
          <w:trHeight w:val="166"/>
        </w:trPr>
        <w:tc>
          <w:tcPr>
            <w:tcW w:w="3840" w:type="dxa"/>
            <w:vAlign w:val="bottom"/>
          </w:tcPr>
          <w:p>
            <w:pPr>
              <w:spacing w:after="0"/>
              <w:rPr>
                <w:sz w:val="14"/>
                <w:szCs w:val="14"/>
                <w:color w:val="auto"/>
              </w:rPr>
            </w:pPr>
          </w:p>
        </w:tc>
        <w:tc>
          <w:tcPr>
            <w:tcW w:w="306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851,850</w:t>
            </w:r>
          </w:p>
        </w:tc>
        <w:tc>
          <w:tcPr>
            <w:tcW w:w="2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501,075</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2,103,225</w:t>
            </w:r>
          </w:p>
        </w:tc>
      </w:tr>
      <w:tr>
        <w:trPr>
          <w:trHeight w:val="166"/>
        </w:trPr>
        <w:tc>
          <w:tcPr>
            <w:tcW w:w="3840" w:type="dxa"/>
            <w:vAlign w:val="bottom"/>
          </w:tcPr>
          <w:p>
            <w:pPr>
              <w:spacing w:after="0"/>
              <w:rPr>
                <w:sz w:val="14"/>
                <w:szCs w:val="14"/>
                <w:color w:val="auto"/>
              </w:rPr>
            </w:pPr>
          </w:p>
        </w:tc>
        <w:tc>
          <w:tcPr>
            <w:tcW w:w="306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840" w:type="dxa"/>
            <w:vAlign w:val="bottom"/>
          </w:tcPr>
          <w:p>
            <w:pPr>
              <w:ind w:left="960"/>
              <w:spacing w:after="0"/>
              <w:rPr>
                <w:sz w:val="20"/>
                <w:szCs w:val="20"/>
                <w:color w:val="auto"/>
              </w:rPr>
            </w:pPr>
            <w:r>
              <w:rPr>
                <w:rFonts w:ascii="Courier New" w:cs="Courier New" w:eastAsia="Courier New" w:hAnsi="Courier New"/>
                <w:sz w:val="14"/>
                <w:szCs w:val="14"/>
                <w:color w:val="auto"/>
              </w:rPr>
              <w:t>end of year</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246,105</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396,075</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1,272,615</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Common shares reserved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840" w:type="dxa"/>
            <w:vAlign w:val="bottom"/>
          </w:tcPr>
          <w:p>
            <w:pPr>
              <w:ind w:left="960"/>
              <w:spacing w:after="0"/>
              <w:rPr>
                <w:sz w:val="20"/>
                <w:szCs w:val="20"/>
                <w:color w:val="auto"/>
              </w:rPr>
            </w:pPr>
            <w:r>
              <w:rPr>
                <w:rFonts w:ascii="Courier New" w:cs="Courier New" w:eastAsia="Courier New" w:hAnsi="Courier New"/>
                <w:sz w:val="14"/>
                <w:szCs w:val="14"/>
                <w:color w:val="auto"/>
              </w:rPr>
              <w:t>for future grants at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840" w:type="dxa"/>
            <w:vAlign w:val="bottom"/>
          </w:tcPr>
          <w:p>
            <w:pPr>
              <w:ind w:left="960"/>
              <w:spacing w:after="0"/>
              <w:rPr>
                <w:sz w:val="20"/>
                <w:szCs w:val="20"/>
                <w:color w:val="auto"/>
              </w:rPr>
            </w:pPr>
            <w:r>
              <w:rPr>
                <w:rFonts w:ascii="Courier New" w:cs="Courier New" w:eastAsia="Courier New" w:hAnsi="Courier New"/>
                <w:sz w:val="14"/>
                <w:szCs w:val="14"/>
                <w:color w:val="auto"/>
              </w:rPr>
              <w:t>end of year</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3,077,389</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1,624,266</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259,772</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Weighted-average exercise price per option:</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840" w:type="dxa"/>
            <w:vAlign w:val="bottom"/>
          </w:tcPr>
          <w:p>
            <w:pPr>
              <w:ind w:left="960"/>
              <w:spacing w:after="0"/>
              <w:rPr>
                <w:sz w:val="20"/>
                <w:szCs w:val="20"/>
                <w:color w:val="auto"/>
              </w:rPr>
            </w:pPr>
            <w:r>
              <w:rPr>
                <w:rFonts w:ascii="Courier New" w:cs="Courier New" w:eastAsia="Courier New" w:hAnsi="Courier New"/>
                <w:sz w:val="14"/>
                <w:szCs w:val="14"/>
                <w:color w:val="auto"/>
              </w:rPr>
              <w:t>Outstanding at beginning of year</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12.02</w:t>
            </w:r>
          </w:p>
        </w:tc>
      </w:tr>
      <w:tr>
        <w:trPr>
          <w:trHeight w:val="166"/>
        </w:trPr>
        <w:tc>
          <w:tcPr>
            <w:tcW w:w="3840" w:type="dxa"/>
            <w:vAlign w:val="bottom"/>
          </w:tcPr>
          <w:p>
            <w:pPr>
              <w:ind w:left="960"/>
              <w:spacing w:after="0"/>
              <w:rPr>
                <w:sz w:val="20"/>
                <w:szCs w:val="20"/>
                <w:color w:val="auto"/>
              </w:rPr>
            </w:pPr>
            <w:r>
              <w:rPr>
                <w:rFonts w:ascii="Courier New" w:cs="Courier New" w:eastAsia="Courier New" w:hAnsi="Courier New"/>
                <w:sz w:val="14"/>
                <w:szCs w:val="14"/>
                <w:color w:val="auto"/>
              </w:rPr>
              <w:t>Granted during the year</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0.97</w:t>
            </w:r>
          </w:p>
        </w:tc>
      </w:tr>
      <w:tr>
        <w:trPr>
          <w:trHeight w:val="166"/>
        </w:trPr>
        <w:tc>
          <w:tcPr>
            <w:tcW w:w="3840" w:type="dxa"/>
            <w:vAlign w:val="bottom"/>
          </w:tcPr>
          <w:p>
            <w:pPr>
              <w:ind w:left="960"/>
              <w:spacing w:after="0"/>
              <w:rPr>
                <w:sz w:val="20"/>
                <w:szCs w:val="20"/>
                <w:color w:val="auto"/>
              </w:rPr>
            </w:pPr>
            <w:r>
              <w:rPr>
                <w:rFonts w:ascii="Courier New" w:cs="Courier New" w:eastAsia="Courier New" w:hAnsi="Courier New"/>
                <w:sz w:val="14"/>
                <w:szCs w:val="14"/>
                <w:color w:val="auto"/>
              </w:rPr>
              <w:t>Canceled during the year</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5.41</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12.15</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9.09</w:t>
            </w:r>
          </w:p>
        </w:tc>
      </w:tr>
      <w:tr>
        <w:trPr>
          <w:trHeight w:val="166"/>
        </w:trPr>
        <w:tc>
          <w:tcPr>
            <w:tcW w:w="3840" w:type="dxa"/>
            <w:vAlign w:val="bottom"/>
          </w:tcPr>
          <w:p>
            <w:pPr>
              <w:ind w:left="960"/>
              <w:spacing w:after="0"/>
              <w:rPr>
                <w:sz w:val="20"/>
                <w:szCs w:val="20"/>
                <w:color w:val="auto"/>
              </w:rPr>
            </w:pPr>
            <w:r>
              <w:rPr>
                <w:rFonts w:ascii="Courier New" w:cs="Courier New" w:eastAsia="Courier New" w:hAnsi="Courier New"/>
                <w:sz w:val="14"/>
                <w:szCs w:val="14"/>
                <w:color w:val="auto"/>
              </w:rPr>
              <w:t>Exercised during the year</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w:t>
            </w:r>
          </w:p>
        </w:tc>
        <w:tc>
          <w:tcPr>
            <w:tcW w:w="2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r>
      <w:tr>
        <w:trPr>
          <w:trHeight w:val="166"/>
        </w:trPr>
        <w:tc>
          <w:tcPr>
            <w:tcW w:w="3840" w:type="dxa"/>
            <w:vAlign w:val="bottom"/>
          </w:tcPr>
          <w:p>
            <w:pPr>
              <w:ind w:left="960"/>
              <w:spacing w:after="0"/>
              <w:rPr>
                <w:sz w:val="20"/>
                <w:szCs w:val="20"/>
                <w:color w:val="auto"/>
              </w:rPr>
            </w:pPr>
            <w:r>
              <w:rPr>
                <w:rFonts w:ascii="Courier New" w:cs="Courier New" w:eastAsia="Courier New" w:hAnsi="Courier New"/>
                <w:sz w:val="14"/>
                <w:szCs w:val="14"/>
                <w:color w:val="auto"/>
              </w:rPr>
              <w:t>Outstanding at end of year</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10.94</w:t>
            </w:r>
          </w:p>
        </w:tc>
      </w:tr>
      <w:tr>
        <w:trPr>
          <w:trHeight w:val="497"/>
        </w:trPr>
        <w:tc>
          <w:tcPr>
            <w:tcW w:w="3840" w:type="dxa"/>
            <w:vAlign w:val="bottom"/>
          </w:tcPr>
          <w:p>
            <w:pPr>
              <w:ind w:left="3360"/>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7" w:name="page38"/>
    <w:bookmarkEnd w:id="37"/>
    <w:p>
      <w:pPr>
        <w:ind w:right="3440"/>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under the 1992 Plan at February 3, 2001:</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Options Outstanding</w:t>
            </w: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5"/>
                <w:szCs w:val="5"/>
                <w:color w:val="auto"/>
                <w:w w:val="71"/>
              </w:rPr>
              <w:t>- ------------------------------------------------------------------------</w:t>
            </w: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Remaining</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Weighted</w:t>
            </w:r>
          </w:p>
        </w:tc>
        <w:tc>
          <w:tcPr>
            <w:tcW w:w="1540" w:type="dxa"/>
            <w:vAlign w:val="bottom"/>
          </w:tcPr>
          <w:p>
            <w:pPr>
              <w:spacing w:after="0"/>
              <w:rPr>
                <w:sz w:val="24"/>
                <w:szCs w:val="2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6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Range of</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Number</w:t>
            </w:r>
          </w:p>
        </w:tc>
        <w:tc>
          <w:tcPr>
            <w:tcW w:w="15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Contractual</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Average</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Number</w:t>
            </w: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Exercise Prices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Outstanding</w:t>
            </w:r>
          </w:p>
        </w:tc>
        <w:tc>
          <w:tcPr>
            <w:tcW w:w="158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Life</w:t>
            </w:r>
          </w:p>
        </w:tc>
        <w:tc>
          <w:tcPr>
            <w:tcW w:w="1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Exercise Price</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Exercisable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jc w:val="right"/>
              <w:ind w:right="32"/>
              <w:spacing w:after="0"/>
              <w:rPr>
                <w:sz w:val="20"/>
                <w:szCs w:val="20"/>
                <w:color w:val="auto"/>
              </w:rPr>
            </w:pPr>
            <w:r>
              <w:rPr>
                <w:rFonts w:ascii="Courier New" w:cs="Courier New" w:eastAsia="Courier New" w:hAnsi="Courier New"/>
                <w:sz w:val="14"/>
                <w:szCs w:val="14"/>
                <w:color w:val="auto"/>
              </w:rPr>
              <w:t>$0.66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to $2.15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663,250</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years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$ 1.3468</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95,505</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$ 1.4107</w:t>
            </w:r>
          </w:p>
        </w:tc>
      </w:tr>
      <w:tr>
        <w:trPr>
          <w:trHeight w:val="166"/>
        </w:trPr>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2.16 to 4.30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38,000</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9.7</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years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2.3997</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4.31 to 6.45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22,000</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5.2</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years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4.4375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22,000</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4.4375</w:t>
            </w:r>
          </w:p>
        </w:tc>
      </w:tr>
      <w:tr>
        <w:trPr>
          <w:trHeight w:val="166"/>
        </w:trPr>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6.46 to 8.60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50,000</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3.3</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years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7.8063</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50,000</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7.8063</w:t>
            </w:r>
          </w:p>
        </w:tc>
      </w:tr>
      <w:tr>
        <w:trPr>
          <w:trHeight w:val="166"/>
        </w:trPr>
        <w:tc>
          <w:tcPr>
            <w:tcW w:w="620" w:type="dxa"/>
            <w:vAlign w:val="bottom"/>
          </w:tcPr>
          <w:p>
            <w:pPr>
              <w:jc w:val="right"/>
              <w:ind w:right="32"/>
              <w:spacing w:after="0"/>
              <w:rPr>
                <w:sz w:val="20"/>
                <w:szCs w:val="20"/>
                <w:color w:val="auto"/>
              </w:rPr>
            </w:pPr>
            <w:r>
              <w:rPr>
                <w:rFonts w:ascii="Courier New" w:cs="Courier New" w:eastAsia="Courier New" w:hAnsi="Courier New"/>
                <w:sz w:val="14"/>
                <w:szCs w:val="14"/>
                <w:color w:val="auto"/>
              </w:rPr>
              <w:t>8.61</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to 10.75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25,000</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years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25,000</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9.0000</w:t>
            </w:r>
          </w:p>
        </w:tc>
      </w:tr>
      <w:tr>
        <w:trPr>
          <w:trHeight w:val="166"/>
        </w:trPr>
        <w:tc>
          <w:tcPr>
            <w:tcW w:w="620" w:type="dxa"/>
            <w:vAlign w:val="bottom"/>
          </w:tcPr>
          <w:p>
            <w:pPr>
              <w:jc w:val="right"/>
              <w:ind w:right="32"/>
              <w:spacing w:after="0"/>
              <w:rPr>
                <w:sz w:val="20"/>
                <w:szCs w:val="20"/>
                <w:color w:val="auto"/>
              </w:rPr>
            </w:pPr>
            <w:r>
              <w:rPr>
                <w:rFonts w:ascii="Courier New" w:cs="Courier New" w:eastAsia="Courier New" w:hAnsi="Courier New"/>
                <w:sz w:val="14"/>
                <w:szCs w:val="14"/>
                <w:color w:val="auto"/>
              </w:rPr>
              <w:t>10.76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to 12.90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30,600</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years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11.1700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30,600</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11.1700</w:t>
            </w:r>
          </w:p>
        </w:tc>
      </w:tr>
      <w:tr>
        <w:trPr>
          <w:trHeight w:val="166"/>
        </w:trPr>
        <w:tc>
          <w:tcPr>
            <w:tcW w:w="620" w:type="dxa"/>
            <w:vAlign w:val="bottom"/>
          </w:tcPr>
          <w:p>
            <w:pPr>
              <w:jc w:val="right"/>
              <w:ind w:right="32"/>
              <w:spacing w:after="0"/>
              <w:rPr>
                <w:sz w:val="20"/>
                <w:szCs w:val="20"/>
                <w:color w:val="auto"/>
              </w:rPr>
            </w:pPr>
            <w:r>
              <w:rPr>
                <w:rFonts w:ascii="Courier New" w:cs="Courier New" w:eastAsia="Courier New" w:hAnsi="Courier New"/>
                <w:sz w:val="14"/>
                <w:szCs w:val="14"/>
                <w:color w:val="auto"/>
              </w:rPr>
              <w:t>12.91</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to 17.20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jc w:val="right"/>
              <w:ind w:right="32"/>
              <w:spacing w:after="0"/>
              <w:rPr>
                <w:sz w:val="20"/>
                <w:szCs w:val="20"/>
                <w:color w:val="auto"/>
              </w:rPr>
            </w:pPr>
            <w:r>
              <w:rPr>
                <w:rFonts w:ascii="Courier New" w:cs="Courier New" w:eastAsia="Courier New" w:hAnsi="Courier New"/>
                <w:sz w:val="14"/>
                <w:szCs w:val="14"/>
                <w:color w:val="auto"/>
              </w:rPr>
              <w:t>17.21</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to 19.75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23,000</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years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17.7500</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23,000</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17.7500</w:t>
            </w:r>
          </w:p>
        </w:tc>
      </w:tr>
      <w:tr>
        <w:trPr>
          <w:trHeight w:val="166"/>
        </w:trPr>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r>
        <w:trPr>
          <w:trHeight w:val="166"/>
        </w:trPr>
        <w:tc>
          <w:tcPr>
            <w:tcW w:w="620" w:type="dxa"/>
            <w:vAlign w:val="bottom"/>
          </w:tcPr>
          <w:p>
            <w:pPr>
              <w:jc w:val="right"/>
              <w:ind w:right="32"/>
              <w:spacing w:after="0"/>
              <w:rPr>
                <w:sz w:val="20"/>
                <w:szCs w:val="20"/>
                <w:color w:val="auto"/>
              </w:rPr>
            </w:pPr>
            <w:r>
              <w:rPr>
                <w:rFonts w:ascii="Courier New" w:cs="Courier New" w:eastAsia="Courier New" w:hAnsi="Courier New"/>
                <w:sz w:val="14"/>
                <w:szCs w:val="14"/>
                <w:color w:val="auto"/>
              </w:rPr>
              <w:t>$0.66</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to $17.75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851,850</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246,105</w:t>
            </w:r>
          </w:p>
        </w:tc>
        <w:tc>
          <w:tcPr>
            <w:tcW w:w="16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bl>
    <w:p>
      <w:pPr>
        <w:spacing w:after="0" w:line="335" w:lineRule="exact"/>
        <w:rPr>
          <w:sz w:val="20"/>
          <w:szCs w:val="20"/>
          <w:color w:val="auto"/>
        </w:rPr>
      </w:pPr>
    </w:p>
    <w:p>
      <w:pPr>
        <w:ind w:right="3440"/>
        <w:spacing w:after="0" w:line="250" w:lineRule="auto"/>
        <w:rPr>
          <w:sz w:val="20"/>
          <w:szCs w:val="20"/>
          <w:color w:val="auto"/>
        </w:rPr>
      </w:pPr>
      <w:r>
        <w:rPr>
          <w:rFonts w:ascii="Courier New" w:cs="Courier New" w:eastAsia="Courier New" w:hAnsi="Courier New"/>
          <w:sz w:val="14"/>
          <w:szCs w:val="14"/>
          <w:color w:val="auto"/>
        </w:rPr>
        <w:t>On October 28, 1999, the Company entered into a consulting agreement with Jewelcor Management, Inc.("JMI"), currently a beneficial holder of approximately 18.4% of the Common Stock of the Company, to assist in developing and implementing a strategic plan for the Company and other related consulting services as may be agreed upon between the Company and JMI. As compensation for these services, JMI was given the right to receive a non-qualified stock option exercisable for up to 400,000 shares of the Company's Common Stock. These options, which will expire on April 30, 2002 if not exercised, were granted as compensation for consulting services to be performed over the six-month term of the agreement, which commenced October 28, 1999. These 400,000 options, which were fully vested and exercisable, were issued outside of the 1992 Plan at an exercise price of $1.16 per share equal to the market price of the Common Stock on the date of grant. The fair market value of these options, which was determined by an independent third party using a growth model, was $63,560. See Note G for a full discussion of the Company's consulting agreements with JMI.</w:t>
      </w:r>
    </w:p>
    <w:p>
      <w:pPr>
        <w:spacing w:after="0" w:line="172"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During the fourth quarter of fiscal 2000, stock options covering an aggregate of 90,000 shares of Common Stock were issued outside of the 1992 Plan to three non-employee directors as part of their consulting agreements with the Company. These options have exercise prices between $1.16 and $1.44 and are fully vested and exercisable. Of the 90,000 options issued, 60,000 remain outstanding at February 3, 2001. See Note G for further discussion.</w:t>
      </w:r>
    </w:p>
    <w:p>
      <w:pPr>
        <w:spacing w:after="0" w:line="164"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The Company applies APB Opinion No. 25 and related Interpretations in accounting for its plans. FASB Statement No. 123, "Accounting for Stock-Based Compensation" ("SFAS 123"), and requires the Company to elect either expense recognition under SFAS 123 or its disclosure-only alternative for stock-based employee compensation. The Company has elected the disclosure-only alternative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123, the Company's net income (loss) and income (loss) per share would have been as indicated below :</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FISCAL</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YEARS ENDED</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1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February 3, 2001</w:t>
            </w: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January 29, 2000</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 30, 1999</w:t>
            </w:r>
          </w:p>
        </w:tc>
      </w:tr>
      <w:tr>
        <w:trPr>
          <w:trHeight w:val="166"/>
        </w:trPr>
        <w:tc>
          <w:tcPr>
            <w:tcW w:w="1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 as reported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3,216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(12,493)</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(18,541)</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 pro-forma</w:t>
            </w:r>
          </w:p>
        </w:tc>
        <w:tc>
          <w:tcPr>
            <w:tcW w:w="78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3,109</w:t>
            </w:r>
          </w:p>
        </w:tc>
        <w:tc>
          <w:tcPr>
            <w:tcW w:w="740" w:type="dxa"/>
            <w:vAlign w:val="bottom"/>
          </w:tcPr>
          <w:p>
            <w:pPr>
              <w:spacing w:after="0"/>
              <w:rPr>
                <w:sz w:val="14"/>
                <w:szCs w:val="14"/>
                <w:color w:val="auto"/>
              </w:rPr>
            </w:pP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(12,614)</w:t>
            </w:r>
          </w:p>
        </w:tc>
        <w:tc>
          <w:tcPr>
            <w:tcW w:w="6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(18,782)</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Income (loss) per</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share- basic and diluted as reported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(0.20)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(0.78)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Income (loss) per</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share- basic and diluted pro-forma</w:t>
            </w:r>
          </w:p>
        </w:tc>
        <w:tc>
          <w:tcPr>
            <w:tcW w:w="78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(0.19)</w:t>
            </w:r>
          </w:p>
        </w:tc>
        <w:tc>
          <w:tcPr>
            <w:tcW w:w="740" w:type="dxa"/>
            <w:vAlign w:val="bottom"/>
          </w:tcPr>
          <w:p>
            <w:pPr>
              <w:spacing w:after="0"/>
              <w:rPr>
                <w:sz w:val="14"/>
                <w:szCs w:val="14"/>
                <w:color w:val="auto"/>
              </w:rPr>
            </w:pP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(0.78)</w:t>
            </w:r>
          </w:p>
        </w:tc>
        <w:tc>
          <w:tcPr>
            <w:tcW w:w="6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w:t>
            </w:r>
          </w:p>
        </w:tc>
      </w:tr>
    </w:tbl>
    <w:p>
      <w:pPr>
        <w:spacing w:after="0" w:line="335" w:lineRule="exact"/>
        <w:rPr>
          <w:sz w:val="20"/>
          <w:szCs w:val="20"/>
          <w:color w:val="auto"/>
        </w:rPr>
      </w:pPr>
    </w:p>
    <w:p>
      <w:pPr>
        <w:ind w:right="3520"/>
        <w:spacing w:after="0" w:line="253" w:lineRule="auto"/>
        <w:rPr>
          <w:sz w:val="20"/>
          <w:szCs w:val="20"/>
          <w:color w:val="auto"/>
        </w:rPr>
      </w:pPr>
      <w:r>
        <w:rPr>
          <w:rFonts w:ascii="Courier New" w:cs="Courier New" w:eastAsia="Courier New" w:hAnsi="Courier New"/>
          <w:sz w:val="14"/>
          <w:szCs w:val="14"/>
          <w:color w:val="auto"/>
        </w:rPr>
        <w:t>The effects of applying SFAS 123 in this pro-forma disclosure are not likely to be representative of the effects on reported net income for future years. SFAS 123 does not apply to awards prior to 1995 and additional awards are anticipated.</w:t>
      </w: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340"/>
          </w:cols>
          <w:pgMar w:left="220" w:top="616" w:right="1339" w:bottom="1440" w:gutter="0" w:footer="0" w:header="0"/>
        </w:sectPr>
      </w:pPr>
    </w:p>
    <w:bookmarkStart w:id="38" w:name="page39"/>
    <w:bookmarkEnd w:id="38"/>
    <w:p>
      <w:pPr>
        <w:ind w:right="3419"/>
        <w:spacing w:after="0" w:line="251"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 Scholes option-pricing model with the following weighted-average assumptions used for grants in fiscal 2001, 2000 and 1999: expected volatility of 91.7% in fiscal 2001, 93.7% in fiscal 2000 and 92.8% in fiscal 1999; risk-free interest rate of 4.8%, 6.6% and 5.0% in fiscal 2001, 2000 and 1999, respectively; and expected lives of 4.5 years. No dividend rate was used for fiscal 2001, 2000 and 1999. The weighted- average fair value of options as well as restricted stock granted in fiscal 2001, 2000 and 1999 was $1.22, $1.60 and $0.97,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Repurchase Programs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During the second and third quarters of fiscal 2001, the Company repurchased 863,000 shares of its Common Stock at an aggregate cost of $1,861,000 under a Stock Repurchase Program that was approved by the Company's Board of Directors in June 2000.</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utilized two brokerage firms in connection with the repurchase of the 863,000 shares. Sterling Financial Investment Group, Inc. ("Sterling Financial"), one of the firms used, is owned by a family relation of Seymour Holtzman, the Chairman of the Company's Board of Directors. The Company negotiated a commission of $0.03 per share with each brokerage firm for trades executed as part of the Company's stock repurchase program. The Company paid Sterling Financial total commissions of $20,940 for trades they executed as part of the Company's stock repurchase program.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December 28, 2000, the Company purchased approximately 1.8 million shares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 through a "Dutch Auction" tender offer. Under the terms of the offer,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invited its shareholders to tender their shares to the Company at prices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by the tendering shareholders not in excess of $3.00 nor less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per share, in ten-cent ($0.10) increments. The Company selected the lowest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single per-share purchase price that allowed it to buy 1.5 million shares, or 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an additional 1.0 million shares at the Company's option.</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These shares were purchased in the open market and were recorded by the Company as treasury stock and are reflected as a reduction in stockholders' equity. Treasury shares also include restricted shares of the Company which were forfeited by associates.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RELATED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Jewelcor Management,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October 28, 1999, the Company entered into a consulting agreement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Jewelcor Management, Inc. ("JMI") to assist in developing and implementing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plan for the Company and for other related consulting services as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agreed upon between JMI and the Company. Seymour Holtzman, who became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Chairman of the Board on April 11, 2000, is beneficial holder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18.4% of the Common Stock of the Company (principally held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JMI). He is also the President and Chief Executive Officer, and indirectly,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 wife, the shareholder of JMI. As compensation for these services, JMI was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given the right to receive a non-qualified stock option to purchase up to 400,000 shares of the Company's Common Stock, exercisable at the closing price of the Common Stock on October 28, 1999. JMI was also entitled to certain additional compensation in respect of its services under the consulting agreement, which was paid to JMI in shares of Common Stock in lieu of cash. The total value of the compensation paid to JMI under this agreement consisted of</w:t>
      </w:r>
    </w:p>
    <w:p>
      <w:pPr>
        <w:spacing w:after="0" w:line="3" w:lineRule="exact"/>
        <w:rPr>
          <w:sz w:val="20"/>
          <w:szCs w:val="20"/>
          <w:color w:val="auto"/>
        </w:rPr>
      </w:pPr>
    </w:p>
    <w:p>
      <w:pPr>
        <w:ind w:left="360" w:hanging="352"/>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option to purchase 400,000 shares of the Company's Common Stock,</w:t>
      </w:r>
    </w:p>
    <w:p>
      <w:pPr>
        <w:spacing w:after="0" w:line="7" w:lineRule="exact"/>
        <w:rPr>
          <w:rFonts w:ascii="Courier New" w:cs="Courier New" w:eastAsia="Courier New" w:hAnsi="Courier New"/>
          <w:sz w:val="14"/>
          <w:szCs w:val="14"/>
          <w:color w:val="auto"/>
        </w:rPr>
      </w:pPr>
    </w:p>
    <w:p>
      <w:pPr>
        <w:jc w:val="both"/>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which was valued by an independent third party, using a growth model, at $63,560 and (ii) the issuance of 203,489 shares of the Company's Common Stock, which had an aggregate market value of $240,000, totaling compensation paid of $347,560.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26, 2000, the Company extended its consulting arrangement with JMI for an additional one-year period commencing on April 29, 2000 and ending on April 29, 2001. As payment for services rendered under this extended agreement, the Company issued to JMI 182,857 non-forfeitable and fully vested shares of the Company's Common Stock. The fair value of those shares on June 26, 2000, the date of issuance, was $240,000 or $1.3125 per share. The agreement also includes a significant disincentive for non-performance, which would require JMI to pay to the Company a penalty equal to 150% of any unearned consulting services.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In fiscal 2000, the Company also reimbursed JMI in the amount of $400,000, which was paid in shares of the Company's Common Stock, for expenses incurred by JMI in connection with the 2000 proxy solicitation. Based on the closing price of the stock on October 29, 1999, JMI received 346,021 shares of the Company's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Arrangements with Other Directors</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In fiscal 2000, the Company also entered into three consulting agreements with three of its other Board members: John J. Schultz, Robert L. Patron and George T. Porter, Jr.</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October 28, 1999, the Company engaged John J. Schultz, under a consulting agreement, to act as President and Chief Executive Officer of the Company on an interim basis and to assist in the search for a permanent President and Chief Executive Officer. Mr. Schultz was paid a rate of $2,000 per day, payable at his election in cash or in shares of Common Stock, plus reimbursement of reasonable out-of-pocket expenses. Mr. Schultz was paid $63,179 and $83,311 as compensation and reimbursement of related expenses during fiscal 2001 and 2000, respectively. As part of his compensation, Mr. Schultz was also granted stock options exercisable for up to 95,000 shares of the Company's Common Stock. The per share exercise price of these options was the closing price of the Common Stock on the date of grant. On January 12, 2001, Mr. Schultz resigned as a Director of the Company. In conjunction with his resignation, Mr. Schultz exercised 105,000 options and sold the shares issued upon exercise back to the Company. Such options related to his services as a board member in addition to his consulting agreement. The Company paid Mr. Schultz $97,032, which represented the spread between the closing price of the Company's Common Stock on January 12, 2001 of $2.1875 per share and the exercise price of the various options. The Company holds these 105,000 repurchased shares as treasury stock at February 3, 2001.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November 19, 1999, the Company entered into a consulting agreement with Business Ventures International, Inc., a company affiliated with Robert Patron, a member of the Company's Board, to advise the Company with regard to real estate matters. As compensation for these services, Mr. Patron is paid a rate of $2,000 per day, payable at his election in cash or in shares of Common Stock, plus reimbursement of reasonable out-of-pocket expenses. Mr. Patron was paid $35,362 and $14,000 as compensation and reimbursement of related expenses for fiscal 2001 and 2000, respectively. As part of his compensation, Mr. Patron was also granted stock options exercisable for up to 30,000 shares of the Company's Common Stock. The per share exercise price of these options was the closing price of shares of Common Stock on the date of grant.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8, 2000, the Company retained Mr. Porter as a consultant to advise the Company with regard to merchandising strategies and operations. As compensation for these services, Mr. Porter is paid a rate of $2,000 per day, payable at his election in cash or in shares of Common Stock, plus reimbursement of reasonable out-of-pocket expenses. Mr. Porter was paid $13,661 and $7,373 as compensation and reimbursement of related expenses for fiscal 2001 and 2000, respectively. As part of his compensation, Mr. Porter was also granted stock options exercisable for up to 30,000 shares of the Company's Common Stock. The per share exercise price of these options was the closing price of shares of Common Stock on the date of grant.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26,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the Company's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EMPLOYEE BENEFIT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defined contribution 401(k) plan that covers all eligible employees who have completed one year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2001, the matching contribution by the Company was set at 50% of contributions by eligible employees up to a maximum of 6% of salary. The Company recognized $159,000, $141,000 and $241,000 of expense under this plan in fiscal 2001, 2000 and 1999, respectively.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40" w:name="page41"/>
    <w:bookmarkEnd w:id="40"/>
    <w:p>
      <w:pPr>
        <w:ind w:right="8859" w:firstLine="8"/>
        <w:spacing w:after="0" w:line="501" w:lineRule="auto"/>
        <w:tabs>
          <w:tab w:leader="none" w:pos="25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Fiscal 2000</w:t>
      </w:r>
    </w:p>
    <w:p>
      <w:pPr>
        <w:ind w:right="3339"/>
        <w:spacing w:after="0" w:line="251" w:lineRule="auto"/>
        <w:rPr>
          <w:sz w:val="20"/>
          <w:szCs w:val="20"/>
          <w:color w:val="auto"/>
        </w:rPr>
      </w:pPr>
      <w:r>
        <w:rPr>
          <w:rFonts w:ascii="Courier New" w:cs="Courier New" w:eastAsia="Courier New" w:hAnsi="Courier New"/>
          <w:sz w:val="14"/>
          <w:szCs w:val="14"/>
          <w:color w:val="auto"/>
        </w:rPr>
        <w:t>During the fourth quarter of fiscal 2000, the Company recorded a pre-tax charge of $15.2 million related to inventory markdowns, the abandonment of the Company's Boston Traders(R) and related trademarks, severance, the closure of the Company's five Buffalo Jeans (R) Factory Stores and its five remaining Designs stores. All of these stores were closed and all employees were severed by the end of fiscal 2000. Of the $15.2 million charge, $7.8 million, which relates to markdowns, is reflected as a reduction in gross margin for fiscal 2000. This pre-tax charge of $15.2 million included cash costs of approximately $3.6 million related to lease terminations and corporate and store severance, and approximately $11.6 million of non-cash costs related to inventory markdowns and the impairment of trademarks and store assets. In addition, the Company also recorded a write-down of tax assets of $6.0 million attributable to the potential that certain deferred federal and state tax assets may not be realizable.</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February 3, 2001, the remaining reserve balance related to these charges was $852,000, which primarily related to severance payments still due to the Company's previous executives. The total cost of store closings and severance was $182,000 less than the original charge due to favorable lease negotiations on lease termination payments. As a result, the Company recognized income of $182,000 in the fourth quarter of fiscal 2001 which is reflected in the Provision for impairment of assets, store closings and severance on the Consolidated Statement of Operations for fiscal 2001.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third quarter of fiscal 1999, the Company announced its plans to close, through lease terminations and expirations, 14 unprofitable Designs stores, eight unprofitable Boston Trading Co.(R)/BTC(TM) stores and eight Original Levi's Stores(TM) operated by the OLS Partnership. This store closing strategy resulted in the Company recording a pre-tax charge of $13.4 million. The total cost to close these stores was $10.5 million, which is $2.9 million less than the original charge, primarily due to favorable landlord negotiations on lease termination payments. As a result, the Company recognized pre-tax income of $2.9 million in the fourth quarter of fiscal 1999. Total cash costs were $4.2 million related to lease terminations, employee severance and other related expenses. The remainder of the $10.5 million charge consists of non-cash costs of approximately $6.3 million in store fixed asset write-offs. All of these stores were closed by the end of fiscal 1999.</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fourth quarter of fiscal 1999, the Company recorded a pre-tax charge of $5.2 million related to the decision to close three BTC(TM) mall stores, one Designs mall store, and four Boston Traders(R) Outlet stores and to further reduce corporate headcount. The total cost of severance and store closings was $717,000 less than the original charge due to favorable landlord negotiations on lease termination payments. As a result, the Company recognized income of $717,000 in the fourth quarter of fiscal 2000 which is reflected in the Provision for impairment of assets, store closing and severance on the Consolidated Statement of Operations for fiscal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DISSOLUTION OF JOINT VENTURE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("Designs JV Subsidiary"), and LDJV Inc., a subsidiary of Levi's Only Stores, Inc. ("LOS"), which is a wholly-owned subsidiary of Levi Strauss &amp; Co., entered into a partnership agreement (the "Partnership Agreement"). The purpose of the Partnership Agreement was to sell Levi's(R) brand jeans and jeans-related products in Original Levi's Stores(R) and Levi's(R) Outlet stores in a specified territory. The joint venture established under the Partnership Agreement is known as The Designs/OLS Partnership (the "OLS Partnership").</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1998, the Company announced that it had reached an agreement with LOS to dissolve and wind up the OLS Partnership. Pursuant to this agreement, the OLS Partnership distributed to the Designs JV subsidiary 11 Levi's(R) Outlet stores, valued at a net book value of approximately $6.3 million. In addition, the OLS Partnership distributed three Original Levi's Stores(R) to LDJV Inc. The net book value of these three Original Levi's Stores(R) was approximately $5.5 million, which was greater than LDJV Inc.'s equity interest in the OLS Partnership. Consequently, LDJV Inc. made a $2.9 million capital contribution of cash to the OLS Partnership at October 31, 1998.</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1" w:name="page42"/>
    <w:bookmarkEnd w:id="41"/>
    <w:p>
      <w:pPr>
        <w:ind w:right="3339"/>
        <w:spacing w:after="0" w:line="251" w:lineRule="auto"/>
        <w:rPr>
          <w:sz w:val="20"/>
          <w:szCs w:val="20"/>
          <w:color w:val="auto"/>
        </w:rPr>
      </w:pPr>
      <w:r>
        <w:rPr>
          <w:rFonts w:ascii="Courier New" w:cs="Courier New" w:eastAsia="Courier New" w:hAnsi="Courier New"/>
          <w:sz w:val="14"/>
          <w:szCs w:val="14"/>
          <w:color w:val="auto"/>
        </w:rPr>
        <w:t>In connection with the plan to dissolve and wind up the OLS Partnership, the OLS Partnership recorded a pre-tax charge of $4.5 million in fiscal 1999 related to the closing of the eight Original Levi's Stores(R) that it did not distribute. This $4.5 million charge is included in the total $13.4 million charge recorded by the Company in fiscal 1999 and discussed in Note I above. The total costs to close these stores was $1.3 million less than the original charge, primarily due to favorable landlord negotiations on lease termination payments. This $1.3 million was part of the total $2.9 million recognized as restructuring income in fiscal 1999. See Note J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SEGMENT DISCLOSURES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Through the end of the third quarter of fiscal 2000, the Company operated its business under two reportable store segments (i) Outlet Store Group and (ii) Specialty Store Group. On November 24, 1999, the Company announced that its Board of Directors had decided to close its five remaining Designs stores and its five Buffalo Jeans Factory Stores by the end of fiscal 2000.</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a result of these transactions, the Company now operates and manages its business under one reportable store segment, the Outlet Store group. "Closed stores and Other" includes the operations of all stores closed through the end of fiscal 2000. There is no required segment disclosure for fiscal 2001.</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Outlet Store Group: Consists of the Company's Levi's Outlet(R) by Designs stores and its Dockers(R) Outlet by Designs stores. These outlet stores all operate in outlet centers located primarily in the Eastern United States and primarily sell made for outlet, close out and end of season merchandise from Levi Strauss &amp; Co.</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Closed Stores and Other: This group included the Designs, Boston Trading Co.(TM), Buffalo Jeans Factory Stores and Boston Traders(R) Outlet stores that were closed as part of its store closing programs. The operations of the three Original Levi's Stores(TM) that were distributed to LDJV, Inc. in October 1998 and the operations of the eight Original Levi's Stores(TM) that were closed in fiscal 1999 are also included in this group.</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accounting policies of the reportable segments are the same as those described in Note A. The Company evaluates individual store profitability in terms of a store's "Contribution to Profit" which is defined by the Company as gross margin less occupancy costs and all store specific expenses such as payroll, advertising, insurance and depreciation.</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Below is a summary of the results of operations for the "Outlet Store Group" and "Closed Stores and Other" for fiscal 2000 and fiscal 1999.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For the year ended January 29, 2000</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Closed</w:t>
            </w: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Outlets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 Other</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$ 179,502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$ 12,690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$ 192,192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Merchandise margin</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76,733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80,168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Markdown reserves</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(7,847)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Occupancy costs</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(21,741)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(24,881)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48,456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47,440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(4,261)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Contribution to profit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25,041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(4,616)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20,425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Non-recurring charges</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(14,535)</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Inventory, net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57,022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57,022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Fixed assets, net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12,304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16,737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6,353</w:t>
            </w:r>
          </w:p>
        </w:tc>
      </w:tr>
      <w:tr>
        <w:trPr>
          <w:trHeight w:val="497"/>
        </w:trPr>
        <w:tc>
          <w:tcPr>
            <w:tcW w:w="3200" w:type="dxa"/>
            <w:vAlign w:val="bottom"/>
          </w:tcPr>
          <w:p>
            <w:pPr>
              <w:spacing w:after="0"/>
              <w:rPr>
                <w:sz w:val="24"/>
                <w:szCs w:val="24"/>
                <w:color w:val="auto"/>
              </w:rPr>
            </w:pPr>
          </w:p>
        </w:tc>
        <w:tc>
          <w:tcPr>
            <w:tcW w:w="1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42</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For the year ended January 30, 1999</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Closed</w:t>
            </w: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Outlets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 Other</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$ 149,733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$ 51,901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$ 201,634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Merchandise margin</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61,711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15,165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76,876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Markdown reserves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Occupancy costs</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(18,267)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(33,827)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43,444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42,249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(7,320)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Contribution to profit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19,393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(17,379)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Non-recurring charges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(15,700)</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Inventory, net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50,815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7,110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57,925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Fixed assets, net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9,024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8,764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17,788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 Contribution to Profit to Operating Income (Loss)</w:t>
      </w:r>
    </w:p>
    <w:p>
      <w:pPr>
        <w:spacing w:after="0" w:line="173" w:lineRule="exact"/>
        <w:rPr>
          <w:sz w:val="20"/>
          <w:szCs w:val="20"/>
          <w:color w:val="auto"/>
        </w:rPr>
      </w:pPr>
    </w:p>
    <w:p>
      <w:pPr>
        <w:spacing w:after="0"/>
        <w:tabs>
          <w:tab w:leader="none" w:pos="4460" w:val="left"/>
          <w:tab w:leader="none" w:pos="584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Fiscal 2000</w:t>
      </w:r>
      <w:r>
        <w:rPr>
          <w:sz w:val="20"/>
          <w:szCs w:val="20"/>
          <w:color w:val="auto"/>
        </w:rPr>
        <w:tab/>
      </w:r>
      <w:r>
        <w:rPr>
          <w:rFonts w:ascii="Courier New" w:cs="Courier New" w:eastAsia="Courier New" w:hAnsi="Courier New"/>
          <w:sz w:val="14"/>
          <w:szCs w:val="14"/>
          <w:color w:val="auto"/>
        </w:rPr>
        <w:t>Fiscal 1999</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to Profit: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Outlet store</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segment</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$ 25,041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19,393</w:t>
            </w:r>
          </w:p>
        </w:tc>
      </w:tr>
      <w:tr>
        <w:trPr>
          <w:trHeight w:val="166"/>
        </w:trPr>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Closed store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(4,616)</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(17,379)</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Non-recurring store</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closing charges</w:t>
            </w:r>
          </w:p>
        </w:tc>
        <w:tc>
          <w:tcPr>
            <w:tcW w:w="18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(14,535)</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(15,700)</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General and Administrative Expenses</w:t>
            </w:r>
          </w:p>
        </w:tc>
        <w:tc>
          <w:tcPr>
            <w:tcW w:w="18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(14,961)</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(16,700)</w:t>
            </w:r>
          </w:p>
        </w:tc>
      </w:tr>
      <w:tr>
        <w:trPr>
          <w:trHeight w:val="166"/>
        </w:trPr>
        <w:tc>
          <w:tcPr>
            <w:tcW w:w="3800" w:type="dxa"/>
            <w:vAlign w:val="bottom"/>
            <w:gridSpan w:val="3"/>
          </w:tcPr>
          <w:p>
            <w:pPr>
              <w:spacing w:after="0"/>
              <w:rPr>
                <w:sz w:val="20"/>
                <w:szCs w:val="20"/>
                <w:color w:val="auto"/>
              </w:rPr>
            </w:pPr>
            <w:r>
              <w:rPr>
                <w:rFonts w:ascii="Courier New" w:cs="Courier New" w:eastAsia="Courier New" w:hAnsi="Courier New"/>
                <w:sz w:val="14"/>
                <w:szCs w:val="14"/>
                <w:color w:val="auto"/>
              </w:rPr>
              <w:t>Total operating income (loss)</w:t>
            </w:r>
          </w:p>
        </w:tc>
        <w:tc>
          <w:tcPr>
            <w:tcW w:w="18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(9,071)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(30,386)</w:t>
            </w:r>
          </w:p>
        </w:tc>
      </w:tr>
    </w:tbl>
    <w:p>
      <w:pPr>
        <w:spacing w:after="0" w:line="17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Reconciliation of depreciation/amortization to Consolidated Statements of Operations</w:t>
      </w:r>
    </w:p>
    <w:p>
      <w:pPr>
        <w:spacing w:after="0" w:line="160" w:lineRule="exact"/>
        <w:rPr>
          <w:sz w:val="20"/>
          <w:szCs w:val="20"/>
          <w:color w:val="auto"/>
        </w:rPr>
      </w:pPr>
    </w:p>
    <w:p>
      <w:pPr>
        <w:spacing w:after="0"/>
        <w:tabs>
          <w:tab w:leader="none" w:pos="4460" w:val="left"/>
          <w:tab w:leader="none" w:pos="584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Fiscal 2000</w:t>
      </w:r>
      <w:r>
        <w:rPr>
          <w:sz w:val="20"/>
          <w:szCs w:val="20"/>
          <w:color w:val="auto"/>
        </w:rPr>
        <w:tab/>
      </w:r>
      <w:r>
        <w:rPr>
          <w:rFonts w:ascii="Courier New" w:cs="Courier New" w:eastAsia="Courier New" w:hAnsi="Courier New"/>
          <w:sz w:val="14"/>
          <w:szCs w:val="14"/>
          <w:color w:val="auto"/>
        </w:rPr>
        <w:t>Fiscal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Segment depreciation/amortization</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$7,320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Corporate depreciation/amortization</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2,407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depreciation/amortization per</w:t>
            </w: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$9,727</w:t>
            </w:r>
          </w:p>
        </w:tc>
      </w:tr>
      <w:tr>
        <w:trPr>
          <w:trHeight w:val="497"/>
        </w:trPr>
        <w:tc>
          <w:tcPr>
            <w:tcW w:w="3280" w:type="dxa"/>
            <w:vAlign w:val="bottom"/>
          </w:tcPr>
          <w:p>
            <w:pPr>
              <w:spacing w:after="0"/>
              <w:rPr>
                <w:sz w:val="24"/>
                <w:szCs w:val="24"/>
                <w:color w:val="auto"/>
              </w:rPr>
            </w:pPr>
          </w:p>
        </w:tc>
        <w:tc>
          <w:tcPr>
            <w:tcW w:w="242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43</w:t>
            </w: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M. SELECTED QUARTERLY DATA (UNAUDITED)</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3"/>
        </w:trPr>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FIRST</w:t>
            </w:r>
          </w:p>
        </w:tc>
        <w:tc>
          <w:tcPr>
            <w:tcW w:w="3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SECOND</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THIRD</w:t>
            </w:r>
          </w:p>
        </w:tc>
        <w:tc>
          <w:tcPr>
            <w:tcW w:w="2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120" w:type="dxa"/>
            <w:vAlign w:val="bottom"/>
          </w:tcPr>
          <w:p>
            <w:pPr>
              <w:spacing w:after="0"/>
              <w:rPr>
                <w:sz w:val="24"/>
                <w:szCs w:val="2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FULL</w:t>
            </w:r>
          </w:p>
        </w:tc>
      </w:tr>
      <w:tr>
        <w:trPr>
          <w:trHeight w:val="166"/>
        </w:trPr>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QUARTER</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QUARTER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2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2640" w:type="dxa"/>
            <w:vAlign w:val="bottom"/>
          </w:tcPr>
          <w:p>
            <w:pPr>
              <w:spacing w:after="0"/>
              <w:rPr>
                <w:sz w:val="14"/>
                <w:szCs w:val="14"/>
                <w:color w:val="auto"/>
              </w:rPr>
            </w:pPr>
          </w:p>
        </w:tc>
        <w:tc>
          <w:tcPr>
            <w:tcW w:w="504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Except Per Share Data)</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FISCAL YEAR 2001</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39,379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45,693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$56,587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52,871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194,530</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10,652</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13,421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17,385</w:t>
            </w:r>
          </w:p>
        </w:tc>
        <w:tc>
          <w:tcPr>
            <w:tcW w:w="2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13,527</w:t>
            </w: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54,985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(474)</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2,891</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Earnings per Share - Basic</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0.18</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Earnings per Share - Diluted</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0.18</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0.20</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FISCAL YEAR 2000</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39,835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42,907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$56,703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52,747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192,192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10,217</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11,388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18,443</w:t>
            </w:r>
          </w:p>
        </w:tc>
        <w:tc>
          <w:tcPr>
            <w:tcW w:w="2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7,392</w:t>
            </w:r>
          </w:p>
        </w:tc>
        <w:tc>
          <w:tcPr>
            <w:tcW w:w="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47,440</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Income (Loss)(1)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(863)</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2,692</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(13,787)</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(12,493)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Earnings per Share - Basic</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0.17</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(0.78)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Earnings per Share - Diluted</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0.17</w:t>
            </w:r>
          </w:p>
        </w:tc>
        <w:tc>
          <w:tcPr>
            <w:tcW w:w="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(0.78)</w:t>
            </w:r>
          </w:p>
        </w:tc>
      </w:tr>
    </w:tbl>
    <w:p>
      <w:pPr>
        <w:spacing w:after="0" w:line="335" w:lineRule="exact"/>
        <w:rPr>
          <w:sz w:val="20"/>
          <w:szCs w:val="20"/>
          <w:color w:val="auto"/>
        </w:rPr>
      </w:pPr>
    </w:p>
    <w:p>
      <w:pPr>
        <w:ind w:left="520" w:right="3339" w:hanging="512"/>
        <w:spacing w:after="0" w:line="252" w:lineRule="auto"/>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for the fourth quarter of fiscal 2000 include a pre-tax charge of $15.2 million for store closings, inventory markdowns, severance and a write-down of impaired assets. Of the $15.2 million, $7.8 million is reflected in gross profit for the fourth quarter of fiscal 2000.</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Historically, the Company has experienced seasonal fluctuations in net sales, gross profit and net income, with increases occurring during the Company's third and fourth quarters as a result of "Fall" and "Holiday" seasons. In recent years, as the Company's percentage of outlet business increases in relation to total sales, the Company expects that the third and fourth quarters will decrease as a percentage of total sales. Quarterly sales comparisons are not necessarily indicative of actual trends, since such amounts also reflect the addition of new stores, closing of stores and the remodeling of stores during these periods.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44" w:name="page45"/>
    <w:bookmarkEnd w:id="44"/>
    <w:p>
      <w:pPr>
        <w:ind w:left="700" w:right="4119" w:hanging="688"/>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October 3, 2000, Deloitte &amp; Touche LLP ("Deloitte &amp; Touche") resigned as the Company's independent accountants. On October 11, 2000, Ernst &amp; Young LLP (Ernst</w:t>
      </w:r>
    </w:p>
    <w:p>
      <w:pPr>
        <w:spacing w:after="0" w:line="1" w:lineRule="exact"/>
        <w:rPr>
          <w:sz w:val="20"/>
          <w:szCs w:val="20"/>
          <w:color w:val="auto"/>
        </w:rPr>
      </w:pPr>
    </w:p>
    <w:p>
      <w:pPr>
        <w:jc w:val="both"/>
        <w:ind w:right="3599" w:firstLine="8"/>
        <w:spacing w:after="0" w:line="252" w:lineRule="auto"/>
        <w:tabs>
          <w:tab w:leader="none" w:pos="17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Young) was engaged as the Company's new principal independent auditors. The Company's Board of Directors and its Audit Committee unanimously approved the change of principal independent auditors.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Since Deloitte &amp; Touche LLP was retained on December 21, 1999 and thereafter through October 3, 2000 there were no disagreements between the Company and Deloitte &amp; Touche LLP on matters of accounting principles or practices, financial statement disclosure, or auditing scope or procedure which, if not resolved to the satisfaction of Deloitte &amp; Touche LLP, would have caused Deloitte &amp; Touche LLP to make reference to the subject matter thereof in its reports. Since Deloitte &amp; Touche LLP was retained on December 21, 1999 and thereafter through October 3, 2000, there was no occurrence of the kinds of events described in Item 304(a)(1)(v) of Regulation S-K promulgated by the Commission. In addition, none of the reports issued by Deloitte &amp; Touche LLP concerning the Company's financial statements since it was retained on December 21, 1999 and thereafter through October 3, 2000 contain any adverse opinion or disclaimer of opinion. Such report was not qualified or modified as to uncertainty, audit scope, or accounting principles.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December 21, 1999, Designs, Inc. (the "Company") dismissed its principal independent accountants, Arthur Anderson LLP ("Arthur Andersen"). On December 21, 1999, the Company engaged Deloitte &amp; Touche LLP as its new principal independent accountants. The Company's Board of Directors and its Audit Committee unanimously approved the change of principal independent accountants.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Since Arthur Andersen was retained on June 26, 1998 and thereafter through December 21, 1999 there were no disagreements between the Company and Arthur Andersen on matters of accounting principles or practices, financial statement disclosure, or auditing scope or procedure which, if not resolved to the satisfaction of Arthur Andersen, would have caused Arthur Andersen to make reference to the subject matter thereof in its reports. Since Arthur Andersen was retained on June 26, 1998 and thereafter through December 21, 1999, there was no occurrence of the kinds of events described in Item 304(a)(1)(v) of Regulation S-K promulgated by the Commission. In addition, none of the reports issued by Arthur Andersen concerning the Company's financial statements since it was retained on June 26, 1998 and thereafter through December 21, 1999 contain any adverse opinion or disclaimer of opinion. Such report was not qualified or modified as to uncertainty, audit scope, or accounting principles.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Information with respect to directors and executive officers of the Company is incorporated herein by reference to the Company's definitive proxy statement to be filed within 120 days of the end of the fiscal year ended February 3,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Information with respect to executive compensation is incorporated herein by reference to the Company's definitive proxy statement to be filed within 120 days of the end of the fiscal year ended February 3,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Information with respect to security ownership of certain beneficial owners and management is incorporated herein by reference to the Company's definitive proxy statement to be filed within 120 days of the end of the fiscal year ended February 3,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Information with respect to certain relationships and related transactions is incorporated by reference to the Company's definitive proxy statement to be filed within 120 days of the end of the fiscal year ended February 3, 2001.</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46" w:name="page47"/>
    <w:bookmarkEnd w:id="46"/>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14(a)(1) Financial Statements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list of consolidated financial statements and notes required by this Item 14(a)(1) is set forth in the "Index to Financial Statements" on page 21 of this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14(a)(2) Financial Statement Schedules</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Schedule II- Valuation and Qualifying Accounts for the three years ended February 3, 2001, January 29, 2000 and January 30, 1999 on Page 48 of this report.</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All other schedules, other than the one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14(a)(3) Exhibits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list of exhibits required by this Item 14(a)(3) is set forth in the "Index to Exhibits" on pages 49 to 52 of this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14(b) Reports on Form 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47" w:name="page48"/>
    <w:bookmarkEnd w:id="47"/>
    <w:p>
      <w:pPr>
        <w:jc w:val="center"/>
        <w:ind w:right="900"/>
        <w:spacing w:after="0"/>
        <w:rPr>
          <w:sz w:val="20"/>
          <w:szCs w:val="20"/>
          <w:color w:val="auto"/>
        </w:rPr>
      </w:pPr>
      <w:r>
        <w:rPr>
          <w:rFonts w:ascii="Courier New" w:cs="Courier New" w:eastAsia="Courier New" w:hAnsi="Courier New"/>
          <w:sz w:val="14"/>
          <w:szCs w:val="14"/>
          <w:color w:val="auto"/>
        </w:rPr>
        <w:t>SCHEDULE II</w:t>
      </w:r>
    </w:p>
    <w:p>
      <w:pPr>
        <w:spacing w:after="0" w:line="7"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48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the Three Years Ended February 3, 2001</w:t>
            </w:r>
          </w:p>
        </w:tc>
        <w:tc>
          <w:tcPr>
            <w:tcW w:w="860" w:type="dxa"/>
            <w:vAlign w:val="bottom"/>
          </w:tcPr>
          <w:p>
            <w:pPr>
              <w:spacing w:after="0"/>
              <w:rPr>
                <w:sz w:val="14"/>
                <w:szCs w:val="14"/>
                <w:color w:val="auto"/>
              </w:rPr>
            </w:pPr>
          </w:p>
        </w:tc>
      </w:tr>
      <w:tr>
        <w:trPr>
          <w:trHeight w:val="663"/>
        </w:trPr>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Balance at</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Beginning of</w:t>
            </w:r>
          </w:p>
        </w:tc>
        <w:tc>
          <w:tcPr>
            <w:tcW w:w="380" w:type="dxa"/>
            <w:vAlign w:val="bottom"/>
          </w:tcPr>
          <w:p>
            <w:pPr>
              <w:spacing w:after="0"/>
              <w:rPr>
                <w:sz w:val="14"/>
                <w:szCs w:val="14"/>
                <w:color w:val="auto"/>
              </w:rPr>
            </w:pPr>
          </w:p>
        </w:tc>
        <w:tc>
          <w:tcPr>
            <w:tcW w:w="18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Net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Charges/</w:t>
            </w:r>
          </w:p>
        </w:tc>
      </w:tr>
      <w:tr>
        <w:trPr>
          <w:trHeight w:val="166"/>
        </w:trPr>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Description</w:t>
            </w:r>
          </w:p>
        </w:tc>
        <w:tc>
          <w:tcPr>
            <w:tcW w:w="1000" w:type="dxa"/>
            <w:vAlign w:val="bottom"/>
          </w:tcPr>
          <w:p>
            <w:pPr>
              <w:spacing w:after="0"/>
              <w:rPr>
                <w:sz w:val="14"/>
                <w:szCs w:val="14"/>
                <w:color w:val="auto"/>
              </w:rPr>
            </w:pP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Year</w:t>
            </w:r>
          </w:p>
        </w:tc>
        <w:tc>
          <w:tcPr>
            <w:tcW w:w="380" w:type="dxa"/>
            <w:vAlign w:val="bottom"/>
          </w:tcPr>
          <w:p>
            <w:pPr>
              <w:spacing w:after="0"/>
              <w:rPr>
                <w:sz w:val="14"/>
                <w:szCs w:val="14"/>
                <w:color w:val="auto"/>
              </w:rPr>
            </w:pPr>
          </w:p>
        </w:tc>
        <w:tc>
          <w:tcPr>
            <w:tcW w:w="18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Provision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Write-offs</w:t>
            </w:r>
          </w:p>
        </w:tc>
      </w:tr>
      <w:tr>
        <w:trPr>
          <w:trHeight w:val="166"/>
        </w:trPr>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86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Accrued Restructuring Reserves</w:t>
            </w: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 30,</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$2,629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15,706(1)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$(11,174)</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 29,</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$7,161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14,545(2)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$(15,010)</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Year ended February 3,</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2001</w:t>
            </w: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$6,696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(182)(3)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(5,662)</w:t>
            </w:r>
          </w:p>
        </w:tc>
      </w:tr>
    </w:tbl>
    <w:p>
      <w:pPr>
        <w:spacing w:after="0" w:line="335" w:lineRule="exact"/>
        <w:rPr>
          <w:sz w:val="20"/>
          <w:szCs w:val="20"/>
          <w:color w:val="auto"/>
        </w:rPr>
      </w:pPr>
    </w:p>
    <w:p>
      <w:pPr>
        <w:ind w:left="520" w:right="1340" w:hanging="512"/>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severance and store closing charge for fiscal 1999 of $15.7 million, is a markdown reserve of $808,000 which was included in cost of goods sold for the fiscal year ending January 30, 1999.</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severance and store closing charge for fiscal 2000 of</w:t>
      </w:r>
    </w:p>
    <w:p>
      <w:pPr>
        <w:spacing w:after="0" w:line="7" w:lineRule="exact"/>
        <w:rPr>
          <w:rFonts w:ascii="Courier New" w:cs="Courier New" w:eastAsia="Courier New" w:hAnsi="Courier New"/>
          <w:sz w:val="14"/>
          <w:szCs w:val="14"/>
          <w:color w:val="auto"/>
        </w:rPr>
      </w:pPr>
    </w:p>
    <w:p>
      <w:pPr>
        <w:ind w:left="520" w:right="100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$14.5 million, is a markdown reserve of $7.8 million which was included in costs of goods sold for the fiscal year ending January 29, 2000. In addition, the total provision of $14.5 million, included restructuring income of $717,000 recorded in the fourth quarter due to excess reserves which were established in fiscal 1999.</w:t>
      </w:r>
    </w:p>
    <w:p>
      <w:pPr>
        <w:spacing w:after="0" w:line="164" w:lineRule="exact"/>
        <w:rPr>
          <w:rFonts w:ascii="Courier New" w:cs="Courier New" w:eastAsia="Courier New" w:hAnsi="Courier New"/>
          <w:sz w:val="14"/>
          <w:szCs w:val="14"/>
          <w:color w:val="auto"/>
        </w:rPr>
      </w:pPr>
    </w:p>
    <w:p>
      <w:pPr>
        <w:ind w:left="520" w:right="1000" w:hanging="512"/>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($182,000) recognized in fiscal 2001 represents income recognized as a result of favorable lease negotiations on lease termination payments relating to the fiscal 2000 restructuring program.</w:t>
      </w:r>
    </w:p>
    <w:p>
      <w:pPr>
        <w:spacing w:after="0" w:line="162" w:lineRule="exact"/>
        <w:rPr>
          <w:rFonts w:ascii="Courier New" w:cs="Courier New" w:eastAsia="Courier New" w:hAnsi="Courier New"/>
          <w:sz w:val="14"/>
          <w:szCs w:val="14"/>
          <w:color w:val="auto"/>
        </w:rPr>
      </w:pPr>
    </w:p>
    <w:p>
      <w:pPr>
        <w:ind w:left="520" w:right="1180" w:hanging="512"/>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reserve balance at year end is a markdown reserve of $808,000 which was included in inventory and $1,981,000 of fixed asset reserves which were included in fixed assets on the consolidated balance sheet.</w:t>
      </w:r>
    </w:p>
    <w:p>
      <w:pPr>
        <w:spacing w:after="0" w:line="162" w:lineRule="exact"/>
        <w:rPr>
          <w:rFonts w:ascii="Courier New" w:cs="Courier New" w:eastAsia="Courier New" w:hAnsi="Courier New"/>
          <w:sz w:val="14"/>
          <w:szCs w:val="14"/>
          <w:color w:val="auto"/>
        </w:rPr>
      </w:pPr>
    </w:p>
    <w:p>
      <w:pPr>
        <w:ind w:left="520" w:right="1080" w:hanging="512"/>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reserve balance at year end is a markdown reserve of $3.5 million, which was included in inventory on the consolidated balance sheet.</w:t>
      </w:r>
    </w:p>
    <w:p>
      <w:pPr>
        <w:spacing w:after="0" w:line="162" w:lineRule="exact"/>
        <w:rPr>
          <w:rFonts w:ascii="Courier New" w:cs="Courier New" w:eastAsia="Courier New" w:hAnsi="Courier New"/>
          <w:sz w:val="14"/>
          <w:szCs w:val="14"/>
          <w:color w:val="auto"/>
        </w:rPr>
      </w:pPr>
    </w:p>
    <w:p>
      <w:pPr>
        <w:ind w:left="520" w:right="1080" w:hanging="512"/>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reserve balance at year end are the remaining severance and landlord settlement payments to be made in accordance with the fiscal 2000 restructuring program.</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At End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Year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$7,161(4)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$6,696(5)</w:t>
      </w:r>
    </w:p>
    <w:p>
      <w:pPr>
        <w:spacing w:after="0" w:line="7" w:lineRule="exact"/>
        <w:rPr>
          <w:sz w:val="20"/>
          <w:szCs w:val="20"/>
          <w:color w:val="auto"/>
        </w:rPr>
      </w:pPr>
    </w:p>
    <w:p>
      <w:pPr>
        <w:ind w:left="260" w:hanging="258"/>
        <w:spacing w:after="0"/>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852(6)</w:t>
      </w:r>
    </w:p>
    <w:p>
      <w:pPr>
        <w:sectPr>
          <w:pgSz w:w="11900" w:h="16838" w:orient="portrait"/>
          <w:cols w:equalWidth="0" w:num="2">
            <w:col w:w="7900" w:space="720"/>
            <w:col w:w="1619"/>
          </w:cols>
          <w:pgMar w:left="220" w:top="616"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5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Restated Certificate of Incorporation of the Company, as</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amended (included as Exhibit 3.1 to Amendment No. 3 of the</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Company's Registration Statement on Form S-1 (No. 33-13402),</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Certificate of Amendment to Restated Certificate of</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Incorporation, as amended, dated June 22, 1993 (included as</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Exhibit 3.2 to the Company's Quarterly Report on Form 10-Q</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dated June 17, 1996,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Certificate of Designations, Preferences and Rights of a</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Series of Preferred Stock of the Company established Series A</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Junior Participating Cumulative Preferred Stock dated May 1,</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1995 (included as Exhibit 3.2 to the Company's Annual Report</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on Form 10-K dated May 1, 1996 and incorporated herein by</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By-Laws of the Company, as amended (included as Exhibit 3.4 to</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the Company's Amendment No. 1 to Annual Report on Form 10-K/A</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dated May 28, 1999,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1987 Incentive Stock Option Plan, as amended (included as</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Exhibit 10.1 to the Company's Annual Report on Form 10-K dated</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April 29, 1993,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1987 Non-Qualified Stock Option Plan, as amended (included as</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Exhibit 10.2 to the Company's Annual Report on Form 10-K dated</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April 29, 1993,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1992 Stock Incentive Plan, as amended (included as Exhibit</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10.3 to the Company's Quarterly Report on Form 10-Q dated June</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16, 1998,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License Agreement between the Company and Levi Strauss &amp; Co.</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dated as of April 14, 1992 (included as Exhibit 10.8 to the</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Company's Annual Report on Form 10-K dated April 29, 1993, and</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Amended and Restated Trademark License Agreement between the</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Company and Levi Strauss &amp; Co. dated as of October 31, 1998</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(included as Exhibit 10.4 to the Company's Current Report on</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Form 8-K dated December 3, 1998, and incorporated herein by</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Amendment to the Amended and Restated Trademark License</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Agreement dated March 22, 2000 (included as Exhibit 10.7 to</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the Company's Form 10-K dated April 28, 2000, and incorporated</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Amended and Restated Loan and Security Agreement dated as of</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June 4, 1998, between the Company and BankBoston Retail</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Finance Inc., as agent for the Lender(s) identified therein</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("BBRF") and the Lender(s) (included as Exhibit 10.1 to the</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Company's Current Report on Form 8-K dated June 11, 1998, and</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Fee letter dated as of June 4, 1998, between the Company and</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BBRF (included as Exhibit 10.2 to the Company's Current Report</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on Form 8-K dated June 11, 1998, and incorporated herein by</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First Amendment to Loan and Security Agreement dated as of</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September 29, 1998 among the Company, BBRF and the Lender(s)</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identified therein (included as Exhibit 10.5 to the Company's</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Current Report on Form 8-K dated December 3, 1998, and</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700" w:type="dxa"/>
            <w:vAlign w:val="bottom"/>
          </w:tcPr>
          <w:p>
            <w:pPr>
              <w:spacing w:after="0"/>
              <w:rPr>
                <w:sz w:val="24"/>
                <w:szCs w:val="24"/>
                <w:color w:val="auto"/>
              </w:rPr>
            </w:pPr>
          </w:p>
        </w:tc>
        <w:tc>
          <w:tcPr>
            <w:tcW w:w="5720" w:type="dxa"/>
            <w:vAlign w:val="bottom"/>
          </w:tcPr>
          <w:p>
            <w:pPr>
              <w:ind w:left="2240"/>
              <w:spacing w:after="0"/>
              <w:rPr>
                <w:sz w:val="20"/>
                <w:szCs w:val="20"/>
                <w:color w:val="auto"/>
              </w:rPr>
            </w:pPr>
            <w:r>
              <w:rPr>
                <w:rFonts w:ascii="Courier New" w:cs="Courier New" w:eastAsia="Courier New" w:hAnsi="Courier New"/>
                <w:sz w:val="14"/>
                <w:szCs w:val="14"/>
                <w:color w:val="auto"/>
              </w:rPr>
              <w:t>49</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10.10</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Second Amendment to Loan and Security Agreement dated as of</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October 31, 1998 among the Company, BBRF and the Lender(s)</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identified therein (included as Exhibit 10.6 to the Company's</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Current Report on Form 8-K dated December 3, 1998, and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10.11</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Third Amendment to Loan and Security Agreement dated as of</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October 28, 1999 among the Company, BBRF and the Lender(s)</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identified therein (included as Exhibit 10.9 to the Company's</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Form 10-Q dated December 14, 1999, and incorporated herein by</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10.12</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Fourth Amendment to Loan and Security Agreement dated as of</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March 20, 2000 among the Company, Fleet Retail Finance (f/k/a</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BankBoston Retail Finance) and the Lender(s) identified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therein (included as Exhibit 10.13 to the Company's Form 10-K</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dated April 28, 2000,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10.13</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Fifth Amendment to Loan and Security Agreement dated as of</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July 17, 2000 among the Company, Fleet Retail Finance and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Lender(s) identified therein (included as Exhibit 10.13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Form 10-Q dated December 12, 2000,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10.14</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Amendment and Distribution Agreement dated as of October 31,</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1998 among the Designs Partner, the LOS Partner and the OLS</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Partnership (included as Exhibit 10.2 to the Company's Current</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Report on Form 8-K dated December 3, 1998,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10.15</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Guaranty by the Company of the indemnification obligation of</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the Designs Partner dated as of October 31, 1998 in favor of</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LS &amp; Co. (included as Exhibit 10.3 to the Company's Current</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Report on Form 8-K dated December 3, 1998,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10.16</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Asset Purchase Agreement between LOS and the Company relating</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to the sale by the Company of stores located in Minneapolis,</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Minnesota dated January 28, 1995 (included as Exhibit 10.9 to</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the Company's Current Report on Form 8-K dated April 24, 1995,</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10.17</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Asset Purchase Agreement among Boston Trading Ltd., Inc.,</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Designs Acquisition Corp., the Company and others dated April</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21, 1995 (included as Exhibit 10.16 to the Company's Quarterly</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Report on Form 10-Q dated September 12, 1995,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10.18</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Non-Negotiable Promissory Note between the Company and</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Atlantic Harbor, Inc., formerly know as Boston Trading Ltd.,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Inc., dated May 2, 1995 (included as Exhibit 10.17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Quarterly Report on Form 10-Q dated September 12,</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1995,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10.19</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Asset Purchase Agreement dated as of September 30, 1998</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between the Company and LOS relating to the purchase by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of 16 Dockers(R) Outlet and nine Levi's(R) Outlet</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stores (included as Exhibit 10.1 to the Company's Current</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Report on Form 8-K dated December 6, 1995,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10.20</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Consulting Agreement dated as of October 28, 1999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Jewelcor Management, Inc. (included as Exhibit</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10.20 to the Company's Form 10-K dated April 28, 2000, and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10.21</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Consulting Agreement dated as of October 29, 1999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John J. Schultz (included as Exhibit 10.21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Form 10-K dated April 28, 2000,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10.22</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Consulting Agreement dated as of December 15, 1999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George T. Porter, Jr. (included as Exhibit 10.22</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to the Company's Form 10-K dated April 28, 2000, and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60" w:type="dxa"/>
            <w:vAlign w:val="bottom"/>
          </w:tcPr>
          <w:p>
            <w:pPr>
              <w:spacing w:after="0"/>
              <w:rPr>
                <w:sz w:val="24"/>
                <w:szCs w:val="24"/>
                <w:color w:val="auto"/>
              </w:rPr>
            </w:pPr>
          </w:p>
        </w:tc>
        <w:tc>
          <w:tcPr>
            <w:tcW w:w="5860" w:type="dxa"/>
            <w:vAlign w:val="bottom"/>
          </w:tcPr>
          <w:p>
            <w:pPr>
              <w:ind w:left="2380"/>
              <w:spacing w:after="0"/>
              <w:rPr>
                <w:sz w:val="20"/>
                <w:szCs w:val="20"/>
                <w:color w:val="auto"/>
              </w:rPr>
            </w:pPr>
            <w:r>
              <w:rPr>
                <w:rFonts w:ascii="Courier New" w:cs="Courier New" w:eastAsia="Courier New" w:hAnsi="Courier New"/>
                <w:sz w:val="14"/>
                <w:szCs w:val="14"/>
                <w:color w:val="auto"/>
              </w:rPr>
              <w:t>50</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10.23</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Consulting Agreement dated as of November 14, 1999 between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Business Ventures International, Inc. (included as</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Exhibit 10.23 to the Company's Form 10-K dated April 28, 2000,</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10.24</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 as of October 16, 1995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Joel H. Reichman (included as Exhibit 10.1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Current Report on Form 8-K dated December 6, 1995,</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10.25</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 as of October 16, 1995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Scott N. Semel(included as Exhibit 10.2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Current Report on Form 8-K dated December 6, 1995,</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10.26</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 as of May 9, 1997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Carolyn R. Faulkner(included as Exhibit 10.23 to</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the Company's Quarterly Report on Form 10-Q dated June 17,</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1997,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10.27</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 as of March 31, 2000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David A. Levin (included as Exhibit 10.27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Form 10-K dated April 28, 2000,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10.28</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Secured Promissory Note dated as of June 26, 2000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David A. Levin (included as Exhibit 10.29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Form 10-Q dated September 12, 2000,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10.29</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 as of August 14, 2000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Dennis Hernreich (included as Exhibit 10.30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Form 10-Q dated September 12, 2000,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10.30</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Severance Agreement dated as of January 12, 2000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Joel H. Reichman (included as Exhibit 10.23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Form 10-K dated April 28, 2000,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10.31</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Severance Agreement dated as of January 20, 2000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Scott N. Semel (included as Exhibit 10.23 to the</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Company's Form 10-K dated April 28, 2000,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10.32</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Severance Agreement dated as of January 15, 2000 between the</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Company and Carolyn R. Faulkner (included as Exhibit 10.23 to</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the Company's Form 10-K dated April 28, 2000, and incorporated</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10.33</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 Agreement between the Company and James G.</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Groninger, dated December 10, 1998 (included as Exhibit 10.30</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to the Company's Annual Report on Form 10-K dated April 30,</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1999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10.34</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 Agreement between the Company and Bernard M.</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Manuel, dated December 10, 1998 (included as Exhibit 10.31 to</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the Company's Annual Report on Form 10-K dated April 30, 1999</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10.35</w:t>
            </w: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 Agreement between the Company and Peter L.</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Thigpen, dated December 10, 1998 (included as Exhibit 10.32 to</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the Company's Annual Report on Form 10-K dated April 30, 1999</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60" w:type="dxa"/>
            <w:vAlign w:val="bottom"/>
          </w:tcPr>
          <w:p>
            <w:pPr>
              <w:spacing w:after="0"/>
              <w:rPr>
                <w:sz w:val="24"/>
                <w:szCs w:val="24"/>
                <w:color w:val="auto"/>
              </w:rPr>
            </w:pPr>
          </w:p>
        </w:tc>
        <w:tc>
          <w:tcPr>
            <w:tcW w:w="5860" w:type="dxa"/>
            <w:vAlign w:val="bottom"/>
          </w:tcPr>
          <w:p>
            <w:pPr>
              <w:ind w:left="2380"/>
              <w:spacing w:after="0"/>
              <w:rPr>
                <w:sz w:val="20"/>
                <w:szCs w:val="20"/>
                <w:color w:val="auto"/>
              </w:rPr>
            </w:pPr>
            <w:r>
              <w:rPr>
                <w:rFonts w:ascii="Courier New" w:cs="Courier New" w:eastAsia="Courier New" w:hAnsi="Courier New"/>
                <w:sz w:val="14"/>
                <w:szCs w:val="14"/>
                <w:color w:val="auto"/>
              </w:rPr>
              <w:t>51</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10.36</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Agreement between</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the Company and Melvin I.</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Shapiro, dated December 10, 1998 (included as Exhibit 10.33 to</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the Company's Annual Report on Form 10-K dated April 30, 1999</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10.37</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Agreement between</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the Company and Joel H.</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Reichman, dated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December 10, 1998</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(included as Exhibit 10.34</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30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 the Company's Annual Report on</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Form 10-K dated April 30,</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1999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10.38</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Agreement between</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the Company and Scott N.</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Semel, dated December 10, 1998 (included as Exhibit 10.35 to</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the Company's Annual Report on Form 10-K dated April 30, 1999</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10.39</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Agreement between</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the Company and Carolyn R.</w:t>
            </w:r>
          </w:p>
        </w:tc>
        <w:tc>
          <w:tcPr>
            <w:tcW w:w="48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Faulkner, dated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December 10, 1998</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(included as Exhibit 10.36</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30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 the Company's Annual Report on</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Form 10-K dated April 30,</w:t>
            </w:r>
          </w:p>
        </w:tc>
        <w:tc>
          <w:tcPr>
            <w:tcW w:w="4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1999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00" w:hanging="692"/>
        <w:spacing w:after="0"/>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23.1Consent of Ernst &amp; Young LLP.</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23.2Consent of Deloitte &amp; Touche LLP.</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23.3Consent of Arthur Andersen LLP.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99</w:t>
            </w: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Report of the Company</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on Form</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8-K, dated April 28, 2000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concerning certain cautionary</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statements of the Company to be</w:t>
            </w:r>
          </w:p>
        </w:tc>
        <w:tc>
          <w:tcPr>
            <w:tcW w:w="5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taken into account in</w:t>
            </w:r>
          </w:p>
        </w:tc>
        <w:tc>
          <w:tcPr>
            <w:tcW w:w="38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conjunction with consideration and</w:t>
            </w:r>
          </w:p>
        </w:tc>
        <w:tc>
          <w:tcPr>
            <w:tcW w:w="5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59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review of the Company's publicly-disseminated documents</w:t>
            </w:r>
          </w:p>
        </w:tc>
        <w:tc>
          <w:tcPr>
            <w:tcW w:w="5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59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(including oral statements made by others on behalf of the</w:t>
            </w:r>
          </w:p>
        </w:tc>
        <w:tc>
          <w:tcPr>
            <w:tcW w:w="5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Company) that include</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forward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looking information.</w:t>
            </w:r>
          </w:p>
        </w:tc>
        <w:tc>
          <w:tcPr>
            <w:tcW w:w="520" w:type="dxa"/>
            <w:vAlign w:val="bottom"/>
          </w:tcPr>
          <w:p>
            <w:pPr>
              <w:spacing w:after="0"/>
              <w:rPr>
                <w:sz w:val="14"/>
                <w:szCs w:val="14"/>
                <w:color w:val="auto"/>
              </w:rPr>
            </w:pPr>
          </w:p>
        </w:tc>
      </w:tr>
    </w:tbl>
    <w:p>
      <w:pPr>
        <w:spacing w:after="0" w:line="170" w:lineRule="exact"/>
        <w:rPr>
          <w:sz w:val="20"/>
          <w:szCs w:val="20"/>
          <w:color w:val="auto"/>
        </w:rPr>
      </w:pPr>
    </w:p>
    <w:p>
      <w:pPr>
        <w:ind w:left="2940" w:right="4279" w:hanging="2932"/>
        <w:spacing w:after="0" w:line="756" w:lineRule="auto"/>
        <w:tabs>
          <w:tab w:leader="none" w:pos="70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Securities and Exchange Commission. 52</w:t>
      </w:r>
    </w:p>
    <w:p>
      <w:pPr>
        <w:sectPr>
          <w:pgSz w:w="11900" w:h="16838" w:orient="portrait"/>
          <w:cols w:equalWidth="0" w:num="1">
            <w:col w:w="10239"/>
          </w:cols>
          <w:pgMar w:left="220" w:top="616" w:right="1440" w:bottom="1440" w:gutter="0" w:footer="0" w:header="0"/>
        </w:sectPr>
      </w:pPr>
    </w:p>
    <w:bookmarkStart w:id="52" w:name="page53"/>
    <w:bookmarkEnd w:id="52"/>
    <w:p>
      <w:pPr>
        <w:ind w:left="260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Company has duly caused this report to be signed on its behalf by the undersigned, thereunto duly authorized.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2001</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David A. Levin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the Company in the capacities indicated, on May 4,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 Officer)</w:t>
      </w:r>
    </w:p>
    <w:p>
      <w:pPr>
        <w:spacing w:after="0" w:line="365"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Dennis R. Hernreich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R. Hernreich</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Officer 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Seymour Holtzman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Seymour Holtzman</w:t>
      </w:r>
    </w:p>
    <w:p>
      <w:pPr>
        <w:spacing w:after="0" w:line="33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 George T. Porter,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George T. Porter, Jr.</w:t>
      </w:r>
    </w:p>
    <w:p>
      <w:pPr>
        <w:spacing w:after="0" w:line="338" w:lineRule="exact"/>
        <w:rPr>
          <w:sz w:val="20"/>
          <w:szCs w:val="20"/>
          <w:color w:val="auto"/>
        </w:rPr>
      </w:pPr>
    </w:p>
    <w:p>
      <w:pPr>
        <w:spacing w:after="0"/>
        <w:tabs>
          <w:tab w:leader="none" w:pos="420" w:val="left"/>
          <w:tab w:leader="none" w:pos="3520" w:val="left"/>
        </w:tabs>
        <w:rPr>
          <w:sz w:val="20"/>
          <w:szCs w:val="20"/>
          <w:color w:val="auto"/>
        </w:rPr>
      </w:pPr>
      <w:r>
        <w:rPr>
          <w:rFonts w:ascii="Courier New" w:cs="Courier New" w:eastAsia="Courier New" w:hAnsi="Courier New"/>
          <w:sz w:val="14"/>
          <w:szCs w:val="14"/>
          <w:color w:val="auto"/>
        </w:rPr>
        <w:t>/s/</w:t>
        <w:tab/>
        <w:t>Joseph Pennacchio</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Joseph Pennacchio</w:t>
      </w:r>
    </w:p>
    <w:p>
      <w:pPr>
        <w:spacing w:after="0" w:line="33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 Robert L. Patron</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L. Patron</w:t>
      </w:r>
    </w:p>
    <w:p>
      <w:pPr>
        <w:spacing w:after="0" w:line="33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 Jeremiah P. Murphy,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Jeremiah P. Murphy, Jr.</w:t>
      </w:r>
    </w:p>
    <w:p>
      <w:pPr>
        <w:spacing w:after="0" w:line="33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 Stanley L. Berger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Stanley L. Berger</w:t>
      </w:r>
    </w:p>
    <w:p>
      <w:pPr>
        <w:spacing w:after="0" w:line="33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 Jesse H. Choper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Jesse H. Choper</w:t>
      </w:r>
    </w:p>
    <w:p>
      <w:pPr>
        <w:spacing w:after="0" w:line="33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 Alan Cohen</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Alan Cohen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OTHER SHAREHOLDER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Seymour Holtzman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Jewelcor Management,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L. Berger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Jesse Choper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 Professor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California Law School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Jeremiah P. Murphy,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Harvard Coop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L. Patron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Business Ventures International,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Pennacchio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Aurafin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T. Porter,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Cohen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R. Hernreich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Treasurer and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Jones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Stores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Goldstein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and Construction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Susan J. Murray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Shelly E. Mokas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Wilbur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Information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 B Street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Needham, MA</w:t>
        <w:tab/>
        <w:t>02494</w:t>
      </w:r>
    </w:p>
    <w:p>
      <w:pPr>
        <w:spacing w:after="0" w:line="7" w:lineRule="exact"/>
        <w:rPr>
          <w:sz w:val="20"/>
          <w:szCs w:val="20"/>
          <w:color w:val="auto"/>
        </w:rPr>
      </w:pPr>
    </w:p>
    <w:p>
      <w:pPr>
        <w:ind w:right="8419" w:firstLine="8"/>
        <w:spacing w:after="0" w:line="501" w:lineRule="auto"/>
        <w:tabs>
          <w:tab w:leader="none" w:pos="51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444-7222 Financial Information</w:t>
      </w:r>
    </w:p>
    <w:p>
      <w:pPr>
        <w:ind w:right="3339"/>
        <w:spacing w:after="0" w:line="251" w:lineRule="auto"/>
        <w:rPr>
          <w:sz w:val="20"/>
          <w:szCs w:val="20"/>
          <w:color w:val="auto"/>
        </w:rPr>
      </w:pPr>
      <w:r>
        <w:rPr>
          <w:rFonts w:ascii="Courier New" w:cs="Courier New" w:eastAsia="Courier New" w:hAnsi="Courier New"/>
          <w:sz w:val="14"/>
          <w:szCs w:val="14"/>
          <w:color w:val="auto"/>
        </w:rPr>
        <w:t>Requests for financial information should be directed to the Investor Relations Department at the company's headquarters: Designs, Inc., 66B Street, Needham, MA 02494, (781) 444-7222. A copy of the Company's Annual Report on Form 10-K for the fiscal year ended February 3, 2001, filed with the Securities and Exchange Commission, may be obtained without charge upon request to the Investor Relations Department.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date for the 2001 Annual Meeting of Stockholders of Designs, Inc. is expected to be held the first week of August 2001.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 reporting dates for fiscal year 2002 quarterly earnings 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Quarter 1:</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May 21, 2001</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Quarter 2:</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August 20, 2001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November 19, 2001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4 and fiscal year end:</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March 18, 2002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Inquiries regarding stock transfer requirements, address changes and lost stock certificates should be directed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Fleet National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EquiServe,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43010</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Providence, RI</w:t>
        <w:tab/>
        <w:t>02940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services: 781-575-3400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www.equiserve.com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Ernst &amp; Young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Clarendon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 02116-5072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Levi's(R), Dockers(R) and Slates(R) are registered trademarks of Levi Strauss &amp; Co.</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the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Securities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Massachusetts securities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JV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Acquisition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Outlet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Apparel,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ectPr>
          <w:pgSz w:w="11900" w:h="16838" w:orient="portrait"/>
          <w:cols w:equalWidth="0" w:num="1">
            <w:col w:w="10239"/>
          </w:cols>
          <w:pgMar w:left="220" w:top="30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33-22957, 33-32690, 33-32687 and 33-52892) of Designs, Inc. of our report dated March 26, 2001, with respect to the consolidated financial statements and schedule of Designs, Inc. included in this Annual Report (Form 10-K) for the year ended February 3, 2001.</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 2001</w:t>
      </w:r>
    </w:p>
    <w:p>
      <w:pPr>
        <w:sectPr>
          <w:pgSz w:w="11900" w:h="16838" w:orient="portrait"/>
          <w:cols w:equalWidth="0" w:num="1">
            <w:col w:w="10239"/>
          </w:cols>
          <w:pgMar w:left="220" w:top="30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Exhibit 23.2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Registration Statements No. 33-22957, 33-32690, 33-32687 and 33-52892 on Form S-8 of our report dated April 11, 2000, appearing in this Annual Report on Form 10-K of Designs, Inc. for the year ended January 29, 2000.</w:t>
      </w:r>
    </w:p>
    <w:p>
      <w:pPr>
        <w:sectPr>
          <w:pgSz w:w="11900" w:h="16838" w:orient="portrait"/>
          <w:cols w:equalWidth="0" w:num="1">
            <w:col w:w="10239"/>
          </w:cols>
          <w:pgMar w:left="220" w:top="307"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ectPr>
          <w:pgSz w:w="11900" w:h="16838" w:orient="portrait"/>
          <w:cols w:equalWidth="0" w:num="2">
            <w:col w:w="4020" w:space="720"/>
            <w:col w:w="5499"/>
          </w:cols>
          <w:pgMar w:left="220" w:top="307" w:right="1440" w:bottom="1440" w:gutter="0" w:footer="0" w:header="0"/>
          <w:type w:val="continuous"/>
        </w:sectPr>
      </w:pPr>
    </w:p>
    <w:bookmarkStart w:id="58" w:name="page59"/>
    <w:bookmarkEnd w:id="58"/>
    <w:p>
      <w:pPr>
        <w:spacing w:after="0"/>
        <w:tabs>
          <w:tab w:leader="none" w:pos="5580" w:val="left"/>
        </w:tabs>
        <w:rPr>
          <w:sz w:val="20"/>
          <w:szCs w:val="20"/>
          <w:color w:val="auto"/>
        </w:rPr>
      </w:pPr>
      <w:r>
        <w:rPr>
          <w:rFonts w:ascii="Courier New" w:cs="Courier New" w:eastAsia="Courier New" w:hAnsi="Courier New"/>
          <w:sz w:val="14"/>
          <w:szCs w:val="14"/>
          <w:color w:val="auto"/>
        </w:rPr>
        <w:t>Exhibit 23.3</w:t>
      </w:r>
      <w:r>
        <w:rPr>
          <w:sz w:val="20"/>
          <w:szCs w:val="20"/>
          <w:color w:val="auto"/>
        </w:rPr>
        <w:tab/>
      </w:r>
      <w:r>
        <w:rPr>
          <w:rFonts w:ascii="Courier New" w:cs="Courier New" w:eastAsia="Courier New" w:hAnsi="Courier New"/>
          <w:sz w:val="14"/>
          <w:szCs w:val="14"/>
          <w:color w:val="auto"/>
        </w:rPr>
        <w:t>Arthur Andersen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of our report dated March 16, 1999, included in this Form 10-K, into registration statements previously filed by Designs, Inc. on Form S-8 (File No. 33-22957, File No. 33-32690, File No. 33-32687, and File No. 33-52892).</w:t>
      </w:r>
    </w:p>
    <w:p>
      <w:pPr>
        <w:sectPr>
          <w:pgSz w:w="11900" w:h="16838" w:orient="portrait"/>
          <w:cols w:equalWidth="0" w:num="1">
            <w:col w:w="10239"/>
          </w:cols>
          <w:pgMar w:left="220" w:top="307"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3,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 ARTHUR ANDERSEN LLP</w:t>
      </w:r>
    </w:p>
    <w:sectPr>
      <w:pgSz w:w="11900" w:h="16838" w:orient="portrait"/>
      <w:cols w:equalWidth="0" w:num="2">
        <w:col w:w="4200" w:space="720"/>
        <w:col w:w="5319"/>
      </w:cols>
      <w:pgMar w:left="220" w:top="30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amp;"/>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upperLetter"/>
      <w:start w:val="10"/>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amp;"/>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2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2019-12-20T07:19:56Z</dcterms:created>
  <dcterms:modified xsi:type="dcterms:W3CDTF">2019-12-20T07:19:56Z</dcterms:modified>
</cp:coreProperties>
</file>