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23"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3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73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(Amendment No. 1 )</w:t>
      </w:r>
    </w:p>
    <w:p>
      <w:pPr>
        <w:spacing w:after="0" w:line="256"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Casual Male Retail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4000"/>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148711104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73660</wp:posOffset>
            </wp:positionV>
            <wp:extent cx="430911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December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Arial" w:cs="Arial" w:eastAsia="Arial" w:hAnsi="Arial"/>
          <w:sz w:val="21"/>
          <w:szCs w:val="21"/>
          <w:color w:val="auto"/>
        </w:rPr>
        <w:t>(Date of Event Which Requires Filing of this Statement)</w:t>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95"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ectPr>
          <w:pgSz w:w="11900" w:h="16838" w:orient="portrait"/>
          <w:cols w:equalWidth="0" w:num="1">
            <w:col w:w="10219"/>
          </w:cols>
          <w:pgMar w:left="240" w:top="1440" w:right="1440" w:bottom="169" w:gutter="0" w:footer="0" w:header="0"/>
        </w:sectPr>
      </w:pPr>
    </w:p>
    <w:p>
      <w:pPr>
        <w:spacing w:after="0" w:line="98" w:lineRule="exact"/>
        <w:rPr>
          <w:sz w:val="24"/>
          <w:szCs w:val="24"/>
          <w:color w:val="auto"/>
        </w:r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132" w:lineRule="exact"/>
        <w:rPr>
          <w:sz w:val="24"/>
          <w:szCs w:val="24"/>
          <w:color w:val="auto"/>
        </w:rPr>
      </w:pPr>
    </w:p>
    <w:p>
      <w:pPr>
        <w:sectPr>
          <w:pgSz w:w="11900" w:h="16838" w:orient="portrait"/>
          <w:cols w:equalWidth="0" w:num="2">
            <w:col w:w="200" w:space="420"/>
            <w:col w:w="9599"/>
          </w:cols>
          <w:pgMar w:left="240" w:top="1440" w:right="1440" w:bottom="169" w:gutter="0" w:footer="0" w:header="0"/>
          <w:type w:val="continuous"/>
        </w:sect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Rule 13d-1(d)</w:t>
      </w:r>
    </w:p>
    <w:p>
      <w:pPr>
        <w:spacing w:after="0" w:line="234" w:lineRule="exact"/>
        <w:rPr>
          <w:sz w:val="24"/>
          <w:szCs w:val="24"/>
          <w:color w:val="auto"/>
        </w:rPr>
      </w:pPr>
    </w:p>
    <w:p>
      <w:pPr>
        <w:sectPr>
          <w:pgSz w:w="11900" w:h="16838" w:orient="portrait"/>
          <w:cols w:equalWidth="0" w:num="2">
            <w:col w:w="200" w:space="420"/>
            <w:col w:w="9599"/>
          </w:cols>
          <w:pgMar w:left="240" w:top="1440" w:right="1440" w:bottom="169" w:gutter="0" w:footer="0" w:header="0"/>
          <w:type w:val="continuous"/>
        </w:sectPr>
      </w:pPr>
    </w:p>
    <w:p>
      <w:pPr>
        <w:spacing w:after="0" w:line="74" w:lineRule="exact"/>
        <w:rPr>
          <w:sz w:val="24"/>
          <w:szCs w:val="24"/>
          <w:color w:val="auto"/>
        </w:rPr>
      </w:pPr>
    </w:p>
    <w:p>
      <w:pPr>
        <w:jc w:val="both"/>
        <w:ind w:left="20" w:right="125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125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8"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148711104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6940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4"/>
          <w:szCs w:val="24"/>
          <w:color w:val="auto"/>
        </w:rPr>
      </w:pPr>
    </w:p>
    <w:p>
      <w:pPr>
        <w:ind w:left="700" w:right="6219" w:hanging="435"/>
        <w:spacing w:after="0" w:line="326"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(a) Names of Reporting Persons. Robeco Investment Management, Inc.</w:t>
      </w:r>
    </w:p>
    <w:p>
      <w:pPr>
        <w:spacing w:after="0" w:line="1" w:lineRule="exact"/>
        <w:rPr>
          <w:sz w:val="24"/>
          <w:szCs w:val="24"/>
          <w:color w:val="auto"/>
        </w:rPr>
      </w:pPr>
    </w:p>
    <w:p>
      <w:pPr>
        <w:ind w:left="700" w:right="8479" w:hanging="3"/>
        <w:spacing w:after="0" w:line="328" w:lineRule="auto"/>
        <w:tabs>
          <w:tab w:leader="none" w:pos="1006" w:val="left"/>
        </w:tabs>
        <w:numPr>
          <w:ilvl w:val="1"/>
          <w:numId w:val="3"/>
        </w:numPr>
        <w:rPr>
          <w:rFonts w:ascii="Arial" w:cs="Arial" w:eastAsia="Arial" w:hAnsi="Arial"/>
          <w:sz w:val="19"/>
          <w:szCs w:val="19"/>
          <w:color w:val="auto"/>
        </w:rPr>
      </w:pPr>
      <w:r>
        <w:rPr>
          <w:rFonts w:ascii="Arial" w:cs="Arial" w:eastAsia="Arial" w:hAnsi="Arial"/>
          <w:sz w:val="19"/>
          <w:szCs w:val="19"/>
          <w:color w:val="auto"/>
        </w:rPr>
        <w:t>Tax ID 98-0202744</w:t>
      </w:r>
    </w:p>
    <w:p>
      <w:pPr>
        <w:spacing w:after="0" w:line="348" w:lineRule="exact"/>
        <w:rPr>
          <w:rFonts w:ascii="Arial" w:cs="Arial" w:eastAsia="Arial" w:hAnsi="Arial"/>
          <w:sz w:val="19"/>
          <w:szCs w:val="19"/>
          <w:color w:val="auto"/>
        </w:rPr>
      </w:pPr>
    </w:p>
    <w:p>
      <w:pPr>
        <w:ind w:left="700" w:hanging="435"/>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040" w:hanging="343"/>
        <w:spacing w:after="0"/>
        <w:tabs>
          <w:tab w:leader="none" w:pos="104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60" w:hanging="363"/>
        <w:spacing w:after="0"/>
        <w:tabs>
          <w:tab w:leader="none" w:pos="106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-748665</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1440" w:right="1440" w:bottom="169" w:gutter="0" w:footer="0" w:header="0"/>
          <w:type w:val="continuous"/>
        </w:sectPr>
      </w:pPr>
    </w:p>
    <w:bookmarkStart w:id="1" w:name="page2"/>
    <w:bookmarkEnd w:id="1"/>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1,824,069</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0</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1,824,069</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Dispositive Power 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1,824,069</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3.87(see response to Item 4)%</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Casual Male Retail Group, Inc.</w:t>
      </w:r>
    </w:p>
    <w:p>
      <w:pPr>
        <w:spacing w:after="0" w:line="80" w:lineRule="exact"/>
        <w:rPr>
          <w:rFonts w:ascii="Arial" w:cs="Arial" w:eastAsia="Arial" w:hAnsi="Arial"/>
          <w:sz w:val="22"/>
          <w:szCs w:val="22"/>
          <w:color w:val="auto"/>
        </w:rPr>
      </w:pPr>
    </w:p>
    <w:p>
      <w:pPr>
        <w:ind w:left="700" w:right="5399" w:hanging="374"/>
        <w:spacing w:after="0" w:line="382" w:lineRule="auto"/>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Address of Issuer's Principal Executive Offices 555 Turnpike Street, Canton, MA 02021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hanging="374"/>
        <w:spacing w:after="0"/>
        <w:tabs>
          <w:tab w:leader="none" w:pos="700" w:val="left"/>
        </w:tabs>
        <w:numPr>
          <w:ilvl w:val="0"/>
          <w:numId w:val="9"/>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Robeco Investment Management, Inc.</w:t>
      </w:r>
    </w:p>
    <w:p>
      <w:pPr>
        <w:spacing w:after="0" w:line="80" w:lineRule="exact"/>
        <w:rPr>
          <w:rFonts w:ascii="Arial" w:cs="Arial" w:eastAsia="Arial" w:hAnsi="Arial"/>
          <w:sz w:val="22"/>
          <w:szCs w:val="22"/>
          <w:color w:val="auto"/>
        </w:rPr>
      </w:pPr>
    </w:p>
    <w:p>
      <w:pPr>
        <w:ind w:left="700" w:right="4339" w:hanging="374"/>
        <w:spacing w:after="0" w:line="251" w:lineRule="auto"/>
        <w:tabs>
          <w:tab w:leader="none" w:pos="700" w:val="left"/>
        </w:tabs>
        <w:numPr>
          <w:ilvl w:val="0"/>
          <w:numId w:val="9"/>
        </w:numPr>
        <w:rPr>
          <w:rFonts w:ascii="Arial" w:cs="Arial" w:eastAsia="Arial" w:hAnsi="Arial"/>
          <w:sz w:val="22"/>
          <w:szCs w:val="22"/>
          <w:color w:val="auto"/>
        </w:rPr>
      </w:pPr>
      <w:r>
        <w:rPr>
          <w:rFonts w:ascii="Arial" w:cs="Arial" w:eastAsia="Arial" w:hAnsi="Arial"/>
          <w:sz w:val="22"/>
          <w:szCs w:val="22"/>
          <w:color w:val="auto"/>
        </w:rPr>
        <w:t>Address of Principal Business Office or, if none, Residence 909 Third Ave., New York, NY 10022</w:t>
      </w:r>
    </w:p>
    <w:p>
      <w:pPr>
        <w:spacing w:after="0" w:line="65" w:lineRule="exact"/>
        <w:rPr>
          <w:rFonts w:ascii="Arial" w:cs="Arial" w:eastAsia="Arial" w:hAnsi="Arial"/>
          <w:sz w:val="22"/>
          <w:szCs w:val="22"/>
          <w:color w:val="auto"/>
        </w:rPr>
      </w:pPr>
    </w:p>
    <w:p>
      <w:pPr>
        <w:ind w:left="700" w:right="847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Citizenship Delaware</w:t>
      </w:r>
    </w:p>
    <w:p>
      <w:pPr>
        <w:ind w:left="700" w:right="717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Title of Class of Securities Common Stock</w:t>
      </w:r>
    </w:p>
    <w:p>
      <w:pPr>
        <w:ind w:left="700" w:right="8099" w:hanging="374"/>
        <w:spacing w:after="0" w:line="328"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CUSIP Number 148711104</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120" w:right="1399" w:hanging="816"/>
        <w:spacing w:after="0" w:line="251" w:lineRule="auto"/>
        <w:tabs>
          <w:tab w:leader="none" w:pos="782"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[X An investment adviser in accordance with 240.13d-1(b)(1)(ii)(E);</w:t>
      </w:r>
    </w:p>
    <w:p>
      <w:pPr>
        <w:spacing w:after="0" w:line="8" w:lineRule="exact"/>
        <w:rPr>
          <w:rFonts w:ascii="Arial" w:cs="Arial" w:eastAsia="Arial" w:hAnsi="Arial"/>
          <w:sz w:val="22"/>
          <w:szCs w:val="22"/>
          <w:color w:val="auto"/>
        </w:rPr>
      </w:pPr>
    </w:p>
    <w:p>
      <w:pPr>
        <w:ind w:left="780"/>
        <w:spacing w:after="0"/>
        <w:rPr>
          <w:rFonts w:ascii="Arial" w:cs="Arial" w:eastAsia="Arial" w:hAnsi="Arial"/>
          <w:sz w:val="22"/>
          <w:szCs w:val="22"/>
          <w:color w:val="auto"/>
        </w:rPr>
      </w:pPr>
      <w:r>
        <w:rPr>
          <w:rFonts w:ascii="Arial" w:cs="Arial" w:eastAsia="Arial" w:hAnsi="Arial"/>
          <w:sz w:val="22"/>
          <w:szCs w:val="22"/>
          <w:color w:val="auto"/>
        </w:rPr>
        <w:t>]</w:t>
      </w:r>
    </w:p>
    <w:p>
      <w:pPr>
        <w:sectPr>
          <w:pgSz w:w="11900" w:h="16838" w:orient="portrait"/>
          <w:cols w:equalWidth="0" w:num="1">
            <w:col w:w="10159"/>
          </w:cols>
          <w:pgMar w:left="300" w:top="118" w:right="1440" w:bottom="0" w:gutter="0" w:footer="0" w:header="0"/>
        </w:sectPr>
      </w:pPr>
    </w:p>
    <w:bookmarkStart w:id="2" w:name="page3"/>
    <w:bookmarkEnd w:id="2"/>
    <w:p>
      <w:pPr>
        <w:ind w:left="780" w:hanging="440"/>
        <w:spacing w:after="0"/>
        <w:tabs>
          <w:tab w:leader="none" w:pos="7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240.13d-1(b)(1)(ii)(F);</w:t>
      </w:r>
    </w:p>
    <w:p>
      <w:pPr>
        <w:spacing w:after="0" w:line="294" w:lineRule="exact"/>
        <w:rPr>
          <w:rFonts w:ascii="Arial" w:cs="Arial" w:eastAsia="Arial" w:hAnsi="Arial"/>
          <w:sz w:val="19"/>
          <w:szCs w:val="19"/>
          <w:color w:val="auto"/>
        </w:rPr>
      </w:pPr>
    </w:p>
    <w:p>
      <w:pPr>
        <w:ind w:left="780" w:hanging="476"/>
        <w:spacing w:after="0"/>
        <w:tabs>
          <w:tab w:leader="none" w:pos="7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 ]  A parent holding company or control person in accordance with 240.13d-1(b)(1)(ii)(G);</w:t>
      </w:r>
    </w:p>
    <w:p>
      <w:pPr>
        <w:spacing w:after="0" w:line="294" w:lineRule="exact"/>
        <w:rPr>
          <w:rFonts w:ascii="Arial" w:cs="Arial" w:eastAsia="Arial" w:hAnsi="Arial"/>
          <w:sz w:val="19"/>
          <w:szCs w:val="19"/>
          <w:color w:val="auto"/>
        </w:rPr>
      </w:pPr>
    </w:p>
    <w:p>
      <w:pPr>
        <w:ind w:left="1120" w:right="1559" w:hanging="816"/>
        <w:spacing w:after="0" w:line="251" w:lineRule="auto"/>
        <w:tabs>
          <w:tab w:leader="none" w:pos="78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120" w:right="1819" w:hanging="768"/>
        <w:spacing w:after="0" w:line="239" w:lineRule="auto"/>
        <w:tabs>
          <w:tab w:leader="none" w:pos="78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12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non-U.S. institution in accordance with 240.13d-1(b)(1)(ii)(J);.</w:t>
      </w:r>
    </w:p>
    <w:p>
      <w:pPr>
        <w:spacing w:after="0" w:line="260" w:lineRule="exact"/>
        <w:rPr>
          <w:rFonts w:ascii="Arial" w:cs="Arial" w:eastAsia="Arial" w:hAnsi="Arial"/>
          <w:sz w:val="22"/>
          <w:szCs w:val="22"/>
          <w:color w:val="auto"/>
        </w:rPr>
      </w:pPr>
    </w:p>
    <w:p>
      <w:pPr>
        <w:ind w:left="1120" w:right="1639" w:hanging="816"/>
        <w:spacing w:after="0" w:line="274" w:lineRule="auto"/>
        <w:tabs>
          <w:tab w:leader="none" w:pos="782" w:val="left"/>
        </w:tabs>
        <w:numPr>
          <w:ilvl w:val="0"/>
          <w:numId w:val="11"/>
        </w:numPr>
        <w:rPr>
          <w:rFonts w:ascii="Arial" w:cs="Arial" w:eastAsia="Arial" w:hAnsi="Arial"/>
          <w:sz w:val="21"/>
          <w:szCs w:val="21"/>
          <w:color w:val="auto"/>
        </w:rPr>
      </w:pPr>
      <w:r>
        <w:rPr>
          <w:rFonts w:ascii="Arial" w:cs="Arial" w:eastAsia="Arial" w:hAnsi="Arial"/>
          <w:sz w:val="21"/>
          <w:szCs w:val="21"/>
          <w:color w:val="auto"/>
        </w:rPr>
        <w:t>[ ] Group, in accordance with 240.13d-1(b)(1)(ii)(K).If filing as a non-U.S. institution in accordance with 240.13d-1(b)(ii)(J), please specify the type of institution:</w:t>
      </w:r>
    </w:p>
    <w:p>
      <w:pPr>
        <w:spacing w:after="0" w:line="388"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1980" w:hanging="357"/>
        <w:spacing w:after="0"/>
        <w:tabs>
          <w:tab w:leader="none" w:pos="19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Amount beneficially owned: 1,824,069</w:t>
      </w:r>
    </w:p>
    <w:p>
      <w:pPr>
        <w:spacing w:after="0" w:line="98" w:lineRule="exact"/>
        <w:rPr>
          <w:rFonts w:ascii="Arial" w:cs="Arial" w:eastAsia="Arial" w:hAnsi="Arial"/>
          <w:sz w:val="22"/>
          <w:szCs w:val="22"/>
          <w:color w:val="auto"/>
        </w:rPr>
      </w:pPr>
    </w:p>
    <w:p>
      <w:pPr>
        <w:ind w:left="1980" w:hanging="357"/>
        <w:spacing w:after="0"/>
        <w:tabs>
          <w:tab w:leader="none" w:pos="19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3.87%</w:t>
      </w:r>
    </w:p>
    <w:p>
      <w:pPr>
        <w:spacing w:after="0" w:line="98" w:lineRule="exact"/>
        <w:rPr>
          <w:rFonts w:ascii="Arial" w:cs="Arial" w:eastAsia="Arial" w:hAnsi="Arial"/>
          <w:sz w:val="22"/>
          <w:szCs w:val="22"/>
          <w:color w:val="auto"/>
        </w:rPr>
      </w:pPr>
    </w:p>
    <w:p>
      <w:pPr>
        <w:ind w:left="1980" w:hanging="357"/>
        <w:spacing w:after="0"/>
        <w:tabs>
          <w:tab w:leader="none" w:pos="19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2420" w:hanging="433"/>
        <w:spacing w:after="0"/>
        <w:tabs>
          <w:tab w:leader="none" w:pos="242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vote or to direct the vote 1,824,069</w:t>
      </w:r>
    </w:p>
    <w:p>
      <w:pPr>
        <w:spacing w:after="0" w:line="98" w:lineRule="exact"/>
        <w:rPr>
          <w:rFonts w:ascii="Arial" w:cs="Arial" w:eastAsia="Arial" w:hAnsi="Arial"/>
          <w:sz w:val="22"/>
          <w:szCs w:val="22"/>
          <w:color w:val="auto"/>
        </w:rPr>
      </w:pPr>
    </w:p>
    <w:p>
      <w:pPr>
        <w:ind w:left="2420" w:hanging="433"/>
        <w:spacing w:after="0"/>
        <w:tabs>
          <w:tab w:leader="none" w:pos="242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98" w:lineRule="exact"/>
        <w:rPr>
          <w:rFonts w:ascii="Arial" w:cs="Arial" w:eastAsia="Arial" w:hAnsi="Arial"/>
          <w:sz w:val="22"/>
          <w:szCs w:val="22"/>
          <w:color w:val="auto"/>
        </w:rPr>
      </w:pPr>
    </w:p>
    <w:p>
      <w:pPr>
        <w:ind w:left="2420" w:hanging="433"/>
        <w:spacing w:after="0"/>
        <w:tabs>
          <w:tab w:leader="none" w:pos="242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1,824,069</w:t>
      </w:r>
    </w:p>
    <w:p>
      <w:pPr>
        <w:spacing w:after="0" w:line="98" w:lineRule="exact"/>
        <w:rPr>
          <w:rFonts w:ascii="Arial" w:cs="Arial" w:eastAsia="Arial" w:hAnsi="Arial"/>
          <w:sz w:val="22"/>
          <w:szCs w:val="22"/>
          <w:color w:val="auto"/>
        </w:rPr>
      </w:pPr>
    </w:p>
    <w:p>
      <w:pPr>
        <w:ind w:left="2420" w:hanging="433"/>
        <w:spacing w:after="0"/>
        <w:tabs>
          <w:tab w:leader="none" w:pos="242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pacing w:after="0" w:line="200" w:lineRule="exact"/>
        <w:rPr>
          <w:sz w:val="20"/>
          <w:szCs w:val="20"/>
          <w:color w:val="auto"/>
        </w:rPr>
      </w:pPr>
    </w:p>
    <w:p>
      <w:pPr>
        <w:spacing w:after="0" w:line="243"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ind w:right="177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following.[X ].</w:t>
      </w:r>
    </w:p>
    <w:p>
      <w:pPr>
        <w:sectPr>
          <w:pgSz w:w="11900" w:h="16838" w:orient="portrait"/>
          <w:cols w:equalWidth="0" w:num="1">
            <w:col w:w="10159"/>
          </w:cols>
          <w:pgMar w:left="300" w:top="132" w:right="1440" w:bottom="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color w:val="auto"/>
        </w:rPr>
        <w:t>This Schedule is</w:t>
      </w:r>
    </w:p>
    <w:p>
      <w:pPr>
        <w:spacing w:after="0" w:line="180" w:lineRule="auto"/>
        <w:rPr>
          <w:sz w:val="20"/>
          <w:szCs w:val="20"/>
          <w:color w:val="auto"/>
        </w:rPr>
      </w:pPr>
      <w:r>
        <w:rPr>
          <w:rFonts w:ascii="Arial" w:cs="Arial" w:eastAsia="Arial" w:hAnsi="Arial"/>
          <w:sz w:val="19"/>
          <w:szCs w:val="19"/>
          <w:color w:val="auto"/>
        </w:rPr>
        <w:t>being filed with</w:t>
      </w:r>
    </w:p>
    <w:p>
      <w:pPr>
        <w:spacing w:after="0" w:line="181" w:lineRule="auto"/>
        <w:rPr>
          <w:sz w:val="20"/>
          <w:szCs w:val="20"/>
          <w:color w:val="auto"/>
        </w:rPr>
      </w:pPr>
      <w:r>
        <w:rPr>
          <w:rFonts w:ascii="Arial" w:cs="Arial" w:eastAsia="Arial" w:hAnsi="Arial"/>
          <w:sz w:val="14"/>
          <w:szCs w:val="14"/>
          <w:b w:val="1"/>
          <w:bCs w:val="1"/>
          <w:color w:val="auto"/>
        </w:rPr>
        <w:t>Item 7.</w:t>
      </w:r>
    </w:p>
    <w:p>
      <w:pPr>
        <w:spacing w:after="0" w:line="563" w:lineRule="auto"/>
        <w:rPr>
          <w:sz w:val="20"/>
          <w:szCs w:val="20"/>
          <w:color w:val="auto"/>
        </w:rPr>
      </w:pPr>
      <w:r>
        <w:rPr>
          <w:rFonts w:ascii="Arial" w:cs="Arial" w:eastAsia="Arial" w:hAnsi="Arial"/>
          <w:sz w:val="12"/>
          <w:szCs w:val="12"/>
          <w:color w:val="auto"/>
        </w:rPr>
        <w:t>respect to 1,824,069 shares Casual Male NotRetailapplicableGroup,.</w:t>
      </w:r>
    </w:p>
    <w:p>
      <w:pPr>
        <w:spacing w:after="0" w:line="181" w:lineRule="auto"/>
        <w:rPr>
          <w:sz w:val="20"/>
          <w:szCs w:val="20"/>
          <w:color w:val="auto"/>
        </w:rPr>
      </w:pPr>
      <w:r>
        <w:rPr>
          <w:rFonts w:ascii="Arial" w:cs="Arial" w:eastAsia="Arial" w:hAnsi="Arial"/>
          <w:sz w:val="11"/>
          <w:szCs w:val="11"/>
          <w:color w:val="auto"/>
        </w:rPr>
        <w:t>Inc. (the</w:t>
      </w:r>
    </w:p>
    <w:p>
      <w:pPr>
        <w:spacing w:after="0" w:line="182" w:lineRule="auto"/>
        <w:rPr>
          <w:sz w:val="20"/>
          <w:szCs w:val="20"/>
          <w:color w:val="auto"/>
        </w:rPr>
      </w:pPr>
      <w:r>
        <w:rPr>
          <w:rFonts w:ascii="Arial" w:cs="Arial" w:eastAsia="Arial" w:hAnsi="Arial"/>
          <w:sz w:val="17"/>
          <w:szCs w:val="17"/>
          <w:b w:val="1"/>
          <w:bCs w:val="1"/>
          <w:color w:val="auto"/>
        </w:rPr>
        <w:t>Item 8.</w:t>
      </w:r>
    </w:p>
    <w:p>
      <w:pPr>
        <w:spacing w:after="0" w:line="223" w:lineRule="auto"/>
        <w:rPr>
          <w:sz w:val="20"/>
          <w:szCs w:val="20"/>
          <w:color w:val="auto"/>
        </w:rPr>
      </w:pPr>
      <w:r>
        <w:rPr>
          <w:rFonts w:ascii="Arial" w:cs="Arial" w:eastAsia="Arial" w:hAnsi="Arial"/>
          <w:sz w:val="19"/>
          <w:szCs w:val="19"/>
          <w:color w:val="auto"/>
        </w:rPr>
        <w:t>Common Stock)</w:t>
      </w:r>
    </w:p>
    <w:p>
      <w:pPr>
        <w:spacing w:after="0"/>
        <w:rPr>
          <w:sz w:val="20"/>
          <w:szCs w:val="20"/>
          <w:color w:val="auto"/>
        </w:rPr>
      </w:pPr>
      <w:r>
        <w:rPr>
          <w:rFonts w:ascii="Arial" w:cs="Arial" w:eastAsia="Arial" w:hAnsi="Arial"/>
          <w:sz w:val="12"/>
          <w:szCs w:val="12"/>
          <w:color w:val="auto"/>
        </w:rPr>
        <w:t>Not</w:t>
      </w:r>
      <w:r>
        <w:rPr>
          <w:rFonts w:ascii="Arial" w:cs="Arial" w:eastAsia="Arial" w:hAnsi="Arial"/>
          <w:sz w:val="15"/>
          <w:szCs w:val="15"/>
          <w:color w:val="auto"/>
          <w:vertAlign w:val="subscript"/>
        </w:rPr>
        <w:t>held</w:t>
      </w:r>
      <w:r>
        <w:rPr>
          <w:rFonts w:ascii="Arial" w:cs="Arial" w:eastAsia="Arial" w:hAnsi="Arial"/>
          <w:sz w:val="12"/>
          <w:szCs w:val="12"/>
          <w:color w:val="auto"/>
        </w:rPr>
        <w:t xml:space="preserve"> applicable</w:t>
      </w:r>
      <w:r>
        <w:rPr>
          <w:rFonts w:ascii="Arial" w:cs="Arial" w:eastAsia="Arial" w:hAnsi="Arial"/>
          <w:sz w:val="15"/>
          <w:szCs w:val="15"/>
          <w:color w:val="auto"/>
          <w:vertAlign w:val="subscript"/>
        </w:rPr>
        <w:t>byRobeco</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200" w:lineRule="exact"/>
        <w:rPr>
          <w:sz w:val="20"/>
          <w:szCs w:val="20"/>
          <w:color w:val="auto"/>
        </w:rPr>
      </w:pPr>
    </w:p>
    <w:p>
      <w:pPr>
        <w:spacing w:after="0" w:line="297" w:lineRule="exact"/>
        <w:rPr>
          <w:sz w:val="20"/>
          <w:szCs w:val="20"/>
          <w:color w:val="auto"/>
        </w:rPr>
      </w:pPr>
    </w:p>
    <w:p>
      <w:pPr>
        <w:ind w:right="1519"/>
        <w:spacing w:after="0" w:line="243"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Identification and Classification of Members of the Group</w:t>
      </w:r>
    </w:p>
    <w:p>
      <w:pPr>
        <w:spacing w:after="0" w:line="345" w:lineRule="exact"/>
        <w:rPr>
          <w:sz w:val="20"/>
          <w:szCs w:val="20"/>
          <w:color w:val="auto"/>
        </w:rPr>
      </w:pPr>
    </w:p>
    <w:p>
      <w:pPr>
        <w:sectPr>
          <w:pgSz w:w="11900" w:h="16838" w:orient="portrait"/>
          <w:cols w:equalWidth="0" w:num="2">
            <w:col w:w="1460" w:space="520"/>
            <w:col w:w="8179"/>
          </w:cols>
          <w:pgMar w:left="300" w:top="132" w:right="1440" w:bottom="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1760" w:type="dxa"/>
            <w:vAlign w:val="bottom"/>
          </w:tcPr>
          <w:p>
            <w:pPr>
              <w:spacing w:after="0"/>
              <w:rPr>
                <w:sz w:val="20"/>
                <w:szCs w:val="20"/>
                <w:color w:val="auto"/>
              </w:rPr>
            </w:pPr>
            <w:r>
              <w:rPr>
                <w:rFonts w:ascii="Arial" w:cs="Arial" w:eastAsia="Arial" w:hAnsi="Arial"/>
                <w:sz w:val="22"/>
                <w:szCs w:val="22"/>
                <w:color w:val="auto"/>
              </w:rPr>
              <w:t>Investment</w:t>
            </w:r>
          </w:p>
        </w:tc>
        <w:tc>
          <w:tcPr>
            <w:tcW w:w="304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7"/>
              </w:rPr>
              <w:t>Notice of Dissolution of Group</w:t>
            </w:r>
          </w:p>
        </w:tc>
        <w:tc>
          <w:tcPr>
            <w:tcW w:w="0" w:type="dxa"/>
            <w:vAlign w:val="bottom"/>
          </w:tcPr>
          <w:p>
            <w:pPr>
              <w:spacing w:after="0"/>
              <w:rPr>
                <w:sz w:val="1"/>
                <w:szCs w:val="1"/>
                <w:color w:val="auto"/>
              </w:rPr>
            </w:pPr>
          </w:p>
        </w:tc>
      </w:tr>
      <w:tr>
        <w:trPr>
          <w:trHeight w:val="68"/>
        </w:trPr>
        <w:tc>
          <w:tcPr>
            <w:tcW w:w="1760" w:type="dxa"/>
            <w:vAlign w:val="bottom"/>
          </w:tcPr>
          <w:p>
            <w:pPr>
              <w:spacing w:after="0" w:line="68" w:lineRule="exact"/>
              <w:rPr>
                <w:sz w:val="20"/>
                <w:szCs w:val="20"/>
                <w:color w:val="auto"/>
              </w:rPr>
            </w:pPr>
            <w:r>
              <w:rPr>
                <w:rFonts w:ascii="Arial" w:cs="Arial" w:eastAsia="Arial" w:hAnsi="Arial"/>
                <w:sz w:val="6"/>
                <w:szCs w:val="6"/>
                <w:b w:val="1"/>
                <w:bCs w:val="1"/>
                <w:color w:val="auto"/>
              </w:rPr>
              <w:t>Item 9.</w:t>
            </w: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760" w:type="dxa"/>
            <w:vAlign w:val="bottom"/>
          </w:tcPr>
          <w:p>
            <w:pPr>
              <w:spacing w:after="0" w:line="175" w:lineRule="exact"/>
              <w:rPr>
                <w:sz w:val="20"/>
                <w:szCs w:val="20"/>
                <w:color w:val="auto"/>
              </w:rPr>
            </w:pPr>
            <w:r>
              <w:rPr>
                <w:rFonts w:ascii="Arial" w:cs="Arial" w:eastAsia="Arial" w:hAnsi="Arial"/>
                <w:sz w:val="19"/>
                <w:szCs w:val="19"/>
                <w:color w:val="auto"/>
              </w:rPr>
              <w:t>Management,Inc.</w:t>
            </w:r>
          </w:p>
        </w:tc>
        <w:tc>
          <w:tcPr>
            <w:tcW w:w="3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60" w:type="dxa"/>
            <w:vAlign w:val="bottom"/>
          </w:tcPr>
          <w:p>
            <w:pPr>
              <w:spacing w:after="0" w:line="175" w:lineRule="exact"/>
              <w:rPr>
                <w:sz w:val="20"/>
                <w:szCs w:val="20"/>
                <w:color w:val="auto"/>
              </w:rPr>
            </w:pPr>
            <w:r>
              <w:rPr>
                <w:rFonts w:ascii="Arial" w:cs="Arial" w:eastAsia="Arial" w:hAnsi="Arial"/>
                <w:sz w:val="19"/>
                <w:szCs w:val="19"/>
                <w:color w:val="auto"/>
              </w:rPr>
              <w:t>Not applicable.</w:t>
            </w:r>
          </w:p>
        </w:tc>
        <w:tc>
          <w:tcPr>
            <w:tcW w:w="3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1760" w:type="dxa"/>
            <w:vAlign w:val="bottom"/>
          </w:tcPr>
          <w:p>
            <w:pPr>
              <w:spacing w:after="0" w:line="100" w:lineRule="exact"/>
              <w:rPr>
                <w:sz w:val="20"/>
                <w:szCs w:val="20"/>
                <w:color w:val="auto"/>
              </w:rPr>
            </w:pPr>
            <w:r>
              <w:rPr>
                <w:rFonts w:ascii="Arial" w:cs="Arial" w:eastAsia="Arial" w:hAnsi="Arial"/>
                <w:sz w:val="11"/>
                <w:szCs w:val="11"/>
                <w:color w:val="auto"/>
              </w:rPr>
              <w:t>(RIM) on</w:t>
            </w:r>
          </w:p>
        </w:tc>
        <w:tc>
          <w:tcPr>
            <w:tcW w:w="3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760" w:type="dxa"/>
            <w:vAlign w:val="bottom"/>
          </w:tcPr>
          <w:p>
            <w:pPr>
              <w:spacing w:after="0" w:line="210" w:lineRule="exact"/>
              <w:rPr>
                <w:sz w:val="20"/>
                <w:szCs w:val="20"/>
                <w:color w:val="auto"/>
              </w:rPr>
            </w:pPr>
            <w:r>
              <w:rPr>
                <w:rFonts w:ascii="Arial" w:cs="Arial" w:eastAsia="Arial" w:hAnsi="Arial"/>
                <w:sz w:val="22"/>
                <w:szCs w:val="22"/>
                <w:color w:val="auto"/>
              </w:rPr>
              <w:t>12/31/2009 for</w:t>
            </w:r>
          </w:p>
        </w:tc>
        <w:tc>
          <w:tcPr>
            <w:tcW w:w="3040" w:type="dxa"/>
            <w:vAlign w:val="bottom"/>
            <w:vMerge w:val="restart"/>
          </w:tcPr>
          <w:p>
            <w:pPr>
              <w:ind w:left="220"/>
              <w:spacing w:after="0"/>
              <w:rPr>
                <w:sz w:val="20"/>
                <w:szCs w:val="20"/>
                <w:color w:val="auto"/>
              </w:rPr>
            </w:pPr>
            <w:r>
              <w:rPr>
                <w:rFonts w:ascii="Arial" w:cs="Arial" w:eastAsia="Arial" w:hAnsi="Arial"/>
                <w:sz w:val="22"/>
                <w:szCs w:val="22"/>
                <w:b w:val="1"/>
                <w:bCs w:val="1"/>
                <w:color w:val="auto"/>
              </w:rPr>
              <w:t>Certification</w:t>
            </w:r>
          </w:p>
        </w:tc>
        <w:tc>
          <w:tcPr>
            <w:tcW w:w="0" w:type="dxa"/>
            <w:vAlign w:val="bottom"/>
          </w:tcPr>
          <w:p>
            <w:pPr>
              <w:spacing w:after="0"/>
              <w:rPr>
                <w:sz w:val="1"/>
                <w:szCs w:val="1"/>
                <w:color w:val="auto"/>
              </w:rPr>
            </w:pPr>
          </w:p>
        </w:tc>
      </w:tr>
      <w:tr>
        <w:trPr>
          <w:trHeight w:val="51"/>
        </w:trPr>
        <w:tc>
          <w:tcPr>
            <w:tcW w:w="1760" w:type="dxa"/>
            <w:vAlign w:val="bottom"/>
          </w:tcPr>
          <w:p>
            <w:pPr>
              <w:spacing w:after="0" w:line="51" w:lineRule="exact"/>
              <w:rPr>
                <w:sz w:val="20"/>
                <w:szCs w:val="20"/>
                <w:color w:val="auto"/>
              </w:rPr>
            </w:pPr>
            <w:r>
              <w:rPr>
                <w:rFonts w:ascii="Arial" w:cs="Arial" w:eastAsia="Arial" w:hAnsi="Arial"/>
                <w:sz w:val="5"/>
                <w:szCs w:val="5"/>
                <w:b w:val="1"/>
                <w:bCs w:val="1"/>
                <w:color w:val="auto"/>
              </w:rPr>
              <w:t>Item 10.</w:t>
            </w:r>
          </w:p>
        </w:tc>
        <w:tc>
          <w:tcPr>
            <w:tcW w:w="3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82" w:lineRule="auto"/>
        <w:rPr>
          <w:sz w:val="20"/>
          <w:szCs w:val="20"/>
          <w:color w:val="auto"/>
        </w:rPr>
      </w:pPr>
      <w:r>
        <w:rPr>
          <w:rFonts w:ascii="Arial" w:cs="Arial" w:eastAsia="Arial" w:hAnsi="Arial"/>
          <w:sz w:val="17"/>
          <w:szCs w:val="17"/>
          <w:color w:val="auto"/>
        </w:rPr>
        <w:t>the discretionary</w:t>
      </w:r>
    </w:p>
    <w:p>
      <w:pPr>
        <w:ind w:right="1839"/>
        <w:spacing w:after="0"/>
        <w:rPr>
          <w:sz w:val="20"/>
          <w:szCs w:val="20"/>
          <w:color w:val="auto"/>
        </w:rPr>
      </w:pPr>
      <w:r>
        <w:rPr>
          <w:rFonts w:ascii="Arial" w:cs="Arial" w:eastAsia="Arial" w:hAnsi="Arial"/>
          <w:sz w:val="17"/>
          <w:szCs w:val="17"/>
          <w:color w:val="auto"/>
        </w:rPr>
        <w:t>By signing below I certify that, to the best of my knowledge and belief, the securities referred to account of</w:t>
      </w:r>
    </w:p>
    <w:p>
      <w:pPr>
        <w:spacing w:after="0" w:line="48" w:lineRule="exact"/>
        <w:rPr>
          <w:sz w:val="20"/>
          <w:szCs w:val="20"/>
          <w:color w:val="auto"/>
        </w:rPr>
      </w:pPr>
    </w:p>
    <w:p>
      <w:pPr>
        <w:ind w:right="1319"/>
        <w:spacing w:after="0"/>
        <w:rPr>
          <w:sz w:val="20"/>
          <w:szCs w:val="20"/>
          <w:color w:val="auto"/>
        </w:rPr>
      </w:pPr>
      <w:r>
        <w:rPr>
          <w:rFonts w:ascii="Arial" w:cs="Arial" w:eastAsia="Arial" w:hAnsi="Arial"/>
          <w:sz w:val="16"/>
          <w:szCs w:val="16"/>
          <w:color w:val="auto"/>
        </w:rPr>
        <w:t>above were acquired and are held in the ordinary course of business and were not acquired and are not certain clients.</w:t>
      </w:r>
    </w:p>
    <w:p>
      <w:pPr>
        <w:spacing w:after="0" w:line="59" w:lineRule="exact"/>
        <w:rPr>
          <w:sz w:val="20"/>
          <w:szCs w:val="20"/>
          <w:color w:val="auto"/>
        </w:rPr>
      </w:pPr>
    </w:p>
    <w:p>
      <w:pPr>
        <w:ind w:right="1659"/>
        <w:spacing w:after="0"/>
        <w:rPr>
          <w:sz w:val="20"/>
          <w:szCs w:val="20"/>
          <w:color w:val="auto"/>
        </w:rPr>
      </w:pPr>
      <w:r>
        <w:rPr>
          <w:rFonts w:ascii="Arial" w:cs="Arial" w:eastAsia="Arial" w:hAnsi="Arial"/>
          <w:sz w:val="16"/>
          <w:szCs w:val="16"/>
          <w:color w:val="auto"/>
        </w:rPr>
        <w:t>held for the purpose of or with the effect of changing or influencing the control of the issuer of the By reason of rule</w:t>
      </w:r>
    </w:p>
    <w:p>
      <w:pPr>
        <w:spacing w:after="0" w:line="59" w:lineRule="exact"/>
        <w:rPr>
          <w:sz w:val="20"/>
          <w:szCs w:val="20"/>
          <w:color w:val="auto"/>
        </w:rPr>
      </w:pPr>
    </w:p>
    <w:p>
      <w:pPr>
        <w:ind w:right="2079"/>
        <w:spacing w:after="0" w:line="185" w:lineRule="auto"/>
        <w:rPr>
          <w:sz w:val="20"/>
          <w:szCs w:val="20"/>
          <w:color w:val="auto"/>
        </w:rPr>
      </w:pPr>
      <w:r>
        <w:rPr>
          <w:rFonts w:ascii="Arial" w:cs="Arial" w:eastAsia="Arial" w:hAnsi="Arial"/>
          <w:sz w:val="19"/>
          <w:szCs w:val="19"/>
          <w:color w:val="auto"/>
        </w:rPr>
        <w:t>securities and were not acquired and are not held in connection with or as a participant in any 13d-3 under the</w:t>
      </w:r>
    </w:p>
    <w:p>
      <w:pPr>
        <w:spacing w:after="0" w:line="231" w:lineRule="auto"/>
        <w:rPr>
          <w:sz w:val="20"/>
          <w:szCs w:val="20"/>
          <w:color w:val="auto"/>
        </w:rPr>
      </w:pPr>
      <w:r>
        <w:rPr>
          <w:rFonts w:ascii="Arial" w:cs="Arial" w:eastAsia="Arial" w:hAnsi="Arial"/>
          <w:sz w:val="22"/>
          <w:szCs w:val="22"/>
          <w:color w:val="auto"/>
        </w:rPr>
        <w:t>acttransactionRIMmayhavingbe that purpose or effect.</w:t>
      </w:r>
    </w:p>
    <w:p>
      <w:pPr>
        <w:spacing w:after="0" w:line="212" w:lineRule="auto"/>
        <w:rPr>
          <w:sz w:val="20"/>
          <w:szCs w:val="20"/>
          <w:color w:val="auto"/>
        </w:rPr>
      </w:pPr>
      <w:r>
        <w:rPr>
          <w:rFonts w:ascii="Arial" w:cs="Arial" w:eastAsia="Arial" w:hAnsi="Arial"/>
          <w:sz w:val="22"/>
          <w:szCs w:val="22"/>
          <w:color w:val="auto"/>
        </w:rPr>
        <w:t>deemed to be a</w:t>
      </w:r>
    </w:p>
    <w:tbl>
      <w:tblPr>
        <w:tblLayout w:type="fixed"/>
        <w:tblInd w:w="0" w:type="dxa"/>
        <w:tblCellMar>
          <w:top w:w="0" w:type="dxa"/>
          <w:left w:w="0" w:type="dxa"/>
          <w:bottom w:w="0" w:type="dxa"/>
          <w:right w:w="0" w:type="dxa"/>
        </w:tblCellMar>
      </w:tblPr>
      <w:tr>
        <w:trPr>
          <w:trHeight w:val="245"/>
        </w:trPr>
        <w:tc>
          <w:tcPr>
            <w:tcW w:w="2720" w:type="dxa"/>
            <w:vAlign w:val="bottom"/>
          </w:tcPr>
          <w:p>
            <w:pPr>
              <w:spacing w:after="0" w:line="245" w:lineRule="exact"/>
              <w:rPr>
                <w:sz w:val="20"/>
                <w:szCs w:val="20"/>
                <w:color w:val="auto"/>
              </w:rPr>
            </w:pPr>
            <w:r>
              <w:rPr>
                <w:rFonts w:ascii="Arial" w:cs="Arial" w:eastAsia="Arial" w:hAnsi="Arial"/>
                <w:sz w:val="22"/>
                <w:szCs w:val="22"/>
                <w:color w:val="auto"/>
              </w:rPr>
              <w:t>beneficial owner</w:t>
            </w:r>
          </w:p>
        </w:tc>
        <w:tc>
          <w:tcPr>
            <w:tcW w:w="2700" w:type="dxa"/>
            <w:vAlign w:val="bottom"/>
          </w:tcPr>
          <w:p>
            <w:pPr>
              <w:ind w:left="1220"/>
              <w:spacing w:after="0" w:line="245" w:lineRule="exact"/>
              <w:rPr>
                <w:sz w:val="20"/>
                <w:szCs w:val="20"/>
                <w:color w:val="auto"/>
              </w:rPr>
            </w:pPr>
            <w:r>
              <w:rPr>
                <w:rFonts w:ascii="Arial" w:cs="Arial" w:eastAsia="Arial" w:hAnsi="Arial"/>
                <w:sz w:val="25"/>
                <w:szCs w:val="25"/>
                <w:b w:val="1"/>
                <w:bCs w:val="1"/>
                <w:color w:val="auto"/>
                <w:w w:val="99"/>
              </w:rPr>
              <w:t>SIGNATURE</w:t>
            </w:r>
          </w:p>
        </w:tc>
      </w:tr>
      <w:tr>
        <w:trPr>
          <w:trHeight w:val="261"/>
        </w:trPr>
        <w:tc>
          <w:tcPr>
            <w:tcW w:w="2720" w:type="dxa"/>
            <w:vAlign w:val="bottom"/>
          </w:tcPr>
          <w:p>
            <w:pPr>
              <w:spacing w:after="0"/>
              <w:rPr>
                <w:sz w:val="20"/>
                <w:szCs w:val="20"/>
                <w:color w:val="auto"/>
              </w:rPr>
            </w:pPr>
            <w:r>
              <w:rPr>
                <w:rFonts w:ascii="Arial" w:cs="Arial" w:eastAsia="Arial" w:hAnsi="Arial"/>
                <w:sz w:val="22"/>
                <w:szCs w:val="22"/>
                <w:color w:val="auto"/>
              </w:rPr>
              <w:t>of such Common</w:t>
            </w:r>
          </w:p>
        </w:tc>
        <w:tc>
          <w:tcPr>
            <w:tcW w:w="2700" w:type="dxa"/>
            <w:vAlign w:val="bottom"/>
          </w:tcPr>
          <w:p>
            <w:pPr>
              <w:spacing w:after="0"/>
              <w:rPr>
                <w:sz w:val="22"/>
                <w:szCs w:val="2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00" w:type="dxa"/>
            <w:vAlign w:val="bottom"/>
          </w:tcPr>
          <w:p>
            <w:pPr>
              <w:spacing w:after="0" w:line="192" w:lineRule="exact"/>
              <w:rPr>
                <w:sz w:val="20"/>
                <w:szCs w:val="20"/>
                <w:color w:val="auto"/>
              </w:rPr>
            </w:pPr>
            <w:r>
              <w:rPr>
                <w:rFonts w:ascii="Arial" w:cs="Arial" w:eastAsia="Arial" w:hAnsi="Arial"/>
                <w:sz w:val="22"/>
                <w:szCs w:val="22"/>
                <w:color w:val="auto"/>
              </w:rPr>
              <w:t>Stock. To the</w:t>
            </w:r>
          </w:p>
        </w:tc>
        <w:tc>
          <w:tcPr>
            <w:tcW w:w="6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9000" w:type="dxa"/>
            <w:vAlign w:val="bottom"/>
            <w:gridSpan w:val="2"/>
          </w:tcPr>
          <w:p>
            <w:pPr>
              <w:ind w:left="240"/>
              <w:spacing w:after="0" w:line="95" w:lineRule="exact"/>
              <w:rPr>
                <w:sz w:val="20"/>
                <w:szCs w:val="20"/>
                <w:color w:val="auto"/>
              </w:rPr>
            </w:pPr>
            <w:r>
              <w:rPr>
                <w:rFonts w:ascii="Arial" w:cs="Arial" w:eastAsia="Arial" w:hAnsi="Arial"/>
                <w:sz w:val="10"/>
                <w:szCs w:val="10"/>
                <w:color w:val="auto"/>
              </w:rPr>
              <w:t>After reasonable inquiry and to the best of my knowledge and belief, I certify that the information set</w:t>
            </w:r>
          </w:p>
        </w:tc>
        <w:tc>
          <w:tcPr>
            <w:tcW w:w="0" w:type="dxa"/>
            <w:vAlign w:val="bottom"/>
          </w:tcPr>
          <w:p>
            <w:pPr>
              <w:spacing w:after="0"/>
              <w:rPr>
                <w:sz w:val="1"/>
                <w:szCs w:val="1"/>
                <w:color w:val="auto"/>
              </w:rPr>
            </w:pPr>
          </w:p>
        </w:tc>
      </w:tr>
      <w:tr>
        <w:trPr>
          <w:trHeight w:val="149"/>
        </w:trPr>
        <w:tc>
          <w:tcPr>
            <w:tcW w:w="2600" w:type="dxa"/>
            <w:vAlign w:val="bottom"/>
          </w:tcPr>
          <w:p>
            <w:pPr>
              <w:spacing w:after="0" w:line="149" w:lineRule="exact"/>
              <w:rPr>
                <w:sz w:val="20"/>
                <w:szCs w:val="20"/>
                <w:color w:val="auto"/>
              </w:rPr>
            </w:pPr>
            <w:r>
              <w:rPr>
                <w:rFonts w:ascii="Arial" w:cs="Arial" w:eastAsia="Arial" w:hAnsi="Arial"/>
                <w:sz w:val="17"/>
                <w:szCs w:val="17"/>
                <w:color w:val="auto"/>
              </w:rPr>
              <w:t>knowledge of</w:t>
            </w:r>
          </w:p>
        </w:tc>
        <w:tc>
          <w:tcPr>
            <w:tcW w:w="6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9000" w:type="dxa"/>
            <w:vAlign w:val="bottom"/>
            <w:gridSpan w:val="2"/>
          </w:tcPr>
          <w:p>
            <w:pPr>
              <w:ind w:left="240"/>
              <w:spacing w:after="0" w:line="95" w:lineRule="exact"/>
              <w:rPr>
                <w:sz w:val="20"/>
                <w:szCs w:val="20"/>
                <w:color w:val="auto"/>
              </w:rPr>
            </w:pPr>
            <w:r>
              <w:rPr>
                <w:rFonts w:ascii="Arial" w:cs="Arial" w:eastAsia="Arial" w:hAnsi="Arial"/>
                <w:sz w:val="10"/>
                <w:szCs w:val="10"/>
                <w:color w:val="auto"/>
              </w:rPr>
              <w:t>forth in this statement is true, complete and correct.</w:t>
            </w:r>
          </w:p>
        </w:tc>
        <w:tc>
          <w:tcPr>
            <w:tcW w:w="0" w:type="dxa"/>
            <w:vAlign w:val="bottom"/>
          </w:tcPr>
          <w:p>
            <w:pPr>
              <w:spacing w:after="0"/>
              <w:rPr>
                <w:sz w:val="1"/>
                <w:szCs w:val="1"/>
                <w:color w:val="auto"/>
              </w:rPr>
            </w:pPr>
          </w:p>
        </w:tc>
      </w:tr>
      <w:tr>
        <w:trPr>
          <w:trHeight w:val="181"/>
        </w:trPr>
        <w:tc>
          <w:tcPr>
            <w:tcW w:w="2600" w:type="dxa"/>
            <w:vAlign w:val="bottom"/>
          </w:tcPr>
          <w:p>
            <w:pPr>
              <w:spacing w:after="0" w:line="182" w:lineRule="exact"/>
              <w:rPr>
                <w:sz w:val="20"/>
                <w:szCs w:val="20"/>
                <w:color w:val="auto"/>
              </w:rPr>
            </w:pPr>
            <w:r>
              <w:rPr>
                <w:rFonts w:ascii="Arial" w:cs="Arial" w:eastAsia="Arial" w:hAnsi="Arial"/>
                <w:sz w:val="21"/>
                <w:szCs w:val="21"/>
                <w:color w:val="auto"/>
              </w:rPr>
              <w:t>RIM no person</w:t>
            </w:r>
          </w:p>
        </w:tc>
        <w:tc>
          <w:tcPr>
            <w:tcW w:w="6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00" w:type="dxa"/>
            <w:vAlign w:val="bottom"/>
          </w:tcPr>
          <w:p>
            <w:pPr>
              <w:spacing w:after="0" w:line="243" w:lineRule="exact"/>
              <w:rPr>
                <w:sz w:val="20"/>
                <w:szCs w:val="20"/>
                <w:color w:val="auto"/>
              </w:rPr>
            </w:pPr>
            <w:r>
              <w:rPr>
                <w:rFonts w:ascii="Arial" w:cs="Arial" w:eastAsia="Arial" w:hAnsi="Arial"/>
                <w:sz w:val="22"/>
                <w:szCs w:val="22"/>
                <w:color w:val="auto"/>
              </w:rPr>
              <w:t>has the right to</w:t>
            </w:r>
          </w:p>
        </w:tc>
        <w:tc>
          <w:tcPr>
            <w:tcW w:w="6400" w:type="dxa"/>
            <w:vAlign w:val="bottom"/>
            <w:vMerge w:val="restart"/>
          </w:tcPr>
          <w:p>
            <w:pPr>
              <w:jc w:val="center"/>
              <w:ind w:right="2132"/>
              <w:spacing w:after="0"/>
              <w:rPr>
                <w:sz w:val="20"/>
                <w:szCs w:val="20"/>
                <w:color w:val="auto"/>
              </w:rPr>
            </w:pPr>
            <w:r>
              <w:rPr>
                <w:rFonts w:ascii="Arial" w:cs="Arial" w:eastAsia="Arial" w:hAnsi="Arial"/>
                <w:sz w:val="22"/>
                <w:szCs w:val="22"/>
                <w:color w:val="auto"/>
                <w:w w:val="88"/>
              </w:rPr>
              <w:t>February 05, 2010</w:t>
            </w:r>
          </w:p>
        </w:tc>
        <w:tc>
          <w:tcPr>
            <w:tcW w:w="0" w:type="dxa"/>
            <w:vAlign w:val="bottom"/>
          </w:tcPr>
          <w:p>
            <w:pPr>
              <w:spacing w:after="0"/>
              <w:rPr>
                <w:sz w:val="1"/>
                <w:szCs w:val="1"/>
                <w:color w:val="auto"/>
              </w:rPr>
            </w:pPr>
          </w:p>
        </w:tc>
      </w:tr>
      <w:tr>
        <w:trPr>
          <w:trHeight w:val="193"/>
        </w:trPr>
        <w:tc>
          <w:tcPr>
            <w:tcW w:w="2600" w:type="dxa"/>
            <w:vAlign w:val="bottom"/>
            <w:vMerge w:val="restart"/>
          </w:tcPr>
          <w:p>
            <w:pPr>
              <w:spacing w:after="0" w:line="243" w:lineRule="exact"/>
              <w:rPr>
                <w:sz w:val="20"/>
                <w:szCs w:val="20"/>
                <w:color w:val="auto"/>
              </w:rPr>
            </w:pPr>
            <w:r>
              <w:rPr>
                <w:rFonts w:ascii="Arial" w:cs="Arial" w:eastAsia="Arial" w:hAnsi="Arial"/>
                <w:sz w:val="22"/>
                <w:szCs w:val="22"/>
                <w:color w:val="auto"/>
              </w:rPr>
              <w:t>receive or the</w:t>
            </w:r>
          </w:p>
        </w:tc>
        <w:tc>
          <w:tcPr>
            <w:tcW w:w="6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600" w:type="dxa"/>
            <w:vAlign w:val="bottom"/>
            <w:vMerge w:val="continue"/>
          </w:tcPr>
          <w:p>
            <w:pPr>
              <w:spacing w:after="0"/>
              <w:rPr>
                <w:sz w:val="4"/>
                <w:szCs w:val="4"/>
                <w:color w:val="auto"/>
              </w:rPr>
            </w:pPr>
          </w:p>
        </w:tc>
        <w:tc>
          <w:tcPr>
            <w:tcW w:w="6400" w:type="dxa"/>
            <w:vAlign w:val="bottom"/>
            <w:vMerge w:val="restart"/>
          </w:tcPr>
          <w:p>
            <w:pPr>
              <w:jc w:val="center"/>
              <w:ind w:right="2132"/>
              <w:spacing w:after="0"/>
              <w:rPr>
                <w:sz w:val="20"/>
                <w:szCs w:val="20"/>
                <w:color w:val="auto"/>
              </w:rPr>
            </w:pPr>
            <w:r>
              <w:rPr>
                <w:rFonts w:ascii="Arial" w:cs="Arial" w:eastAsia="Arial" w:hAnsi="Arial"/>
                <w:sz w:val="22"/>
                <w:szCs w:val="22"/>
                <w:color w:val="auto"/>
                <w:w w:val="85"/>
              </w:rPr>
              <w:t>Date</w:t>
            </w:r>
          </w:p>
        </w:tc>
        <w:tc>
          <w:tcPr>
            <w:tcW w:w="0" w:type="dxa"/>
            <w:vAlign w:val="bottom"/>
          </w:tcPr>
          <w:p>
            <w:pPr>
              <w:spacing w:after="0"/>
              <w:rPr>
                <w:sz w:val="1"/>
                <w:szCs w:val="1"/>
                <w:color w:val="auto"/>
              </w:rPr>
            </w:pPr>
          </w:p>
        </w:tc>
      </w:tr>
      <w:tr>
        <w:trPr>
          <w:trHeight w:val="275"/>
        </w:trPr>
        <w:tc>
          <w:tcPr>
            <w:tcW w:w="2600" w:type="dxa"/>
            <w:vAlign w:val="bottom"/>
          </w:tcPr>
          <w:p>
            <w:pPr>
              <w:spacing w:after="0"/>
              <w:rPr>
                <w:sz w:val="20"/>
                <w:szCs w:val="20"/>
                <w:color w:val="auto"/>
              </w:rPr>
            </w:pPr>
            <w:r>
              <w:rPr>
                <w:rFonts w:ascii="Arial" w:cs="Arial" w:eastAsia="Arial" w:hAnsi="Arial"/>
                <w:sz w:val="22"/>
                <w:szCs w:val="22"/>
                <w:color w:val="auto"/>
              </w:rPr>
              <w:t>power to direct</w:t>
            </w:r>
          </w:p>
        </w:tc>
        <w:tc>
          <w:tcPr>
            <w:tcW w:w="6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-203200</wp:posOffset>
            </wp:positionV>
            <wp:extent cx="3395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ectPr>
          <w:pgSz w:w="11900" w:h="16838" w:orient="portrait"/>
          <w:cols w:equalWidth="0" w:num="1">
            <w:col w:w="10159"/>
          </w:cols>
          <w:pgMar w:left="300" w:top="132" w:right="1440" w:bottom="0" w:gutter="0" w:footer="0" w:header="0"/>
          <w:type w:val="continuous"/>
        </w:sectPr>
      </w:pPr>
    </w:p>
    <w:bookmarkStart w:id="3" w:name="page4"/>
    <w:bookmarkEnd w:id="3"/>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the receipt of</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dividends from</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or the proceeds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from the sale of</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such Common</w:t>
      </w:r>
    </w:p>
    <w:p>
      <w:pPr>
        <w:spacing w:after="0" w:line="232" w:lineRule="auto"/>
        <w:rPr>
          <w:sz w:val="20"/>
          <w:szCs w:val="20"/>
          <w:color w:val="auto"/>
        </w:rPr>
      </w:pPr>
      <w:r>
        <w:rPr>
          <w:rFonts w:ascii="Arial" w:cs="Arial" w:eastAsia="Arial" w:hAnsi="Arial"/>
          <w:sz w:val="22"/>
          <w:szCs w:val="22"/>
          <w:color w:val="auto"/>
        </w:rPr>
        <w:t>Stock which</w:t>
      </w:r>
    </w:p>
    <w:p>
      <w:pPr>
        <w:spacing w:after="0"/>
        <w:rPr>
          <w:sz w:val="20"/>
          <w:szCs w:val="20"/>
          <w:color w:val="auto"/>
        </w:rPr>
      </w:pPr>
      <w:r>
        <w:rPr>
          <w:rFonts w:ascii="Arial" w:cs="Arial" w:eastAsia="Arial" w:hAnsi="Arial"/>
          <w:sz w:val="18"/>
          <w:szCs w:val="18"/>
          <w:color w:val="auto"/>
        </w:rPr>
        <w:t>represents more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ind w:right="3839"/>
        <w:spacing w:after="0"/>
        <w:rPr>
          <w:sz w:val="20"/>
          <w:szCs w:val="20"/>
          <w:color w:val="auto"/>
        </w:rPr>
      </w:pPr>
      <w:r>
        <w:rPr>
          <w:rFonts w:ascii="Arial" w:cs="Arial" w:eastAsia="Arial" w:hAnsi="Arial"/>
          <w:sz w:val="19"/>
          <w:szCs w:val="19"/>
          <w:color w:val="auto"/>
        </w:rPr>
        <w:t>Robeco Investment Management, Inc.</w:t>
      </w:r>
    </w:p>
    <w:p>
      <w:pPr>
        <w:spacing w:after="0" w:line="43" w:lineRule="exact"/>
        <w:rPr>
          <w:sz w:val="20"/>
          <w:szCs w:val="20"/>
          <w:color w:val="auto"/>
        </w:rPr>
      </w:pPr>
    </w:p>
    <w:p>
      <w:pPr>
        <w:jc w:val="center"/>
        <w:ind w:right="3839"/>
        <w:spacing w:after="0"/>
        <w:rPr>
          <w:sz w:val="20"/>
          <w:szCs w:val="20"/>
          <w:color w:val="auto"/>
        </w:rPr>
      </w:pPr>
      <w:r>
        <w:rPr>
          <w:rFonts w:ascii="Arial" w:cs="Arial" w:eastAsia="Arial" w:hAnsi="Arial"/>
          <w:sz w:val="22"/>
          <w:szCs w:val="22"/>
          <w:color w:val="auto"/>
        </w:rPr>
        <w:t>/s/ James Noone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13335</wp:posOffset>
            </wp:positionV>
            <wp:extent cx="3395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3" w:lineRule="exact"/>
        <w:rPr>
          <w:sz w:val="20"/>
          <w:szCs w:val="20"/>
          <w:color w:val="auto"/>
        </w:rPr>
      </w:pPr>
    </w:p>
    <w:p>
      <w:pPr>
        <w:ind w:left="1240"/>
        <w:spacing w:after="0"/>
        <w:rPr>
          <w:sz w:val="20"/>
          <w:szCs w:val="20"/>
          <w:color w:val="auto"/>
        </w:rPr>
      </w:pPr>
      <w:r>
        <w:rPr>
          <w:rFonts w:ascii="Arial" w:cs="Arial" w:eastAsia="Arial" w:hAnsi="Arial"/>
          <w:sz w:val="22"/>
          <w:szCs w:val="22"/>
          <w:color w:val="auto"/>
        </w:rPr>
        <w:t>Signature</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James Noone</w:t>
      </w:r>
    </w:p>
    <w:p>
      <w:pPr>
        <w:spacing w:after="0" w:line="8" w:lineRule="exact"/>
        <w:rPr>
          <w:sz w:val="20"/>
          <w:szCs w:val="20"/>
          <w:color w:val="auto"/>
        </w:rPr>
      </w:pPr>
    </w:p>
    <w:p>
      <w:pPr>
        <w:jc w:val="center"/>
        <w:ind w:right="3839"/>
        <w:spacing w:after="0"/>
        <w:rPr>
          <w:sz w:val="20"/>
          <w:szCs w:val="20"/>
          <w:color w:val="auto"/>
        </w:rPr>
      </w:pPr>
      <w:r>
        <w:rPr>
          <w:rFonts w:ascii="Arial" w:cs="Arial" w:eastAsia="Arial" w:hAnsi="Arial"/>
          <w:sz w:val="22"/>
          <w:szCs w:val="22"/>
          <w:color w:val="auto"/>
        </w:rPr>
        <w:t>Senior Compliance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4445</wp:posOffset>
            </wp:positionV>
            <wp:extent cx="3395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 w:lineRule="exact"/>
        <w:rPr>
          <w:sz w:val="20"/>
          <w:szCs w:val="20"/>
          <w:color w:val="auto"/>
        </w:rPr>
      </w:pPr>
    </w:p>
    <w:p>
      <w:pPr>
        <w:jc w:val="center"/>
        <w:ind w:right="3839"/>
        <w:spacing w:after="0"/>
        <w:rPr>
          <w:sz w:val="20"/>
          <w:szCs w:val="20"/>
          <w:color w:val="auto"/>
        </w:rPr>
      </w:pPr>
      <w:r>
        <w:rPr>
          <w:rFonts w:ascii="Arial" w:cs="Arial" w:eastAsia="Arial" w:hAnsi="Arial"/>
          <w:sz w:val="22"/>
          <w:szCs w:val="22"/>
          <w:color w:val="auto"/>
        </w:rPr>
        <w:t>Name/Title</w:t>
      </w:r>
    </w:p>
    <w:p>
      <w:pPr>
        <w:spacing w:after="0" w:line="48" w:lineRule="exact"/>
        <w:rPr>
          <w:sz w:val="20"/>
          <w:szCs w:val="20"/>
          <w:color w:val="auto"/>
        </w:rPr>
      </w:pPr>
    </w:p>
    <w:p>
      <w:pPr>
        <w:sectPr>
          <w:pgSz w:w="11900" w:h="16865" w:orient="portrait"/>
          <w:cols w:equalWidth="0" w:num="2">
            <w:col w:w="2300" w:space="720"/>
            <w:col w:w="7139"/>
          </w:cols>
          <w:pgMar w:left="300" w:top="118" w:right="1440" w:bottom="0" w:gutter="0" w:footer="0" w:header="0"/>
        </w:sectPr>
      </w:pPr>
    </w:p>
    <w:p>
      <w:pPr>
        <w:ind w:right="1379" w:hanging="12"/>
        <w:spacing w:after="0" w:line="181" w:lineRule="auto"/>
        <w:rPr>
          <w:sz w:val="20"/>
          <w:szCs w:val="20"/>
          <w:color w:val="auto"/>
        </w:rPr>
      </w:pPr>
      <w:r>
        <w:rPr>
          <w:rFonts w:ascii="Arial" w:cs="Arial" w:eastAsia="Arial" w:hAnsi="Arial"/>
          <w:sz w:val="16"/>
          <w:szCs w:val="16"/>
          <w:b w:val="1"/>
          <w:bCs w:val="1"/>
          <w:color w:val="auto"/>
        </w:rPr>
        <w:t>Attention:</w:t>
      </w:r>
      <w:r>
        <w:rPr>
          <w:rFonts w:ascii="Arial" w:cs="Arial" w:eastAsia="Arial" w:hAnsi="Arial"/>
          <w:sz w:val="28"/>
          <w:szCs w:val="28"/>
          <w:color w:val="auto"/>
          <w:vertAlign w:val="superscript"/>
        </w:rPr>
        <w:t>than5%of the</w:t>
      </w:r>
      <w:r>
        <w:rPr>
          <w:rFonts w:ascii="Arial" w:cs="Arial" w:eastAsia="Arial" w:hAnsi="Arial"/>
          <w:sz w:val="16"/>
          <w:szCs w:val="16"/>
          <w:b w:val="1"/>
          <w:bCs w:val="1"/>
          <w:color w:val="auto"/>
        </w:rPr>
        <w:t xml:space="preserve">Intentional misstatements or omissions of fact constitute Federal criminal violations </w:t>
      </w:r>
      <w:r>
        <w:rPr>
          <w:rFonts w:ascii="Arial" w:cs="Arial" w:eastAsia="Arial" w:hAnsi="Arial"/>
          <w:sz w:val="28"/>
          <w:szCs w:val="28"/>
          <w:color w:val="auto"/>
          <w:vertAlign w:val="superscript"/>
        </w:rPr>
        <w:t>outstanding</w:t>
      </w:r>
      <w:r>
        <w:rPr>
          <w:rFonts w:ascii="Arial" w:cs="Arial" w:eastAsia="Arial" w:hAnsi="Arial"/>
          <w:sz w:val="16"/>
          <w:szCs w:val="16"/>
          <w:b w:val="1"/>
          <w:bCs w:val="1"/>
          <w:color w:val="auto"/>
        </w:rPr>
        <w:t xml:space="preserve"> (See 18 U.S.C. 1001)</w:t>
      </w:r>
    </w:p>
    <w:p>
      <w:pPr>
        <w:sectPr>
          <w:pgSz w:w="11900" w:h="16865" w:orient="portrait"/>
          <w:cols w:equalWidth="0" w:num="1">
            <w:col w:w="10159"/>
          </w:cols>
          <w:pgMar w:left="300" w:top="118" w:right="1440" w:bottom="0" w:gutter="0" w:footer="0" w:header="0"/>
          <w:type w:val="continuous"/>
        </w:sectPr>
      </w:pPr>
    </w:p>
    <w:p>
      <w:pPr>
        <w:spacing w:after="0" w:line="231" w:lineRule="auto"/>
        <w:rPr>
          <w:sz w:val="20"/>
          <w:szCs w:val="20"/>
          <w:color w:val="auto"/>
        </w:rPr>
      </w:pPr>
      <w:r>
        <w:rPr>
          <w:rFonts w:ascii="Arial" w:cs="Arial" w:eastAsia="Arial" w:hAnsi="Arial"/>
          <w:sz w:val="22"/>
          <w:szCs w:val="22"/>
          <w:color w:val="auto"/>
        </w:rPr>
        <w:t>shares of the</w:t>
      </w:r>
    </w:p>
    <w:p>
      <w:pPr>
        <w:spacing w:after="0" w:line="230" w:lineRule="auto"/>
        <w:rPr>
          <w:sz w:val="20"/>
          <w:szCs w:val="20"/>
          <w:color w:val="auto"/>
        </w:rPr>
      </w:pPr>
      <w:r>
        <w:rPr>
          <w:rFonts w:ascii="Arial" w:cs="Arial" w:eastAsia="Arial" w:hAnsi="Arial"/>
          <w:sz w:val="22"/>
          <w:szCs w:val="22"/>
          <w:color w:val="auto"/>
        </w:rPr>
        <w:t>Common Stock</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refered to in item</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4(b) hereof.</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Effective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January 1, 2007,</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Boston Partners</w:t>
      </w:r>
    </w:p>
    <w:p>
      <w:pPr>
        <w:spacing w:after="0" w:line="232" w:lineRule="auto"/>
        <w:rPr>
          <w:sz w:val="20"/>
          <w:szCs w:val="20"/>
          <w:color w:val="auto"/>
        </w:rPr>
      </w:pPr>
      <w:r>
        <w:rPr>
          <w:rFonts w:ascii="Arial" w:cs="Arial" w:eastAsia="Arial" w:hAnsi="Arial"/>
          <w:sz w:val="22"/>
          <w:szCs w:val="22"/>
          <w:color w:val="auto"/>
        </w:rPr>
        <w:t>Asset</w:t>
      </w:r>
    </w:p>
    <w:p>
      <w:pPr>
        <w:spacing w:after="0" w:line="230" w:lineRule="auto"/>
        <w:rPr>
          <w:sz w:val="20"/>
          <w:szCs w:val="20"/>
          <w:color w:val="auto"/>
        </w:rPr>
      </w:pPr>
      <w:r>
        <w:rPr>
          <w:rFonts w:ascii="Arial" w:cs="Arial" w:eastAsia="Arial" w:hAnsi="Arial"/>
          <w:sz w:val="22"/>
          <w:szCs w:val="22"/>
          <w:color w:val="auto"/>
        </w:rPr>
        <w:t>Management,</w:t>
      </w:r>
    </w:p>
    <w:p>
      <w:pPr>
        <w:spacing w:after="0" w:line="231" w:lineRule="auto"/>
        <w:rPr>
          <w:sz w:val="20"/>
          <w:szCs w:val="20"/>
          <w:color w:val="auto"/>
        </w:rPr>
      </w:pPr>
      <w:r>
        <w:rPr>
          <w:rFonts w:ascii="Arial" w:cs="Arial" w:eastAsia="Arial" w:hAnsi="Arial"/>
          <w:sz w:val="22"/>
          <w:szCs w:val="22"/>
          <w:color w:val="auto"/>
        </w:rPr>
        <w:t>LLC (BPAM)</w:t>
      </w:r>
    </w:p>
    <w:p>
      <w:pPr>
        <w:spacing w:after="0" w:line="231" w:lineRule="auto"/>
        <w:rPr>
          <w:sz w:val="20"/>
          <w:szCs w:val="20"/>
          <w:color w:val="auto"/>
        </w:rPr>
      </w:pPr>
      <w:r>
        <w:rPr>
          <w:rFonts w:ascii="Arial" w:cs="Arial" w:eastAsia="Arial" w:hAnsi="Arial"/>
          <w:sz w:val="22"/>
          <w:szCs w:val="22"/>
          <w:color w:val="auto"/>
        </w:rPr>
        <w:t>which was a</w:t>
      </w:r>
    </w:p>
    <w:p>
      <w:pPr>
        <w:spacing w:after="0"/>
        <w:rPr>
          <w:sz w:val="20"/>
          <w:szCs w:val="20"/>
          <w:color w:val="auto"/>
        </w:rPr>
      </w:pPr>
      <w:r>
        <w:rPr>
          <w:rFonts w:ascii="Arial" w:cs="Arial" w:eastAsia="Arial" w:hAnsi="Arial"/>
          <w:sz w:val="19"/>
          <w:szCs w:val="19"/>
          <w:color w:val="auto"/>
        </w:rPr>
        <w:t>Delaware limited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liability</w:t>
      </w:r>
    </w:p>
    <w:p>
      <w:pPr>
        <w:spacing w:after="0" w:line="230" w:lineRule="auto"/>
        <w:rPr>
          <w:sz w:val="20"/>
          <w:szCs w:val="20"/>
          <w:color w:val="auto"/>
        </w:rPr>
      </w:pPr>
      <w:r>
        <w:rPr>
          <w:rFonts w:ascii="Arial" w:cs="Arial" w:eastAsia="Arial" w:hAnsi="Arial"/>
          <w:sz w:val="22"/>
          <w:szCs w:val="22"/>
          <w:color w:val="auto"/>
        </w:rPr>
        <w:t>company</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registered as an</w:t>
      </w:r>
    </w:p>
    <w:p>
      <w:pPr>
        <w:spacing w:after="0" w:line="232" w:lineRule="auto"/>
        <w:rPr>
          <w:sz w:val="20"/>
          <w:szCs w:val="20"/>
          <w:color w:val="auto"/>
        </w:rPr>
      </w:pPr>
      <w:r>
        <w:rPr>
          <w:rFonts w:ascii="Arial" w:cs="Arial" w:eastAsia="Arial" w:hAnsi="Arial"/>
          <w:sz w:val="22"/>
          <w:szCs w:val="22"/>
          <w:color w:val="auto"/>
        </w:rPr>
        <w:t>investment</w:t>
      </w:r>
    </w:p>
    <w:p>
      <w:pPr>
        <w:spacing w:after="0" w:line="230" w:lineRule="auto"/>
        <w:rPr>
          <w:sz w:val="20"/>
          <w:szCs w:val="20"/>
          <w:color w:val="auto"/>
        </w:rPr>
      </w:pPr>
      <w:r>
        <w:rPr>
          <w:rFonts w:ascii="Arial" w:cs="Arial" w:eastAsia="Arial" w:hAnsi="Arial"/>
          <w:sz w:val="22"/>
          <w:szCs w:val="22"/>
          <w:color w:val="auto"/>
        </w:rPr>
        <w:t>adviser under</w:t>
      </w:r>
    </w:p>
    <w:p>
      <w:pPr>
        <w:spacing w:after="0" w:line="231" w:lineRule="auto"/>
        <w:rPr>
          <w:sz w:val="20"/>
          <w:szCs w:val="20"/>
          <w:color w:val="auto"/>
        </w:rPr>
      </w:pPr>
      <w:r>
        <w:rPr>
          <w:rFonts w:ascii="Arial" w:cs="Arial" w:eastAsia="Arial" w:hAnsi="Arial"/>
          <w:sz w:val="22"/>
          <w:szCs w:val="22"/>
          <w:color w:val="auto"/>
        </w:rPr>
        <w:t>section 203 of</w:t>
      </w:r>
    </w:p>
    <w:p>
      <w:pPr>
        <w:spacing w:after="0" w:line="231" w:lineRule="auto"/>
        <w:rPr>
          <w:sz w:val="20"/>
          <w:szCs w:val="20"/>
          <w:color w:val="auto"/>
        </w:rPr>
      </w:pPr>
      <w:r>
        <w:rPr>
          <w:rFonts w:ascii="Arial" w:cs="Arial" w:eastAsia="Arial" w:hAnsi="Arial"/>
          <w:sz w:val="22"/>
          <w:szCs w:val="22"/>
          <w:color w:val="auto"/>
        </w:rPr>
        <w:t>the Investment</w:t>
      </w:r>
    </w:p>
    <w:p>
      <w:pPr>
        <w:spacing w:after="0" w:line="230" w:lineRule="auto"/>
        <w:rPr>
          <w:sz w:val="20"/>
          <w:szCs w:val="20"/>
          <w:color w:val="auto"/>
        </w:rPr>
      </w:pPr>
      <w:r>
        <w:rPr>
          <w:rFonts w:ascii="Arial" w:cs="Arial" w:eastAsia="Arial" w:hAnsi="Arial"/>
          <w:sz w:val="22"/>
          <w:szCs w:val="22"/>
          <w:color w:val="auto"/>
        </w:rPr>
        <w:t>Advisers Act of</w:t>
      </w:r>
    </w:p>
    <w:p>
      <w:pPr>
        <w:spacing w:after="0" w:line="231" w:lineRule="auto"/>
        <w:rPr>
          <w:sz w:val="20"/>
          <w:szCs w:val="20"/>
          <w:color w:val="auto"/>
        </w:rPr>
      </w:pPr>
      <w:r>
        <w:rPr>
          <w:rFonts w:ascii="Arial" w:cs="Arial" w:eastAsia="Arial" w:hAnsi="Arial"/>
          <w:sz w:val="22"/>
          <w:szCs w:val="22"/>
          <w:color w:val="auto"/>
        </w:rPr>
        <w:t>1940, as</w:t>
      </w:r>
    </w:p>
    <w:p>
      <w:pPr>
        <w:spacing w:after="0" w:line="230" w:lineRule="auto"/>
        <w:rPr>
          <w:sz w:val="20"/>
          <w:szCs w:val="20"/>
          <w:color w:val="auto"/>
        </w:rPr>
      </w:pPr>
      <w:r>
        <w:rPr>
          <w:rFonts w:ascii="Arial" w:cs="Arial" w:eastAsia="Arial" w:hAnsi="Arial"/>
          <w:sz w:val="22"/>
          <w:szCs w:val="22"/>
          <w:color w:val="auto"/>
        </w:rPr>
        <w:t>amended,</w:t>
      </w:r>
    </w:p>
    <w:p>
      <w:pPr>
        <w:spacing w:after="0" w:line="231" w:lineRule="auto"/>
        <w:rPr>
          <w:sz w:val="20"/>
          <w:szCs w:val="20"/>
          <w:color w:val="auto"/>
        </w:rPr>
      </w:pPr>
      <w:r>
        <w:rPr>
          <w:rFonts w:ascii="Arial" w:cs="Arial" w:eastAsia="Arial" w:hAnsi="Arial"/>
          <w:sz w:val="22"/>
          <w:szCs w:val="22"/>
          <w:color w:val="auto"/>
        </w:rPr>
        <w:t>merged into its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parent company,</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Robeco</w:t>
      </w:r>
    </w:p>
    <w:p>
      <w:pPr>
        <w:spacing w:after="0" w:line="230" w:lineRule="auto"/>
        <w:rPr>
          <w:sz w:val="20"/>
          <w:szCs w:val="20"/>
          <w:color w:val="auto"/>
        </w:rPr>
      </w:pPr>
      <w:r>
        <w:rPr>
          <w:rFonts w:ascii="Arial" w:cs="Arial" w:eastAsia="Arial" w:hAnsi="Arial"/>
          <w:sz w:val="22"/>
          <w:szCs w:val="22"/>
          <w:color w:val="auto"/>
        </w:rPr>
        <w:t>Investment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Management,Inc.</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("RIM"), a</w:t>
      </w:r>
    </w:p>
    <w:p>
      <w:pPr>
        <w:spacing w:after="0" w:line="230" w:lineRule="auto"/>
        <w:rPr>
          <w:sz w:val="20"/>
          <w:szCs w:val="20"/>
          <w:color w:val="auto"/>
        </w:rPr>
      </w:pPr>
      <w:r>
        <w:rPr>
          <w:rFonts w:ascii="Arial" w:cs="Arial" w:eastAsia="Arial" w:hAnsi="Arial"/>
          <w:sz w:val="22"/>
          <w:szCs w:val="22"/>
          <w:color w:val="auto"/>
        </w:rPr>
        <w:t>Delaware</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corporation also</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registered as an</w:t>
      </w:r>
    </w:p>
    <w:p>
      <w:pPr>
        <w:spacing w:after="0" w:line="232" w:lineRule="auto"/>
        <w:rPr>
          <w:sz w:val="20"/>
          <w:szCs w:val="20"/>
          <w:color w:val="auto"/>
        </w:rPr>
      </w:pPr>
      <w:r>
        <w:rPr>
          <w:rFonts w:ascii="Arial" w:cs="Arial" w:eastAsia="Arial" w:hAnsi="Arial"/>
          <w:sz w:val="22"/>
          <w:szCs w:val="22"/>
          <w:color w:val="auto"/>
        </w:rPr>
        <w:t>investment</w:t>
      </w:r>
    </w:p>
    <w:p>
      <w:pPr>
        <w:spacing w:after="0" w:line="230" w:lineRule="auto"/>
        <w:rPr>
          <w:sz w:val="20"/>
          <w:szCs w:val="20"/>
          <w:color w:val="auto"/>
        </w:rPr>
      </w:pPr>
      <w:r>
        <w:rPr>
          <w:rFonts w:ascii="Arial" w:cs="Arial" w:eastAsia="Arial" w:hAnsi="Arial"/>
          <w:sz w:val="22"/>
          <w:szCs w:val="22"/>
          <w:color w:val="auto"/>
        </w:rPr>
        <w:t>adviser. R IM</w:t>
      </w:r>
    </w:p>
    <w:p>
      <w:pPr>
        <w:spacing w:after="0" w:line="231" w:lineRule="auto"/>
        <w:rPr>
          <w:sz w:val="20"/>
          <w:szCs w:val="20"/>
          <w:color w:val="auto"/>
        </w:rPr>
      </w:pPr>
      <w:r>
        <w:rPr>
          <w:rFonts w:ascii="Arial" w:cs="Arial" w:eastAsia="Arial" w:hAnsi="Arial"/>
          <w:sz w:val="22"/>
          <w:szCs w:val="22"/>
          <w:color w:val="auto"/>
        </w:rPr>
        <w:t>has been the</w:t>
      </w:r>
    </w:p>
    <w:p>
      <w:pPr>
        <w:spacing w:after="0"/>
        <w:rPr>
          <w:sz w:val="20"/>
          <w:szCs w:val="20"/>
          <w:color w:val="auto"/>
        </w:rPr>
      </w:pPr>
      <w:r>
        <w:rPr>
          <w:rFonts w:ascii="Arial" w:cs="Arial" w:eastAsia="Arial" w:hAnsi="Arial"/>
          <w:sz w:val="21"/>
          <w:szCs w:val="21"/>
          <w:color w:val="auto"/>
        </w:rPr>
        <w:t>parent of BPAM</w:t>
      </w:r>
    </w:p>
    <w:p>
      <w:pPr>
        <w:spacing w:after="0" w:line="232" w:lineRule="auto"/>
        <w:rPr>
          <w:sz w:val="20"/>
          <w:szCs w:val="20"/>
          <w:color w:val="auto"/>
        </w:rPr>
      </w:pPr>
      <w:r>
        <w:rPr>
          <w:rFonts w:ascii="Arial" w:cs="Arial" w:eastAsia="Arial" w:hAnsi="Arial"/>
          <w:sz w:val="22"/>
          <w:szCs w:val="22"/>
          <w:color w:val="auto"/>
        </w:rPr>
        <w:t>since 2002.</w:t>
      </w:r>
    </w:p>
    <w:p>
      <w:pPr>
        <w:spacing w:after="0" w:line="230" w:lineRule="auto"/>
        <w:rPr>
          <w:sz w:val="20"/>
          <w:szCs w:val="20"/>
          <w:color w:val="auto"/>
        </w:rPr>
      </w:pPr>
      <w:r>
        <w:rPr>
          <w:rFonts w:ascii="Arial" w:cs="Arial" w:eastAsia="Arial" w:hAnsi="Arial"/>
          <w:sz w:val="22"/>
          <w:szCs w:val="22"/>
          <w:color w:val="auto"/>
        </w:rPr>
        <w:t>Accordingly,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reference should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be made to</w:t>
      </w:r>
    </w:p>
    <w:p>
      <w:pPr>
        <w:spacing w:after="0" w:line="230" w:lineRule="auto"/>
        <w:rPr>
          <w:sz w:val="20"/>
          <w:szCs w:val="20"/>
          <w:color w:val="auto"/>
        </w:rPr>
      </w:pPr>
      <w:r>
        <w:rPr>
          <w:rFonts w:ascii="Arial" w:cs="Arial" w:eastAsia="Arial" w:hAnsi="Arial"/>
          <w:sz w:val="22"/>
          <w:szCs w:val="22"/>
          <w:color w:val="auto"/>
        </w:rPr>
        <w:t>BPAM (CIK</w:t>
      </w:r>
    </w:p>
    <w:p>
      <w:pPr>
        <w:spacing w:after="0" w:line="231" w:lineRule="auto"/>
        <w:rPr>
          <w:sz w:val="20"/>
          <w:szCs w:val="20"/>
          <w:color w:val="auto"/>
        </w:rPr>
      </w:pPr>
      <w:r>
        <w:rPr>
          <w:rFonts w:ascii="Arial" w:cs="Arial" w:eastAsia="Arial" w:hAnsi="Arial"/>
          <w:sz w:val="22"/>
          <w:szCs w:val="22"/>
          <w:color w:val="auto"/>
        </w:rPr>
        <w:t>#0000949682)</w:t>
      </w:r>
    </w:p>
    <w:p>
      <w:pPr>
        <w:spacing w:after="0" w:line="230" w:lineRule="auto"/>
        <w:rPr>
          <w:sz w:val="20"/>
          <w:szCs w:val="20"/>
          <w:color w:val="auto"/>
        </w:rPr>
      </w:pPr>
      <w:r>
        <w:rPr>
          <w:rFonts w:ascii="Arial" w:cs="Arial" w:eastAsia="Arial" w:hAnsi="Arial"/>
          <w:sz w:val="22"/>
          <w:szCs w:val="22"/>
          <w:color w:val="auto"/>
        </w:rPr>
        <w:t>for any prior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filings relating to</w:t>
      </w:r>
    </w:p>
    <w:p>
      <w:pPr>
        <w:spacing w:after="0" w:line="232" w:lineRule="auto"/>
        <w:rPr>
          <w:sz w:val="20"/>
          <w:szCs w:val="20"/>
          <w:color w:val="auto"/>
        </w:rPr>
      </w:pPr>
      <w:r>
        <w:rPr>
          <w:rFonts w:ascii="Arial" w:cs="Arial" w:eastAsia="Arial" w:hAnsi="Arial"/>
          <w:sz w:val="22"/>
          <w:szCs w:val="22"/>
          <w:color w:val="auto"/>
        </w:rPr>
        <w:t>the holding of</w:t>
      </w:r>
    </w:p>
    <w:p>
      <w:pPr>
        <w:spacing w:after="0" w:line="230" w:lineRule="auto"/>
        <w:rPr>
          <w:sz w:val="20"/>
          <w:szCs w:val="20"/>
          <w:color w:val="auto"/>
        </w:rPr>
      </w:pPr>
      <w:r>
        <w:rPr>
          <w:rFonts w:ascii="Arial" w:cs="Arial" w:eastAsia="Arial" w:hAnsi="Arial"/>
          <w:sz w:val="22"/>
          <w:szCs w:val="22"/>
          <w:color w:val="auto"/>
        </w:rPr>
        <w:t>shares of</w:t>
      </w:r>
    </w:p>
    <w:p>
      <w:pPr>
        <w:spacing w:after="0" w:line="231" w:lineRule="auto"/>
        <w:rPr>
          <w:sz w:val="20"/>
          <w:szCs w:val="20"/>
          <w:color w:val="auto"/>
        </w:rPr>
      </w:pPr>
      <w:r>
        <w:rPr>
          <w:rFonts w:ascii="Arial" w:cs="Arial" w:eastAsia="Arial" w:hAnsi="Arial"/>
          <w:sz w:val="22"/>
          <w:szCs w:val="22"/>
          <w:color w:val="auto"/>
        </w:rPr>
        <w:t>common stock</w:t>
      </w:r>
    </w:p>
    <w:p>
      <w:pPr>
        <w:spacing w:after="0"/>
        <w:rPr>
          <w:sz w:val="20"/>
          <w:szCs w:val="20"/>
          <w:color w:val="auto"/>
        </w:rPr>
      </w:pPr>
      <w:r>
        <w:rPr>
          <w:rFonts w:ascii="Arial" w:cs="Arial" w:eastAsia="Arial" w:hAnsi="Arial"/>
          <w:sz w:val="19"/>
          <w:szCs w:val="19"/>
          <w:color w:val="auto"/>
        </w:rPr>
        <w:t>described herein.</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Effective</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January 1, 2007,</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Robeco USA,</w:t>
      </w:r>
    </w:p>
    <w:p>
      <w:pPr>
        <w:spacing w:after="0" w:line="230" w:lineRule="auto"/>
        <w:rPr>
          <w:sz w:val="20"/>
          <w:szCs w:val="20"/>
          <w:color w:val="auto"/>
        </w:rPr>
      </w:pPr>
      <w:r>
        <w:rPr>
          <w:rFonts w:ascii="Arial" w:cs="Arial" w:eastAsia="Arial" w:hAnsi="Arial"/>
          <w:sz w:val="22"/>
          <w:szCs w:val="22"/>
          <w:color w:val="auto"/>
        </w:rPr>
        <w:t>L.L.C.</w:t>
      </w:r>
    </w:p>
    <w:p>
      <w:pPr>
        <w:spacing w:after="0" w:line="231" w:lineRule="auto"/>
        <w:rPr>
          <w:sz w:val="20"/>
          <w:szCs w:val="20"/>
          <w:color w:val="auto"/>
        </w:rPr>
      </w:pPr>
      <w:r>
        <w:rPr>
          <w:rFonts w:ascii="Arial" w:cs="Arial" w:eastAsia="Arial" w:hAnsi="Arial"/>
          <w:sz w:val="22"/>
          <w:szCs w:val="22"/>
          <w:color w:val="auto"/>
        </w:rPr>
        <w:t>("Robeco")</w:t>
      </w:r>
    </w:p>
    <w:p>
      <w:pPr>
        <w:spacing w:after="0" w:line="230" w:lineRule="auto"/>
        <w:rPr>
          <w:sz w:val="20"/>
          <w:szCs w:val="20"/>
          <w:color w:val="auto"/>
        </w:rPr>
      </w:pPr>
      <w:r>
        <w:rPr>
          <w:rFonts w:ascii="Arial" w:cs="Arial" w:eastAsia="Arial" w:hAnsi="Arial"/>
          <w:sz w:val="22"/>
          <w:szCs w:val="22"/>
          <w:color w:val="auto"/>
        </w:rPr>
        <w:t>which was a</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Delaware limited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liability</w:t>
      </w:r>
    </w:p>
    <w:p>
      <w:pPr>
        <w:spacing w:after="0" w:line="230" w:lineRule="auto"/>
        <w:rPr>
          <w:sz w:val="20"/>
          <w:szCs w:val="20"/>
          <w:color w:val="auto"/>
        </w:rPr>
      </w:pPr>
      <w:r>
        <w:rPr>
          <w:rFonts w:ascii="Arial" w:cs="Arial" w:eastAsia="Arial" w:hAnsi="Arial"/>
          <w:sz w:val="22"/>
          <w:szCs w:val="22"/>
          <w:color w:val="auto"/>
        </w:rPr>
        <w:t>company</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registered as an</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color w:val="auto"/>
        </w:rPr>
        <w:t>Advisor Consultant Network, Inc. Copyright © 2007-2010</w:t>
      </w:r>
    </w:p>
    <w:p>
      <w:pPr>
        <w:sectPr>
          <w:pgSz w:w="11900" w:h="16865" w:orient="portrait"/>
          <w:cols w:equalWidth="0" w:num="2">
            <w:col w:w="4980" w:space="720"/>
            <w:col w:w="4459"/>
          </w:cols>
          <w:pgMar w:left="300" w:top="118" w:right="1440"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investment</w:t>
      </w:r>
    </w:p>
    <w:p>
      <w:pPr>
        <w:spacing w:after="0" w:line="238" w:lineRule="auto"/>
        <w:rPr>
          <w:sz w:val="20"/>
          <w:szCs w:val="20"/>
          <w:color w:val="auto"/>
        </w:rPr>
      </w:pPr>
      <w:r>
        <w:rPr>
          <w:rFonts w:ascii="Arial" w:cs="Arial" w:eastAsia="Arial" w:hAnsi="Arial"/>
          <w:sz w:val="22"/>
          <w:szCs w:val="22"/>
          <w:color w:val="auto"/>
        </w:rPr>
        <w:t>adviser under</w:t>
      </w:r>
    </w:p>
    <w:p>
      <w:pPr>
        <w:spacing w:after="0" w:line="231" w:lineRule="auto"/>
        <w:rPr>
          <w:sz w:val="20"/>
          <w:szCs w:val="20"/>
          <w:color w:val="auto"/>
        </w:rPr>
      </w:pPr>
      <w:r>
        <w:rPr>
          <w:rFonts w:ascii="Arial" w:cs="Arial" w:eastAsia="Arial" w:hAnsi="Arial"/>
          <w:sz w:val="22"/>
          <w:szCs w:val="22"/>
          <w:color w:val="auto"/>
        </w:rPr>
        <w:t>section 203 of</w:t>
      </w:r>
    </w:p>
    <w:p>
      <w:pPr>
        <w:spacing w:after="0" w:line="231" w:lineRule="auto"/>
        <w:rPr>
          <w:sz w:val="20"/>
          <w:szCs w:val="20"/>
          <w:color w:val="auto"/>
        </w:rPr>
      </w:pPr>
      <w:r>
        <w:rPr>
          <w:rFonts w:ascii="Arial" w:cs="Arial" w:eastAsia="Arial" w:hAnsi="Arial"/>
          <w:sz w:val="22"/>
          <w:szCs w:val="22"/>
          <w:color w:val="auto"/>
        </w:rPr>
        <w:t>the Investment</w:t>
      </w:r>
    </w:p>
    <w:p>
      <w:pPr>
        <w:spacing w:after="0" w:line="230" w:lineRule="auto"/>
        <w:rPr>
          <w:sz w:val="20"/>
          <w:szCs w:val="20"/>
          <w:color w:val="auto"/>
        </w:rPr>
      </w:pPr>
      <w:r>
        <w:rPr>
          <w:rFonts w:ascii="Arial" w:cs="Arial" w:eastAsia="Arial" w:hAnsi="Arial"/>
          <w:sz w:val="22"/>
          <w:szCs w:val="22"/>
          <w:color w:val="auto"/>
        </w:rPr>
        <w:t>Advisers Act of</w:t>
      </w:r>
    </w:p>
    <w:p>
      <w:pPr>
        <w:spacing w:after="0" w:line="231" w:lineRule="auto"/>
        <w:rPr>
          <w:sz w:val="20"/>
          <w:szCs w:val="20"/>
          <w:color w:val="auto"/>
        </w:rPr>
      </w:pPr>
      <w:r>
        <w:rPr>
          <w:rFonts w:ascii="Arial" w:cs="Arial" w:eastAsia="Arial" w:hAnsi="Arial"/>
          <w:sz w:val="22"/>
          <w:szCs w:val="22"/>
          <w:color w:val="auto"/>
        </w:rPr>
        <w:t>1940, as</w:t>
      </w:r>
    </w:p>
    <w:p>
      <w:pPr>
        <w:spacing w:after="0" w:line="231" w:lineRule="auto"/>
        <w:rPr>
          <w:sz w:val="20"/>
          <w:szCs w:val="20"/>
          <w:color w:val="auto"/>
        </w:rPr>
      </w:pPr>
      <w:r>
        <w:rPr>
          <w:rFonts w:ascii="Arial" w:cs="Arial" w:eastAsia="Arial" w:hAnsi="Arial"/>
          <w:sz w:val="22"/>
          <w:szCs w:val="22"/>
          <w:color w:val="auto"/>
        </w:rPr>
        <w:t>amended,</w:t>
      </w:r>
    </w:p>
    <w:p>
      <w:pPr>
        <w:spacing w:after="0" w:line="230" w:lineRule="auto"/>
        <w:rPr>
          <w:sz w:val="20"/>
          <w:szCs w:val="20"/>
          <w:color w:val="auto"/>
        </w:rPr>
      </w:pPr>
      <w:r>
        <w:rPr>
          <w:rFonts w:ascii="Arial" w:cs="Arial" w:eastAsia="Arial" w:hAnsi="Arial"/>
          <w:sz w:val="22"/>
          <w:szCs w:val="22"/>
          <w:color w:val="auto"/>
        </w:rPr>
        <w:t>merged into its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parent company,</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Robeco</w:t>
      </w:r>
    </w:p>
    <w:p>
      <w:pPr>
        <w:spacing w:after="0" w:line="230" w:lineRule="auto"/>
        <w:rPr>
          <w:sz w:val="20"/>
          <w:szCs w:val="20"/>
          <w:color w:val="auto"/>
        </w:rPr>
      </w:pPr>
      <w:r>
        <w:rPr>
          <w:rFonts w:ascii="Arial" w:cs="Arial" w:eastAsia="Arial" w:hAnsi="Arial"/>
          <w:sz w:val="22"/>
          <w:szCs w:val="22"/>
          <w:color w:val="auto"/>
        </w:rPr>
        <w:t>Investment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Management,Inc.</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("RIM"), a</w:t>
      </w:r>
    </w:p>
    <w:p>
      <w:pPr>
        <w:spacing w:after="0" w:line="230" w:lineRule="auto"/>
        <w:rPr>
          <w:sz w:val="20"/>
          <w:szCs w:val="20"/>
          <w:color w:val="auto"/>
        </w:rPr>
      </w:pPr>
      <w:r>
        <w:rPr>
          <w:rFonts w:ascii="Arial" w:cs="Arial" w:eastAsia="Arial" w:hAnsi="Arial"/>
          <w:sz w:val="22"/>
          <w:szCs w:val="22"/>
          <w:color w:val="auto"/>
        </w:rPr>
        <w:t>Delaware</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corporation also</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registered as an</w:t>
      </w:r>
    </w:p>
    <w:p>
      <w:pPr>
        <w:spacing w:after="0" w:line="232" w:lineRule="auto"/>
        <w:rPr>
          <w:sz w:val="20"/>
          <w:szCs w:val="20"/>
          <w:color w:val="auto"/>
        </w:rPr>
      </w:pPr>
      <w:r>
        <w:rPr>
          <w:rFonts w:ascii="Arial" w:cs="Arial" w:eastAsia="Arial" w:hAnsi="Arial"/>
          <w:sz w:val="22"/>
          <w:szCs w:val="22"/>
          <w:color w:val="auto"/>
        </w:rPr>
        <w:t>investment</w:t>
      </w:r>
    </w:p>
    <w:p>
      <w:pPr>
        <w:spacing w:after="0"/>
        <w:rPr>
          <w:sz w:val="20"/>
          <w:szCs w:val="20"/>
          <w:color w:val="auto"/>
        </w:rPr>
      </w:pPr>
      <w:r>
        <w:rPr>
          <w:rFonts w:ascii="Arial" w:cs="Arial" w:eastAsia="Arial" w:hAnsi="Arial"/>
          <w:sz w:val="19"/>
          <w:szCs w:val="19"/>
          <w:color w:val="auto"/>
        </w:rPr>
        <w:t>adviser. RIM has</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been the parent</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of Robeco 2001.</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Accordingly,</w:t>
      </w:r>
    </w:p>
    <w:p>
      <w:pPr>
        <w:spacing w:after="0"/>
        <w:rPr>
          <w:sz w:val="20"/>
          <w:szCs w:val="20"/>
          <w:color w:val="auto"/>
        </w:rPr>
      </w:pPr>
      <w:r>
        <w:rPr>
          <w:rFonts w:ascii="Arial" w:cs="Arial" w:eastAsia="Arial" w:hAnsi="Arial"/>
          <w:sz w:val="19"/>
          <w:szCs w:val="19"/>
          <w:color w:val="auto"/>
        </w:rPr>
        <w:t>reference should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be made to</w:t>
      </w:r>
    </w:p>
    <w:p>
      <w:pPr>
        <w:spacing w:after="0" w:line="230" w:lineRule="auto"/>
        <w:rPr>
          <w:sz w:val="20"/>
          <w:szCs w:val="20"/>
          <w:color w:val="auto"/>
        </w:rPr>
      </w:pPr>
      <w:r>
        <w:rPr>
          <w:rFonts w:ascii="Arial" w:cs="Arial" w:eastAsia="Arial" w:hAnsi="Arial"/>
          <w:sz w:val="22"/>
          <w:szCs w:val="22"/>
          <w:color w:val="auto"/>
        </w:rPr>
        <w:t>Robeco (CIK</w:t>
      </w:r>
    </w:p>
    <w:p>
      <w:pPr>
        <w:spacing w:after="0" w:line="231" w:lineRule="auto"/>
        <w:rPr>
          <w:sz w:val="20"/>
          <w:szCs w:val="20"/>
          <w:color w:val="auto"/>
        </w:rPr>
      </w:pPr>
      <w:r>
        <w:rPr>
          <w:rFonts w:ascii="Arial" w:cs="Arial" w:eastAsia="Arial" w:hAnsi="Arial"/>
          <w:sz w:val="22"/>
          <w:szCs w:val="22"/>
          <w:color w:val="auto"/>
        </w:rPr>
        <w:t>#0000732926)</w:t>
      </w:r>
    </w:p>
    <w:p>
      <w:pPr>
        <w:spacing w:after="0" w:line="230" w:lineRule="auto"/>
        <w:rPr>
          <w:sz w:val="20"/>
          <w:szCs w:val="20"/>
          <w:color w:val="auto"/>
        </w:rPr>
      </w:pPr>
      <w:r>
        <w:rPr>
          <w:rFonts w:ascii="Arial" w:cs="Arial" w:eastAsia="Arial" w:hAnsi="Arial"/>
          <w:sz w:val="22"/>
          <w:szCs w:val="22"/>
          <w:color w:val="auto"/>
        </w:rPr>
        <w:t>for any prior</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filings relating to</w:t>
      </w:r>
    </w:p>
    <w:p>
      <w:pPr>
        <w:spacing w:after="0" w:line="232" w:lineRule="auto"/>
        <w:rPr>
          <w:sz w:val="20"/>
          <w:szCs w:val="20"/>
          <w:color w:val="auto"/>
        </w:rPr>
      </w:pPr>
      <w:r>
        <w:rPr>
          <w:rFonts w:ascii="Arial" w:cs="Arial" w:eastAsia="Arial" w:hAnsi="Arial"/>
          <w:sz w:val="22"/>
          <w:szCs w:val="22"/>
          <w:color w:val="auto"/>
        </w:rPr>
        <w:t>the holding of</w:t>
      </w:r>
    </w:p>
    <w:p>
      <w:pPr>
        <w:spacing w:after="0" w:line="230" w:lineRule="auto"/>
        <w:rPr>
          <w:sz w:val="20"/>
          <w:szCs w:val="20"/>
          <w:color w:val="auto"/>
        </w:rPr>
      </w:pPr>
      <w:r>
        <w:rPr>
          <w:rFonts w:ascii="Arial" w:cs="Arial" w:eastAsia="Arial" w:hAnsi="Arial"/>
          <w:sz w:val="22"/>
          <w:szCs w:val="22"/>
          <w:color w:val="auto"/>
        </w:rPr>
        <w:t>shares of</w:t>
      </w:r>
    </w:p>
    <w:p>
      <w:pPr>
        <w:spacing w:after="0" w:line="231" w:lineRule="auto"/>
        <w:rPr>
          <w:sz w:val="20"/>
          <w:szCs w:val="20"/>
          <w:color w:val="auto"/>
        </w:rPr>
      </w:pPr>
      <w:r>
        <w:rPr>
          <w:rFonts w:ascii="Arial" w:cs="Arial" w:eastAsia="Arial" w:hAnsi="Arial"/>
          <w:sz w:val="22"/>
          <w:szCs w:val="22"/>
          <w:color w:val="auto"/>
        </w:rPr>
        <w:t>common stock</w:t>
      </w:r>
    </w:p>
    <w:p>
      <w:pPr>
        <w:spacing w:after="0"/>
        <w:rPr>
          <w:sz w:val="20"/>
          <w:szCs w:val="20"/>
          <w:color w:val="auto"/>
        </w:rPr>
      </w:pPr>
      <w:r>
        <w:rPr>
          <w:rFonts w:ascii="Arial" w:cs="Arial" w:eastAsia="Arial" w:hAnsi="Arial"/>
          <w:sz w:val="19"/>
          <w:szCs w:val="19"/>
          <w:color w:val="auto"/>
        </w:rPr>
        <w:t>described herein.</w:t>
      </w:r>
    </w:p>
    <w:sectPr>
      <w:pgSz w:w="11900" w:h="16838" w:orient="portrait"/>
      <w:cols w:equalWidth="0" w:num="1">
        <w:col w:w="10159"/>
      </w:cols>
      <w:pgMar w:left="30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1"/>
    </w:lvl>
    <w:lvl w:ilvl="1">
      <w:lvlJc w:val="left"/>
      <w:lvlText w:val="(%2)"/>
      <w:numFmt w:val="lowerLetter"/>
      <w:start w:val="2"/>
    </w:lvl>
  </w:abstractNum>
  <w:abstractNum w:abstractNumId="3">
    <w:nsid w:val="7545E146"/>
    <w:multiLevelType w:val="hybridMultilevel"/>
    <w:lvl w:ilvl="0">
      <w:lvlJc w:val="left"/>
      <w:lvlText w:val="%1."/>
      <w:numFmt w:val="decimal"/>
      <w:start w:val="2"/>
    </w:lvl>
    <w:lvl w:ilvl="1">
      <w:lvlJc w:val="left"/>
      <w:lvlText w:val="(%2)"/>
      <w:numFmt w:val="lowerLetter"/>
      <w:start w:val="1"/>
    </w:lvl>
  </w:abstractNum>
  <w:abstractNum w:abstractNumId="4">
    <w:nsid w:val="515F007C"/>
    <w:multiLevelType w:val="hybridMultilevel"/>
    <w:lvl w:ilvl="0">
      <w:lvlJc w:val="left"/>
      <w:lvlText w:val="%1."/>
      <w:numFmt w:val="decimal"/>
      <w:start w:val="3"/>
    </w:lvl>
  </w:abstractNum>
  <w:abstractNum w:abstractNumId="5">
    <w:nsid w:val="5BD062C2"/>
    <w:multiLevelType w:val="hybridMultilevel"/>
    <w:lvl w:ilvl="0">
      <w:lvlJc w:val="left"/>
      <w:lvlText w:val="%1"/>
      <w:numFmt w:val="decimal"/>
      <w:start w:val="1"/>
    </w:lvl>
    <w:lvl w:ilvl="1">
      <w:lvlJc w:val="left"/>
      <w:lvlText w:val="%2."/>
      <w:numFmt w:val="decimal"/>
      <w:start w:val="8"/>
    </w:lvl>
  </w:abstractNum>
  <w:abstractNum w:abstractNumId="6">
    <w:nsid w:val="12200854"/>
    <w:multiLevelType w:val="hybridMultilevel"/>
    <w:lvl w:ilvl="0">
      <w:lvlJc w:val="left"/>
      <w:lvlText w:val="%1."/>
      <w:numFmt w:val="decimal"/>
      <w:start w:val="9"/>
    </w:lvl>
    <w:lvl w:ilvl="1">
      <w:lvlJc w:val="left"/>
      <w:lvlText w:val="%2"/>
      <w:numFmt w:val="decimal"/>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6"/>
    </w:lvl>
  </w:abstractNum>
  <w:abstractNum w:abstractNumId="11">
    <w:nsid w:val="66EF438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2019-12-10T06:31:34Z</dcterms:created>
  <dcterms:modified xsi:type="dcterms:W3CDTF">2019-12-10T06:31:34Z</dcterms:modified>
</cp:coreProperties>
</file>